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A4" w:rsidRPr="00E704EA" w:rsidRDefault="001A3496" w:rsidP="00E704E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04EA">
        <w:rPr>
          <w:rFonts w:ascii="Times New Roman" w:hAnsi="Times New Roman" w:cs="Times New Roman"/>
          <w:b/>
          <w:sz w:val="28"/>
        </w:rPr>
        <w:t>Protokol</w:t>
      </w:r>
    </w:p>
    <w:p w:rsidR="001A3496" w:rsidRPr="001A3496" w:rsidRDefault="001A3496" w:rsidP="00E704EA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1A3496">
        <w:rPr>
          <w:rFonts w:ascii="Times New Roman" w:hAnsi="Times New Roman" w:cs="Times New Roman"/>
        </w:rPr>
        <w:t>z přípravné fáze dohodovacího řízení o hodnotách bodu, výši úhrad hrazených služeb z veřejného zdravotního pojištění a regulačních omezení pro rok 20</w:t>
      </w:r>
      <w:r w:rsidR="00717E83">
        <w:rPr>
          <w:rFonts w:ascii="Times New Roman" w:hAnsi="Times New Roman" w:cs="Times New Roman"/>
        </w:rPr>
        <w:t>20</w:t>
      </w:r>
      <w:r w:rsidRPr="001A3496">
        <w:rPr>
          <w:rFonts w:ascii="Times New Roman" w:hAnsi="Times New Roman" w:cs="Times New Roman"/>
        </w:rPr>
        <w:t xml:space="preserve"> ve skupině poskytovatelů </w:t>
      </w:r>
      <w:r w:rsidR="00F17CEE" w:rsidRPr="00F17CEE">
        <w:rPr>
          <w:rFonts w:ascii="Times New Roman" w:hAnsi="Times New Roman" w:cs="Times New Roman"/>
        </w:rPr>
        <w:t>následné lůžkové péče, dlouhodobé lůžkové péče a zvláštní lůžkové péče</w:t>
      </w:r>
    </w:p>
    <w:p w:rsidR="001A3496" w:rsidRPr="001A3496" w:rsidRDefault="001A3496" w:rsidP="002535F1">
      <w:pPr>
        <w:tabs>
          <w:tab w:val="left" w:pos="2268"/>
        </w:tabs>
        <w:spacing w:after="0"/>
        <w:rPr>
          <w:rFonts w:ascii="Times New Roman" w:hAnsi="Times New Roman" w:cs="Times New Roman"/>
        </w:rPr>
      </w:pPr>
      <w:r w:rsidRPr="001A3496">
        <w:rPr>
          <w:rFonts w:ascii="Times New Roman" w:hAnsi="Times New Roman" w:cs="Times New Roman"/>
        </w:rPr>
        <w:t>Datum konání</w:t>
      </w:r>
      <w:r w:rsidRPr="00DE20C4">
        <w:rPr>
          <w:rFonts w:ascii="Times New Roman" w:hAnsi="Times New Roman" w:cs="Times New Roman"/>
        </w:rPr>
        <w:t xml:space="preserve">: </w:t>
      </w:r>
      <w:r w:rsidR="004103F4" w:rsidRPr="00DE20C4">
        <w:rPr>
          <w:rFonts w:ascii="Times New Roman" w:hAnsi="Times New Roman" w:cs="Times New Roman"/>
        </w:rPr>
        <w:t xml:space="preserve">  </w:t>
      </w:r>
      <w:r w:rsidR="00DE20C4" w:rsidRPr="00011B0E">
        <w:rPr>
          <w:rFonts w:ascii="Times New Roman" w:hAnsi="Times New Roman" w:cs="Times New Roman"/>
          <w:highlight w:val="yellow"/>
        </w:rPr>
        <w:t xml:space="preserve">. </w:t>
      </w:r>
      <w:r w:rsidR="004606DA" w:rsidRPr="00011B0E">
        <w:rPr>
          <w:rFonts w:ascii="Times New Roman" w:hAnsi="Times New Roman" w:cs="Times New Roman"/>
          <w:highlight w:val="yellow"/>
        </w:rPr>
        <w:t>května</w:t>
      </w:r>
      <w:r w:rsidR="00717E83">
        <w:rPr>
          <w:rFonts w:ascii="Times New Roman" w:hAnsi="Times New Roman" w:cs="Times New Roman"/>
        </w:rPr>
        <w:t xml:space="preserve"> 2019</w:t>
      </w:r>
    </w:p>
    <w:p w:rsidR="001A3496" w:rsidRPr="001A3496" w:rsidRDefault="001A3496" w:rsidP="001A3496">
      <w:pPr>
        <w:tabs>
          <w:tab w:val="left" w:pos="2268"/>
        </w:tabs>
        <w:rPr>
          <w:rFonts w:ascii="Times New Roman" w:hAnsi="Times New Roman" w:cs="Times New Roman"/>
        </w:rPr>
      </w:pPr>
      <w:r w:rsidRPr="001A3496">
        <w:rPr>
          <w:rFonts w:ascii="Times New Roman" w:hAnsi="Times New Roman" w:cs="Times New Roman"/>
        </w:rPr>
        <w:t>Účastníci jednání: dle prezenční listiny</w:t>
      </w:r>
    </w:p>
    <w:p w:rsidR="001A3496" w:rsidRPr="001A3496" w:rsidRDefault="001A3496" w:rsidP="001A3496">
      <w:pPr>
        <w:tabs>
          <w:tab w:val="left" w:pos="2268"/>
        </w:tabs>
        <w:rPr>
          <w:rFonts w:ascii="Times New Roman" w:hAnsi="Times New Roman" w:cs="Times New Roman"/>
        </w:rPr>
      </w:pPr>
      <w:r w:rsidRPr="001A3496">
        <w:rPr>
          <w:rFonts w:ascii="Times New Roman" w:hAnsi="Times New Roman" w:cs="Times New Roman"/>
        </w:rPr>
        <w:t>Společný návrh účastníků jednání je přílohou č. 1 tohoto protokolu.</w:t>
      </w:r>
    </w:p>
    <w:p w:rsidR="001A3496" w:rsidRPr="001A3496" w:rsidRDefault="001A3496" w:rsidP="001A3496">
      <w:pPr>
        <w:tabs>
          <w:tab w:val="left" w:pos="2268"/>
        </w:tabs>
        <w:rPr>
          <w:rFonts w:ascii="Times New Roman" w:hAnsi="Times New Roman" w:cs="Times New Roman"/>
        </w:rPr>
      </w:pPr>
      <w:r w:rsidRPr="001A3496">
        <w:rPr>
          <w:rFonts w:ascii="Times New Roman" w:hAnsi="Times New Roman" w:cs="Times New Roman"/>
        </w:rPr>
        <w:t xml:space="preserve">Účastníci při jednání </w:t>
      </w:r>
      <w:r w:rsidRPr="001A3496">
        <w:rPr>
          <w:rFonts w:ascii="Times New Roman" w:hAnsi="Times New Roman" w:cs="Times New Roman"/>
          <w:b/>
          <w:u w:val="single"/>
        </w:rPr>
        <w:t>došli k dohodě</w:t>
      </w:r>
      <w:r w:rsidRPr="001A3496">
        <w:rPr>
          <w:rFonts w:ascii="Times New Roman" w:hAnsi="Times New Roman" w:cs="Times New Roman"/>
        </w:rPr>
        <w:t>.</w:t>
      </w:r>
    </w:p>
    <w:p w:rsidR="00CF6A5E" w:rsidRDefault="001A3496" w:rsidP="00C16F9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</w:rPr>
      </w:pPr>
      <w:r w:rsidRPr="001A3496">
        <w:rPr>
          <w:rFonts w:ascii="Times New Roman" w:hAnsi="Times New Roman" w:cs="Times New Roman"/>
        </w:rPr>
        <w:t>V rámci jednání přípravné fáze dohodovacího řízení o cenách na rok 20</w:t>
      </w:r>
      <w:r w:rsidR="00CF6A5E">
        <w:rPr>
          <w:rFonts w:ascii="Times New Roman" w:hAnsi="Times New Roman" w:cs="Times New Roman"/>
        </w:rPr>
        <w:t>20</w:t>
      </w:r>
      <w:r w:rsidR="00F17CEE">
        <w:rPr>
          <w:rFonts w:ascii="Times New Roman" w:hAnsi="Times New Roman" w:cs="Times New Roman"/>
        </w:rPr>
        <w:t xml:space="preserve"> ve skupině poskytovatelů</w:t>
      </w:r>
      <w:r w:rsidR="00F17CEE" w:rsidRPr="00F17CEE">
        <w:rPr>
          <w:rFonts w:cs="Times New Roman"/>
          <w:bCs/>
          <w:sz w:val="28"/>
          <w:szCs w:val="28"/>
        </w:rPr>
        <w:t xml:space="preserve"> </w:t>
      </w:r>
      <w:r w:rsidR="00F17CEE" w:rsidRPr="00F17CEE">
        <w:rPr>
          <w:rFonts w:ascii="Times New Roman" w:hAnsi="Times New Roman" w:cs="Times New Roman"/>
        </w:rPr>
        <w:t>následné lůžkové péče, dlouhodobé lůžkové péče a zvláštní lůžkové péče</w:t>
      </w:r>
      <w:r w:rsidR="00F17CEE" w:rsidRPr="001A3496">
        <w:rPr>
          <w:rFonts w:ascii="Times New Roman" w:hAnsi="Times New Roman" w:cs="Times New Roman"/>
        </w:rPr>
        <w:t xml:space="preserve"> </w:t>
      </w:r>
      <w:r w:rsidRPr="001A3496">
        <w:rPr>
          <w:rFonts w:ascii="Times New Roman" w:hAnsi="Times New Roman" w:cs="Times New Roman"/>
        </w:rPr>
        <w:t xml:space="preserve">došlo mezi účastníky jednání k dohodě o úhradě zdravotní péče. </w:t>
      </w:r>
      <w:r w:rsidR="00F17CEE">
        <w:rPr>
          <w:rFonts w:ascii="Times New Roman" w:hAnsi="Times New Roman" w:cs="Times New Roman"/>
        </w:rPr>
        <w:t xml:space="preserve">Společný návrh poskytovatelů </w:t>
      </w:r>
      <w:r w:rsidR="00F17CEE" w:rsidRPr="00F17CEE">
        <w:rPr>
          <w:rFonts w:ascii="Times New Roman" w:hAnsi="Times New Roman" w:cs="Times New Roman"/>
        </w:rPr>
        <w:t>následné lůžkové péče</w:t>
      </w:r>
      <w:r w:rsidR="00F17CEE">
        <w:rPr>
          <w:rFonts w:ascii="Times New Roman" w:hAnsi="Times New Roman" w:cs="Times New Roman"/>
        </w:rPr>
        <w:t xml:space="preserve"> a zdravotních pojišťoven získal souhlas všech přítomných zástupců zdravotních pojišťoven a všech přítomných zástupců profesních sdružení </w:t>
      </w:r>
      <w:r w:rsidR="00AA2727">
        <w:rPr>
          <w:rFonts w:ascii="Times New Roman" w:hAnsi="Times New Roman" w:cs="Times New Roman"/>
        </w:rPr>
        <w:t xml:space="preserve">poskytovatelů </w:t>
      </w:r>
      <w:r w:rsidR="00AA2727" w:rsidRPr="00F17CEE">
        <w:rPr>
          <w:rFonts w:ascii="Times New Roman" w:hAnsi="Times New Roman" w:cs="Times New Roman"/>
        </w:rPr>
        <w:t>následné lůžkové péče</w:t>
      </w:r>
      <w:r w:rsidR="00AA2727">
        <w:rPr>
          <w:rFonts w:ascii="Times New Roman" w:hAnsi="Times New Roman" w:cs="Times New Roman"/>
        </w:rPr>
        <w:t>.</w:t>
      </w:r>
    </w:p>
    <w:p w:rsidR="00F33510" w:rsidRDefault="00F33510" w:rsidP="00F33510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</w:rPr>
      </w:pPr>
      <w:r w:rsidRPr="00AC017C">
        <w:rPr>
          <w:rFonts w:ascii="Times New Roman" w:hAnsi="Times New Roman" w:cs="Times New Roman"/>
          <w:highlight w:val="yellow"/>
        </w:rPr>
        <w:t>Souhlas s uzavřenou dohodou je podmíněn zachováním platnosti současné podoby nařízení vlády stanovující platové tabulky a zvláštní příplatky pracovníků ve zdravotnictví i v roce 2020.  V případě změny nařízení vlády v této oblasti je souhlas účastníků s dohodou zneplatněn a účastnici řízení pro tuto situaci nedošli k dohodě.</w:t>
      </w:r>
    </w:p>
    <w:p w:rsidR="00AA2727" w:rsidRDefault="00AA2727" w:rsidP="00775CDD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</w:rPr>
      </w:pPr>
    </w:p>
    <w:p w:rsidR="00717E83" w:rsidRPr="00C93B55" w:rsidRDefault="00717E83" w:rsidP="00775CDD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Účastníci dohody se na základ</w:t>
      </w:r>
      <w:r w:rsidR="00AA2727">
        <w:rPr>
          <w:rFonts w:ascii="Times New Roman" w:hAnsi="Times New Roman" w:cs="Times New Roman"/>
        </w:rPr>
        <w:t>ě průběžných jednání dohodli, že rozpracují výstupy Komise pro stanovení kvalitativních kritérii u následné lůžkové péče</w:t>
      </w:r>
      <w:r w:rsidR="003A1E4B">
        <w:rPr>
          <w:rFonts w:ascii="Times New Roman" w:hAnsi="Times New Roman" w:cs="Times New Roman"/>
        </w:rPr>
        <w:t xml:space="preserve"> až pro další období</w:t>
      </w:r>
      <w:r w:rsidR="00AA2727">
        <w:rPr>
          <w:rFonts w:ascii="Times New Roman" w:hAnsi="Times New Roman" w:cs="Times New Roman"/>
        </w:rPr>
        <w:t>.</w:t>
      </w:r>
    </w:p>
    <w:p w:rsidR="00717E83" w:rsidRPr="00717E83" w:rsidRDefault="00717E83" w:rsidP="00717E83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</w:rPr>
      </w:pPr>
    </w:p>
    <w:p w:rsidR="001A3496" w:rsidRPr="00E704EA" w:rsidRDefault="001A3496" w:rsidP="001A3496">
      <w:pPr>
        <w:tabs>
          <w:tab w:val="left" w:pos="2268"/>
        </w:tabs>
        <w:rPr>
          <w:rFonts w:ascii="Times New Roman" w:hAnsi="Times New Roman" w:cs="Times New Roman"/>
          <w:b/>
          <w:u w:val="single"/>
        </w:rPr>
      </w:pPr>
      <w:r w:rsidRPr="00E704EA">
        <w:rPr>
          <w:rFonts w:ascii="Times New Roman" w:hAnsi="Times New Roman" w:cs="Times New Roman"/>
          <w:b/>
          <w:u w:val="single"/>
        </w:rPr>
        <w:t>Hlasování o předložených návrzích</w:t>
      </w:r>
    </w:p>
    <w:p w:rsidR="001A3496" w:rsidRPr="001A3496" w:rsidRDefault="00AA2727" w:rsidP="001A3496">
      <w:pPr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157E2">
        <w:rPr>
          <w:rFonts w:ascii="Times New Roman" w:hAnsi="Times New Roman" w:cs="Times New Roman"/>
        </w:rPr>
        <w:t xml:space="preserve">polečný návrh VZP ČR, SZP ČR, </w:t>
      </w:r>
      <w:r>
        <w:rPr>
          <w:rFonts w:ascii="Times New Roman" w:hAnsi="Times New Roman" w:cs="Times New Roman"/>
        </w:rPr>
        <w:t>poskytovatelů následné lůžkové péče</w:t>
      </w:r>
      <w:r w:rsidR="00242F7B" w:rsidRPr="00F17CEE">
        <w:rPr>
          <w:rFonts w:ascii="Times New Roman" w:hAnsi="Times New Roman" w:cs="Times New Roman"/>
        </w:rPr>
        <w:t>, dlouhodobé lůžkové péče a zvláštní lůžkové péče</w:t>
      </w:r>
      <w:r>
        <w:rPr>
          <w:rFonts w:ascii="Times New Roman" w:hAnsi="Times New Roman" w:cs="Times New Roman"/>
        </w:rPr>
        <w:t xml:space="preserve"> </w:t>
      </w:r>
      <w:r w:rsidR="001A3496" w:rsidRPr="001A3496">
        <w:rPr>
          <w:rFonts w:ascii="Times New Roman" w:hAnsi="Times New Roman" w:cs="Times New Roman"/>
        </w:rPr>
        <w:t>(příloha č. 1 tohoto protokolu)</w:t>
      </w:r>
    </w:p>
    <w:tbl>
      <w:tblPr>
        <w:tblStyle w:val="Mkatabulky"/>
        <w:tblW w:w="0" w:type="auto"/>
        <w:jc w:val="center"/>
        <w:tblLook w:val="04A0"/>
      </w:tblPr>
      <w:tblGrid>
        <w:gridCol w:w="2303"/>
        <w:gridCol w:w="1355"/>
        <w:gridCol w:w="2303"/>
        <w:gridCol w:w="1355"/>
      </w:tblGrid>
      <w:tr w:rsidR="001A3496" w:rsidRPr="001A3496" w:rsidTr="001A3496">
        <w:trPr>
          <w:jc w:val="center"/>
        </w:trPr>
        <w:tc>
          <w:tcPr>
            <w:tcW w:w="2303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Poskytovatelé</w:t>
            </w:r>
          </w:p>
        </w:tc>
        <w:tc>
          <w:tcPr>
            <w:tcW w:w="1355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Počet hlasů</w:t>
            </w:r>
          </w:p>
        </w:tc>
        <w:tc>
          <w:tcPr>
            <w:tcW w:w="2303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Zdravotní pojišťovny</w:t>
            </w:r>
          </w:p>
        </w:tc>
        <w:tc>
          <w:tcPr>
            <w:tcW w:w="1355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Počet hlasů</w:t>
            </w:r>
          </w:p>
        </w:tc>
      </w:tr>
      <w:tr w:rsidR="001A3496" w:rsidRPr="001A3496" w:rsidTr="001A3496">
        <w:trPr>
          <w:jc w:val="center"/>
        </w:trPr>
        <w:tc>
          <w:tcPr>
            <w:tcW w:w="2303" w:type="dxa"/>
          </w:tcPr>
          <w:p w:rsidR="001A3496" w:rsidRPr="001A3496" w:rsidRDefault="001A3496" w:rsidP="001A349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PRO:</w:t>
            </w:r>
          </w:p>
        </w:tc>
        <w:tc>
          <w:tcPr>
            <w:tcW w:w="1355" w:type="dxa"/>
          </w:tcPr>
          <w:p w:rsidR="001A3496" w:rsidRPr="001A3496" w:rsidRDefault="00242F7B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011B0E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2303" w:type="dxa"/>
          </w:tcPr>
          <w:p w:rsidR="001A3496" w:rsidRPr="001A3496" w:rsidRDefault="001A3496" w:rsidP="00A34D5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PRO:</w:t>
            </w:r>
          </w:p>
        </w:tc>
        <w:tc>
          <w:tcPr>
            <w:tcW w:w="1355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7</w:t>
            </w:r>
          </w:p>
        </w:tc>
      </w:tr>
      <w:tr w:rsidR="001A3496" w:rsidRPr="001A3496" w:rsidTr="001A3496">
        <w:trPr>
          <w:jc w:val="center"/>
        </w:trPr>
        <w:tc>
          <w:tcPr>
            <w:tcW w:w="2303" w:type="dxa"/>
          </w:tcPr>
          <w:p w:rsidR="001A3496" w:rsidRPr="001A3496" w:rsidRDefault="001A3496" w:rsidP="001A349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PROTI:</w:t>
            </w:r>
          </w:p>
        </w:tc>
        <w:tc>
          <w:tcPr>
            <w:tcW w:w="1355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3" w:type="dxa"/>
          </w:tcPr>
          <w:p w:rsidR="001A3496" w:rsidRPr="001A3496" w:rsidRDefault="001A3496" w:rsidP="00A34D5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PROTI:</w:t>
            </w:r>
          </w:p>
        </w:tc>
        <w:tc>
          <w:tcPr>
            <w:tcW w:w="1355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0</w:t>
            </w:r>
          </w:p>
        </w:tc>
      </w:tr>
      <w:tr w:rsidR="001A3496" w:rsidRPr="001A3496" w:rsidTr="001A3496">
        <w:trPr>
          <w:jc w:val="center"/>
        </w:trPr>
        <w:tc>
          <w:tcPr>
            <w:tcW w:w="2303" w:type="dxa"/>
          </w:tcPr>
          <w:p w:rsidR="001A3496" w:rsidRPr="001A3496" w:rsidRDefault="001A3496" w:rsidP="001A349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Zdržel se hlasování:</w:t>
            </w:r>
          </w:p>
        </w:tc>
        <w:tc>
          <w:tcPr>
            <w:tcW w:w="1355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3" w:type="dxa"/>
          </w:tcPr>
          <w:p w:rsidR="001A3496" w:rsidRPr="001A3496" w:rsidRDefault="001A3496" w:rsidP="00A34D5F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Zdržel se hlasování:</w:t>
            </w:r>
          </w:p>
        </w:tc>
        <w:tc>
          <w:tcPr>
            <w:tcW w:w="1355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0</w:t>
            </w:r>
          </w:p>
        </w:tc>
      </w:tr>
    </w:tbl>
    <w:p w:rsidR="001A3496" w:rsidRPr="001A3496" w:rsidRDefault="001A3496" w:rsidP="002535F1">
      <w:pPr>
        <w:tabs>
          <w:tab w:val="left" w:pos="2268"/>
        </w:tabs>
        <w:spacing w:before="120" w:after="0"/>
        <w:rPr>
          <w:rFonts w:ascii="Times New Roman" w:hAnsi="Times New Roman" w:cs="Times New Roman"/>
        </w:rPr>
      </w:pPr>
      <w:r w:rsidRPr="001A3496">
        <w:rPr>
          <w:rFonts w:ascii="Times New Roman" w:hAnsi="Times New Roman" w:cs="Times New Roman"/>
        </w:rPr>
        <w:t>Návrh byl přijat.</w:t>
      </w:r>
    </w:p>
    <w:p w:rsidR="002535F1" w:rsidRDefault="002535F1" w:rsidP="002535F1">
      <w:pPr>
        <w:tabs>
          <w:tab w:val="left" w:pos="2268"/>
        </w:tabs>
        <w:spacing w:after="0"/>
        <w:rPr>
          <w:rFonts w:ascii="Times New Roman" w:hAnsi="Times New Roman" w:cs="Times New Roman"/>
        </w:rPr>
      </w:pPr>
    </w:p>
    <w:p w:rsidR="001947D3" w:rsidRDefault="001947D3" w:rsidP="002535F1">
      <w:pPr>
        <w:tabs>
          <w:tab w:val="left" w:pos="2268"/>
        </w:tabs>
        <w:spacing w:after="0"/>
        <w:rPr>
          <w:rFonts w:ascii="Times New Roman" w:hAnsi="Times New Roman" w:cs="Times New Roman"/>
        </w:rPr>
      </w:pPr>
    </w:p>
    <w:p w:rsidR="001A3496" w:rsidRDefault="001A3496" w:rsidP="001947D3">
      <w:pPr>
        <w:rPr>
          <w:rFonts w:ascii="Times New Roman" w:hAnsi="Times New Roman" w:cs="Times New Roman"/>
          <w:b/>
          <w:u w:val="single"/>
        </w:rPr>
      </w:pPr>
      <w:r w:rsidRPr="00E704EA">
        <w:rPr>
          <w:rFonts w:ascii="Times New Roman" w:hAnsi="Times New Roman" w:cs="Times New Roman"/>
          <w:b/>
          <w:u w:val="single"/>
        </w:rPr>
        <w:t>Souhlas s výše uvedeným zněním protokolu potvrzuji svým podpisem:</w:t>
      </w:r>
    </w:p>
    <w:p w:rsidR="00A30726" w:rsidRDefault="00A30726" w:rsidP="001A3496">
      <w:pPr>
        <w:tabs>
          <w:tab w:val="left" w:pos="2268"/>
        </w:tabs>
        <w:rPr>
          <w:rFonts w:ascii="Times New Roman" w:hAnsi="Times New Roman" w:cs="Times New Roman"/>
          <w:b/>
          <w:u w:val="single"/>
        </w:rPr>
      </w:pPr>
    </w:p>
    <w:p w:rsidR="00A30726" w:rsidRPr="00E704EA" w:rsidRDefault="00A30726" w:rsidP="001A3496">
      <w:pPr>
        <w:tabs>
          <w:tab w:val="left" w:pos="2268"/>
        </w:tabs>
        <w:rPr>
          <w:rFonts w:ascii="Times New Roman" w:hAnsi="Times New Roman" w:cs="Times New Roman"/>
          <w:b/>
          <w:u w:val="single"/>
        </w:rPr>
      </w:pPr>
    </w:p>
    <w:p w:rsidR="001A3496" w:rsidRPr="00E704EA" w:rsidRDefault="001A3496" w:rsidP="001A3496">
      <w:pPr>
        <w:tabs>
          <w:tab w:val="left" w:pos="2268"/>
        </w:tabs>
        <w:rPr>
          <w:rFonts w:ascii="Times New Roman" w:hAnsi="Times New Roman" w:cs="Times New Roman"/>
        </w:rPr>
      </w:pPr>
      <w:r w:rsidRPr="001947D3">
        <w:rPr>
          <w:rFonts w:ascii="Times New Roman" w:hAnsi="Times New Roman" w:cs="Times New Roman"/>
          <w:b/>
        </w:rPr>
        <w:t>Za poskytovatele zdravotní péče</w:t>
      </w:r>
      <w:r w:rsidRPr="00E704EA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1A3496" w:rsidRPr="001A3496" w:rsidTr="001F45DF">
        <w:tc>
          <w:tcPr>
            <w:tcW w:w="3070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Jméno koordinátora</w:t>
            </w:r>
          </w:p>
        </w:tc>
        <w:tc>
          <w:tcPr>
            <w:tcW w:w="3071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Organizace</w:t>
            </w:r>
          </w:p>
        </w:tc>
        <w:tc>
          <w:tcPr>
            <w:tcW w:w="3071" w:type="dxa"/>
          </w:tcPr>
          <w:p w:rsidR="001A3496" w:rsidRPr="001A3496" w:rsidRDefault="001A3496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Podpis</w:t>
            </w:r>
          </w:p>
        </w:tc>
      </w:tr>
      <w:tr w:rsidR="001A3496" w:rsidRPr="001A3496" w:rsidTr="001F45DF">
        <w:trPr>
          <w:trHeight w:val="1024"/>
        </w:trPr>
        <w:tc>
          <w:tcPr>
            <w:tcW w:w="3070" w:type="dxa"/>
            <w:vAlign w:val="center"/>
          </w:tcPr>
          <w:p w:rsidR="001A3496" w:rsidRPr="001A3496" w:rsidRDefault="00242F7B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MUDr. Václav Volejník, CSc.</w:t>
            </w:r>
          </w:p>
        </w:tc>
        <w:tc>
          <w:tcPr>
            <w:tcW w:w="3071" w:type="dxa"/>
            <w:vAlign w:val="center"/>
          </w:tcPr>
          <w:p w:rsidR="001A3496" w:rsidRPr="001A3496" w:rsidRDefault="00242F7B" w:rsidP="001A349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</w:t>
            </w:r>
            <w:r w:rsidR="006157E2">
              <w:rPr>
                <w:rFonts w:ascii="Times New Roman" w:hAnsi="Times New Roman" w:cs="Times New Roman"/>
              </w:rPr>
              <w:t xml:space="preserve"> ČR</w:t>
            </w:r>
          </w:p>
        </w:tc>
        <w:tc>
          <w:tcPr>
            <w:tcW w:w="3071" w:type="dxa"/>
          </w:tcPr>
          <w:p w:rsidR="001A3496" w:rsidRPr="001A3496" w:rsidRDefault="001A3496" w:rsidP="001A349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</w:tr>
    </w:tbl>
    <w:p w:rsidR="001F45DF" w:rsidRDefault="001F45DF" w:rsidP="001A3496">
      <w:pPr>
        <w:tabs>
          <w:tab w:val="left" w:pos="2268"/>
        </w:tabs>
        <w:rPr>
          <w:rFonts w:ascii="Times New Roman" w:hAnsi="Times New Roman" w:cs="Times New Roman"/>
        </w:rPr>
      </w:pPr>
    </w:p>
    <w:p w:rsidR="001A3496" w:rsidRPr="001947D3" w:rsidRDefault="001A3496" w:rsidP="001A3496">
      <w:pPr>
        <w:tabs>
          <w:tab w:val="left" w:pos="2268"/>
        </w:tabs>
        <w:rPr>
          <w:rFonts w:ascii="Times New Roman" w:hAnsi="Times New Roman" w:cs="Times New Roman"/>
          <w:b/>
        </w:rPr>
      </w:pPr>
      <w:r w:rsidRPr="001947D3">
        <w:rPr>
          <w:rFonts w:ascii="Times New Roman" w:hAnsi="Times New Roman" w:cs="Times New Roman"/>
          <w:b/>
        </w:rPr>
        <w:lastRenderedPageBreak/>
        <w:t>Za zdravotní pojišťovnu: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205"/>
        <w:gridCol w:w="3071"/>
      </w:tblGrid>
      <w:tr w:rsidR="002535F1" w:rsidRPr="001A3496" w:rsidTr="001F45DF">
        <w:tc>
          <w:tcPr>
            <w:tcW w:w="3936" w:type="dxa"/>
            <w:tcBorders>
              <w:bottom w:val="single" w:sz="4" w:space="0" w:color="auto"/>
            </w:tcBorders>
          </w:tcPr>
          <w:p w:rsidR="002535F1" w:rsidRPr="001A3496" w:rsidRDefault="002535F1" w:rsidP="00A34D5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2535F1" w:rsidRPr="001A3496" w:rsidRDefault="002535F1" w:rsidP="00A34D5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Pojišťovna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535F1" w:rsidRPr="001A3496" w:rsidRDefault="002535F1" w:rsidP="00A34D5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Podpis</w:t>
            </w:r>
          </w:p>
        </w:tc>
      </w:tr>
      <w:tr w:rsidR="002535F1" w:rsidRPr="001A3496" w:rsidTr="001F45DF">
        <w:trPr>
          <w:trHeight w:val="804"/>
        </w:trPr>
        <w:tc>
          <w:tcPr>
            <w:tcW w:w="39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</w:t>
            </w:r>
            <w:r w:rsidR="006C464A">
              <w:rPr>
                <w:rFonts w:ascii="Times New Roman" w:hAnsi="Times New Roman" w:cs="Times New Roman"/>
              </w:rPr>
              <w:t>David Šmehlík, MH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VZP ČR</w:t>
            </w:r>
          </w:p>
        </w:tc>
        <w:tc>
          <w:tcPr>
            <w:tcW w:w="30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5F1" w:rsidRPr="001A3496" w:rsidTr="001F45DF">
        <w:trPr>
          <w:trHeight w:val="985"/>
        </w:trPr>
        <w:tc>
          <w:tcPr>
            <w:tcW w:w="39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717E83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MUDr. Jitka Vojtová, MBA</w:t>
            </w: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OZP</w:t>
            </w: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5F1" w:rsidRPr="001A3496" w:rsidTr="001F45DF">
        <w:trPr>
          <w:trHeight w:val="830"/>
        </w:trPr>
        <w:tc>
          <w:tcPr>
            <w:tcW w:w="39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MUDr. Petr Šmach</w:t>
            </w: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ZPŠ</w:t>
            </w: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5F1" w:rsidRPr="001A3496" w:rsidTr="001F45DF">
        <w:trPr>
          <w:trHeight w:val="841"/>
        </w:trPr>
        <w:tc>
          <w:tcPr>
            <w:tcW w:w="39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MUDr. Renata Knorová, MBA</w:t>
            </w: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ČPZP</w:t>
            </w: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5F1" w:rsidRPr="001A3496" w:rsidTr="001F45DF">
        <w:trPr>
          <w:trHeight w:val="853"/>
        </w:trPr>
        <w:tc>
          <w:tcPr>
            <w:tcW w:w="39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1228A6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Petr Hrabák, MHA</w:t>
            </w: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VoZP</w:t>
            </w: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5F1" w:rsidRPr="001A3496" w:rsidTr="001F45DF">
        <w:trPr>
          <w:trHeight w:val="837"/>
        </w:trPr>
        <w:tc>
          <w:tcPr>
            <w:tcW w:w="39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717E83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17E83">
              <w:rPr>
                <w:rFonts w:ascii="Times New Roman" w:hAnsi="Times New Roman" w:cs="Times New Roman"/>
              </w:rPr>
              <w:t>MUDr. Zdeňka Salcman Kučerová, MBA</w:t>
            </w: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ZPMV</w:t>
            </w: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5F1" w:rsidRPr="001A3496" w:rsidTr="001F45DF">
        <w:trPr>
          <w:trHeight w:val="779"/>
        </w:trPr>
        <w:tc>
          <w:tcPr>
            <w:tcW w:w="39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535F1" w:rsidRPr="001A3496" w:rsidRDefault="00BA2CFB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BA2CFB">
              <w:rPr>
                <w:rFonts w:ascii="Times New Roman" w:hAnsi="Times New Roman" w:cs="Times New Roman"/>
              </w:rPr>
              <w:t>JUDr. Václav Janalík, MHA</w:t>
            </w:r>
          </w:p>
        </w:tc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535F1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RBP</w:t>
            </w:r>
            <w:r w:rsidR="00BA2CFB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535F1" w:rsidRPr="001A3496" w:rsidRDefault="002535F1" w:rsidP="001F45DF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2F7B" w:rsidRDefault="00242F7B">
      <w:pPr>
        <w:rPr>
          <w:rFonts w:ascii="Times New Roman" w:hAnsi="Times New Roman" w:cs="Times New Roman"/>
        </w:rPr>
      </w:pPr>
    </w:p>
    <w:p w:rsidR="00242F7B" w:rsidRDefault="00242F7B">
      <w:pPr>
        <w:rPr>
          <w:rFonts w:ascii="Times New Roman" w:hAnsi="Times New Roman" w:cs="Times New Roman"/>
        </w:rPr>
      </w:pPr>
    </w:p>
    <w:p w:rsidR="00A30726" w:rsidRDefault="00A30726">
      <w:pPr>
        <w:rPr>
          <w:rFonts w:ascii="Times New Roman" w:hAnsi="Times New Roman" w:cs="Times New Roman"/>
        </w:rPr>
      </w:pPr>
    </w:p>
    <w:p w:rsidR="00242F7B" w:rsidRDefault="00242F7B" w:rsidP="00242F7B">
      <w:pPr>
        <w:tabs>
          <w:tab w:val="left" w:pos="2268"/>
        </w:tabs>
        <w:rPr>
          <w:rFonts w:ascii="Times New Roman" w:hAnsi="Times New Roman" w:cs="Times New Roman"/>
        </w:rPr>
      </w:pPr>
    </w:p>
    <w:p w:rsidR="00242F7B" w:rsidRPr="001947D3" w:rsidRDefault="00242F7B" w:rsidP="00242F7B">
      <w:pPr>
        <w:tabs>
          <w:tab w:val="left" w:pos="2268"/>
        </w:tabs>
        <w:rPr>
          <w:rFonts w:ascii="Times New Roman" w:hAnsi="Times New Roman" w:cs="Times New Roman"/>
          <w:b/>
        </w:rPr>
      </w:pPr>
      <w:r w:rsidRPr="001947D3">
        <w:rPr>
          <w:rFonts w:ascii="Times New Roman" w:hAnsi="Times New Roman" w:cs="Times New Roman"/>
          <w:b/>
        </w:rPr>
        <w:t xml:space="preserve">Za Sdružení </w:t>
      </w:r>
      <w:r w:rsidR="00B548B8">
        <w:rPr>
          <w:rFonts w:ascii="Times New Roman" w:hAnsi="Times New Roman" w:cs="Times New Roman"/>
          <w:b/>
        </w:rPr>
        <w:t>poskytovatelů zdravotní péče</w:t>
      </w:r>
      <w:r w:rsidRPr="001947D3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205"/>
        <w:gridCol w:w="3071"/>
      </w:tblGrid>
      <w:tr w:rsidR="00242F7B" w:rsidRPr="001A3496" w:rsidTr="00BC2C04">
        <w:tc>
          <w:tcPr>
            <w:tcW w:w="3936" w:type="dxa"/>
            <w:tcBorders>
              <w:bottom w:val="single" w:sz="4" w:space="0" w:color="auto"/>
            </w:tcBorders>
          </w:tcPr>
          <w:p w:rsidR="00242F7B" w:rsidRPr="001A3496" w:rsidRDefault="00242F7B" w:rsidP="00BC2C0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242F7B" w:rsidRPr="001A3496" w:rsidRDefault="00242F7B" w:rsidP="00BC2C0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42F7B" w:rsidRPr="001A3496" w:rsidRDefault="00242F7B" w:rsidP="00BC2C0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1A3496">
              <w:rPr>
                <w:rFonts w:ascii="Times New Roman" w:hAnsi="Times New Roman" w:cs="Times New Roman"/>
              </w:rPr>
              <w:t>Podpis</w:t>
            </w:r>
          </w:p>
        </w:tc>
      </w:tr>
      <w:tr w:rsidR="00242F7B" w:rsidRPr="001A3496" w:rsidTr="00BC2C04">
        <w:trPr>
          <w:trHeight w:val="804"/>
        </w:trPr>
        <w:tc>
          <w:tcPr>
            <w:tcW w:w="39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42F7B" w:rsidRPr="001A3496" w:rsidRDefault="00242F7B" w:rsidP="00242F7B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Asociace nemocnic ČR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42F7B" w:rsidRPr="001A3496" w:rsidRDefault="00242F7B" w:rsidP="00BC2C0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42F7B" w:rsidRPr="001A3496" w:rsidRDefault="00242F7B" w:rsidP="00BC2C0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F7B" w:rsidRPr="001A3496" w:rsidTr="00BC2C04">
        <w:trPr>
          <w:trHeight w:val="985"/>
        </w:trPr>
        <w:tc>
          <w:tcPr>
            <w:tcW w:w="39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2F7B" w:rsidRPr="001A3496" w:rsidRDefault="00242F7B" w:rsidP="00242F7B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Asociace českých a moravských nemocnic</w:t>
            </w: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2F7B" w:rsidRPr="001A3496" w:rsidRDefault="00242F7B" w:rsidP="00BC2C0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2F7B" w:rsidRPr="001A3496" w:rsidRDefault="00242F7B" w:rsidP="00BC2C0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F7B" w:rsidRPr="001A3496" w:rsidTr="00BC2C04">
        <w:trPr>
          <w:trHeight w:val="830"/>
        </w:trPr>
        <w:tc>
          <w:tcPr>
            <w:tcW w:w="39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2F7B" w:rsidRPr="001A3496" w:rsidRDefault="00242F7B" w:rsidP="00242F7B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Sdružení soukromých nemocnic ČR</w:t>
            </w: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2F7B" w:rsidRDefault="00242F7B" w:rsidP="00BC2C0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42F7B" w:rsidRPr="001A3496" w:rsidRDefault="00242F7B" w:rsidP="00BC2C0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F7B" w:rsidRPr="001A3496" w:rsidTr="00BC2C04">
        <w:trPr>
          <w:trHeight w:val="779"/>
        </w:trPr>
        <w:tc>
          <w:tcPr>
            <w:tcW w:w="39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42F7B" w:rsidRPr="001A3496" w:rsidRDefault="00A30726" w:rsidP="00A30726">
            <w:pPr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Asociace krajských nemocnic</w:t>
            </w:r>
          </w:p>
        </w:tc>
        <w:tc>
          <w:tcPr>
            <w:tcW w:w="220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42F7B" w:rsidRDefault="00242F7B" w:rsidP="00BC2C0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42F7B" w:rsidRPr="001A3496" w:rsidRDefault="00242F7B" w:rsidP="00BC2C04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622D" w:rsidRDefault="0031622D">
      <w:pPr>
        <w:rPr>
          <w:rFonts w:ascii="Times New Roman" w:hAnsi="Times New Roman" w:cs="Times New Roman"/>
        </w:rPr>
      </w:pPr>
    </w:p>
    <w:p w:rsidR="0031622D" w:rsidRDefault="0031622D" w:rsidP="00D226A3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i/>
        </w:rPr>
      </w:pPr>
      <w:r w:rsidRPr="00D226A3">
        <w:rPr>
          <w:rFonts w:ascii="Times New Roman" w:hAnsi="Times New Roman" w:cs="Times New Roman"/>
          <w:b/>
          <w:i/>
        </w:rPr>
        <w:t>Příloha č. 1</w:t>
      </w:r>
      <w:r w:rsidRPr="00D226A3">
        <w:rPr>
          <w:rFonts w:ascii="Times New Roman" w:hAnsi="Times New Roman" w:cs="Times New Roman"/>
          <w:i/>
        </w:rPr>
        <w:t xml:space="preserve"> k</w:t>
      </w:r>
      <w:r w:rsidR="00D226A3">
        <w:rPr>
          <w:rFonts w:ascii="Times New Roman" w:hAnsi="Times New Roman" w:cs="Times New Roman"/>
          <w:i/>
        </w:rPr>
        <w:t> protokolu z přípravné fáze dohodovacího řízení o hodnotách bodu, výši úhrad hrazených služeb z veřejného zdravotního pojištění a regulačních omezení pro rok 2020 ve skupině</w:t>
      </w:r>
      <w:r w:rsidRPr="00D226A3">
        <w:rPr>
          <w:rFonts w:ascii="Times New Roman" w:hAnsi="Times New Roman" w:cs="Times New Roman"/>
          <w:i/>
        </w:rPr>
        <w:t xml:space="preserve"> poskytovatelů následné lůžkové péče, dlouhodobé lůžkové péče a zvláštní lůžkové péče</w:t>
      </w:r>
    </w:p>
    <w:p w:rsidR="00D226A3" w:rsidRDefault="00D226A3" w:rsidP="00D226A3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i/>
        </w:rPr>
      </w:pPr>
    </w:p>
    <w:p w:rsidR="00D226A3" w:rsidRDefault="00D226A3" w:rsidP="00D226A3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i/>
        </w:rPr>
      </w:pPr>
    </w:p>
    <w:p w:rsidR="00D226A3" w:rsidRPr="00D226A3" w:rsidRDefault="00D226A3" w:rsidP="00D226A3">
      <w:pPr>
        <w:pBdr>
          <w:bottom w:val="single" w:sz="4" w:space="1" w:color="auto"/>
        </w:pBdr>
        <w:jc w:val="center"/>
        <w:rPr>
          <w:rFonts w:eastAsia="Calibri"/>
          <w:b/>
          <w:noProof/>
          <w:sz w:val="28"/>
          <w:szCs w:val="28"/>
        </w:rPr>
      </w:pPr>
      <w:r w:rsidRPr="00D226A3">
        <w:rPr>
          <w:rFonts w:eastAsia="Calibri"/>
          <w:b/>
          <w:noProof/>
          <w:sz w:val="28"/>
          <w:szCs w:val="28"/>
        </w:rPr>
        <w:t>Společný návrh VZP ČR, Svazu zdravotních pojišťoven a poskytovatelů následné</w:t>
      </w:r>
      <w:r w:rsidRPr="00D226A3">
        <w:rPr>
          <w:rFonts w:ascii="Times New Roman" w:hAnsi="Times New Roman" w:cs="Times New Roman"/>
          <w:b/>
        </w:rPr>
        <w:t xml:space="preserve"> </w:t>
      </w:r>
      <w:r w:rsidRPr="00D226A3">
        <w:rPr>
          <w:rFonts w:eastAsia="Calibri"/>
          <w:b/>
          <w:noProof/>
          <w:sz w:val="28"/>
          <w:szCs w:val="28"/>
        </w:rPr>
        <w:t>lůžkové péče, dlouhodobé lůžkové péče a zvláštní lůžkové péče</w:t>
      </w:r>
    </w:p>
    <w:p w:rsidR="00D226A3" w:rsidRDefault="00D226A3" w:rsidP="00D226A3">
      <w:pPr>
        <w:pStyle w:val="Zhlav"/>
        <w:tabs>
          <w:tab w:val="left" w:pos="708"/>
        </w:tabs>
        <w:ind w:left="709" w:hanging="425"/>
        <w:jc w:val="center"/>
        <w:rPr>
          <w:rFonts w:eastAsia="Calibri"/>
          <w:noProof/>
          <w:sz w:val="28"/>
          <w:szCs w:val="28"/>
        </w:rPr>
      </w:pPr>
    </w:p>
    <w:p w:rsidR="0031622D" w:rsidRDefault="0031622D">
      <w:pPr>
        <w:rPr>
          <w:rFonts w:ascii="Times New Roman" w:hAnsi="Times New Roman" w:cs="Times New Roman"/>
        </w:rPr>
      </w:pPr>
    </w:p>
    <w:p w:rsidR="0031622D" w:rsidRPr="00734F10" w:rsidRDefault="0031622D" w:rsidP="0031622D">
      <w:pPr>
        <w:pStyle w:val="Textbodu"/>
        <w:numPr>
          <w:ilvl w:val="0"/>
          <w:numId w:val="7"/>
        </w:numPr>
        <w:spacing w:after="120"/>
        <w:ind w:left="284" w:hanging="284"/>
        <w:rPr>
          <w:b/>
        </w:rPr>
      </w:pPr>
      <w:r w:rsidRPr="00734F10">
        <w:rPr>
          <w:b/>
        </w:rPr>
        <w:t xml:space="preserve">Úhrada následné lůžkové péče, dlouhodobé lůžkové péče, péče ošetřovacího dne 00005 </w:t>
      </w:r>
      <w:r>
        <w:rPr>
          <w:b/>
        </w:rPr>
        <w:t>a zvláštní lůžkové péče hospicového typu podle § 22a zákona</w:t>
      </w:r>
    </w:p>
    <w:p w:rsidR="0031622D" w:rsidRPr="00583396" w:rsidRDefault="0031622D" w:rsidP="0031622D">
      <w:pPr>
        <w:pStyle w:val="Textpsmene"/>
        <w:spacing w:after="120"/>
        <w:ind w:left="567"/>
        <w:rPr>
          <w:szCs w:val="24"/>
        </w:rPr>
      </w:pPr>
    </w:p>
    <w:p w:rsidR="0031622D" w:rsidRDefault="0031622D" w:rsidP="0031622D">
      <w:pPr>
        <w:pStyle w:val="Textpsmene"/>
        <w:numPr>
          <w:ilvl w:val="0"/>
          <w:numId w:val="10"/>
        </w:numPr>
        <w:rPr>
          <w:szCs w:val="24"/>
        </w:rPr>
      </w:pPr>
      <w:r w:rsidRPr="005701AD">
        <w:rPr>
          <w:szCs w:val="24"/>
        </w:rPr>
        <w:t xml:space="preserve">Paušální sazba </w:t>
      </w:r>
      <w:r>
        <w:rPr>
          <w:szCs w:val="24"/>
        </w:rPr>
        <w:t>bude stanovena</w:t>
      </w:r>
      <w:r w:rsidRPr="005701AD">
        <w:rPr>
          <w:szCs w:val="24"/>
        </w:rPr>
        <w:t xml:space="preserve"> pro každou kategorii pacienta a typ ošetřovacího dne</w:t>
      </w:r>
      <w:r w:rsidRPr="002D5C75">
        <w:rPr>
          <w:szCs w:val="24"/>
        </w:rPr>
        <w:t xml:space="preserve"> sam</w:t>
      </w:r>
      <w:r w:rsidRPr="00764CB1">
        <w:rPr>
          <w:szCs w:val="24"/>
        </w:rPr>
        <w:t>ostatně a</w:t>
      </w:r>
      <w:r>
        <w:rPr>
          <w:szCs w:val="24"/>
        </w:rPr>
        <w:t> </w:t>
      </w:r>
      <w:r w:rsidRPr="00764CB1">
        <w:rPr>
          <w:szCs w:val="24"/>
        </w:rPr>
        <w:t xml:space="preserve">zahrnuje hodnotu příslušného ošetřovacího dne včetně režie přiřazené k ošetřovacímu dni a kategorie pacienta podle seznamu </w:t>
      </w:r>
      <w:r>
        <w:rPr>
          <w:szCs w:val="24"/>
        </w:rPr>
        <w:t xml:space="preserve">zdravotních </w:t>
      </w:r>
      <w:r w:rsidRPr="00764CB1">
        <w:rPr>
          <w:szCs w:val="24"/>
        </w:rPr>
        <w:t>výkonů, paušální částku, kterou se hradí léč</w:t>
      </w:r>
      <w:r>
        <w:rPr>
          <w:szCs w:val="24"/>
        </w:rPr>
        <w:t>ivé přípravky podle § 17 odst. 6</w:t>
      </w:r>
      <w:r w:rsidRPr="00764CB1">
        <w:rPr>
          <w:szCs w:val="24"/>
        </w:rPr>
        <w:t xml:space="preserve"> zákona, a zdravotní výkony</w:t>
      </w:r>
      <w:r>
        <w:rPr>
          <w:szCs w:val="24"/>
        </w:rPr>
        <w:t>,</w:t>
      </w:r>
      <w:r w:rsidRPr="00167530">
        <w:rPr>
          <w:szCs w:val="24"/>
        </w:rPr>
        <w:t xml:space="preserve"> </w:t>
      </w:r>
      <w:r w:rsidRPr="00764CB1">
        <w:rPr>
          <w:szCs w:val="24"/>
        </w:rPr>
        <w:t>kterými se vykazuje příjmové a</w:t>
      </w:r>
      <w:r>
        <w:rPr>
          <w:szCs w:val="24"/>
        </w:rPr>
        <w:t> </w:t>
      </w:r>
      <w:r w:rsidRPr="00764CB1">
        <w:rPr>
          <w:szCs w:val="24"/>
        </w:rPr>
        <w:t>propouštěcí v</w:t>
      </w:r>
      <w:r>
        <w:rPr>
          <w:szCs w:val="24"/>
        </w:rPr>
        <w:t xml:space="preserve">yšetření, </w:t>
      </w:r>
      <w:r w:rsidRPr="007C60F8">
        <w:rPr>
          <w:szCs w:val="24"/>
        </w:rPr>
        <w:t>výkony agregované do ošetřovacího dne podle seznamu zdravotních výkonů.</w:t>
      </w:r>
    </w:p>
    <w:p w:rsidR="00214FCC" w:rsidRDefault="00214FCC" w:rsidP="004D55B3">
      <w:pPr>
        <w:pStyle w:val="Textpsmene"/>
        <w:ind w:left="720"/>
        <w:rPr>
          <w:szCs w:val="24"/>
        </w:rPr>
      </w:pPr>
    </w:p>
    <w:p w:rsidR="009851B5" w:rsidRDefault="009851B5" w:rsidP="004D55B3">
      <w:pPr>
        <w:pStyle w:val="Textpsmene"/>
        <w:numPr>
          <w:ilvl w:val="0"/>
          <w:numId w:val="10"/>
        </w:numPr>
      </w:pPr>
      <w:r w:rsidRPr="00EA764B">
        <w:t>Výše paušální sazby za jeden den hospitalizace</w:t>
      </w:r>
      <w:r w:rsidRPr="002D34D4">
        <w:t xml:space="preserve"> </w:t>
      </w:r>
      <w:r w:rsidRPr="00EA764B">
        <w:t>v hodnoceném období</w:t>
      </w:r>
      <w:r w:rsidR="0027771B" w:rsidRPr="0027771B">
        <w:t xml:space="preserve"> </w:t>
      </w:r>
      <w:r w:rsidR="0027771B" w:rsidRPr="00EA764B">
        <w:t>se stanoví ve výši</w:t>
      </w:r>
      <w:r w:rsidR="0027771B" w:rsidRPr="0027771B">
        <w:rPr>
          <w:szCs w:val="24"/>
        </w:rPr>
        <w:t xml:space="preserve"> </w:t>
      </w:r>
      <w:r w:rsidR="0027771B">
        <w:rPr>
          <w:szCs w:val="24"/>
        </w:rPr>
        <w:t>104</w:t>
      </w:r>
      <w:r w:rsidR="00C64136">
        <w:rPr>
          <w:szCs w:val="24"/>
        </w:rPr>
        <w:t>,5</w:t>
      </w:r>
      <w:r w:rsidR="0027771B">
        <w:rPr>
          <w:szCs w:val="24"/>
        </w:rPr>
        <w:t xml:space="preserve">% </w:t>
      </w:r>
      <w:r w:rsidR="00F41C39">
        <w:rPr>
          <w:szCs w:val="24"/>
        </w:rPr>
        <w:t>paušální sazby</w:t>
      </w:r>
      <w:r w:rsidR="0027771B">
        <w:rPr>
          <w:szCs w:val="24"/>
        </w:rPr>
        <w:t xml:space="preserve"> roku 2019</w:t>
      </w:r>
      <w:r>
        <w:t>,</w:t>
      </w:r>
      <w:r w:rsidRPr="00EA764B">
        <w:t xml:space="preserve"> </w:t>
      </w:r>
      <w:r w:rsidR="0027771B" w:rsidRPr="00A43983">
        <w:rPr>
          <w:szCs w:val="24"/>
        </w:rPr>
        <w:t xml:space="preserve">s  </w:t>
      </w:r>
      <w:r w:rsidR="0027771B" w:rsidRPr="00EA764B">
        <w:t>výjimkou dn</w:t>
      </w:r>
      <w:r w:rsidR="0027771B">
        <w:t>ů</w:t>
      </w:r>
      <w:r w:rsidR="0027771B" w:rsidRPr="00EA764B">
        <w:t xml:space="preserve"> hospitalizace </w:t>
      </w:r>
      <w:r w:rsidR="0027771B" w:rsidRPr="00A43983">
        <w:rPr>
          <w:szCs w:val="24"/>
        </w:rPr>
        <w:t>OD 00021</w:t>
      </w:r>
      <w:r w:rsidR="00D60CC9">
        <w:rPr>
          <w:szCs w:val="24"/>
        </w:rPr>
        <w:t xml:space="preserve">, </w:t>
      </w:r>
      <w:r w:rsidR="00C64136">
        <w:rPr>
          <w:szCs w:val="24"/>
        </w:rPr>
        <w:t>00026</w:t>
      </w:r>
      <w:r w:rsidR="0027771B">
        <w:t xml:space="preserve"> a </w:t>
      </w:r>
      <w:r w:rsidRPr="00EA764B">
        <w:t xml:space="preserve">OD </w:t>
      </w:r>
      <w:r>
        <w:t xml:space="preserve">00031, 00032, </w:t>
      </w:r>
      <w:r w:rsidRPr="00EA764B">
        <w:t xml:space="preserve">00098 </w:t>
      </w:r>
      <w:r>
        <w:t>a</w:t>
      </w:r>
      <w:r w:rsidRPr="00EA764B">
        <w:t xml:space="preserve"> 00099:</w:t>
      </w:r>
    </w:p>
    <w:p w:rsidR="00214FCC" w:rsidRPr="00EA764B" w:rsidRDefault="00214FCC" w:rsidP="004D55B3">
      <w:pPr>
        <w:pStyle w:val="Textpsmene"/>
        <w:ind w:left="720"/>
      </w:pPr>
    </w:p>
    <w:p w:rsidR="009851B5" w:rsidRPr="00EA764B" w:rsidRDefault="00826F9A" w:rsidP="009851B5">
      <w:pPr>
        <w:pStyle w:val="Textpsmene"/>
        <w:spacing w:after="120"/>
        <w:jc w:val="center"/>
      </w:pPr>
      <m:oMathPara>
        <m:oMath>
          <m:sSub>
            <m:sSubPr>
              <m:ctrlPr>
                <w:rPr>
                  <w:rFonts w:ascii="Cambria Math" w:hAnsi="Cambria Math" w:cs="Aharon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haroni"/>
                  <w:sz w:val="22"/>
                  <w:szCs w:val="22"/>
                </w:rPr>
                <m:t>PS</m:t>
              </m:r>
            </m:e>
            <m:sub>
              <m:r>
                <w:rPr>
                  <w:rFonts w:ascii="Cambria Math" w:hAnsi="Cambria Math" w:cs="Aharoni"/>
                  <w:sz w:val="22"/>
                  <w:szCs w:val="22"/>
                </w:rPr>
                <m:t>OD,2020</m:t>
              </m:r>
            </m:sub>
          </m:sSub>
          <m:r>
            <w:rPr>
              <w:rFonts w:ascii="Cambria Math" w:hAnsi="Cambria Math" w:cs="Aharoni"/>
              <w:sz w:val="22"/>
              <w:szCs w:val="22"/>
            </w:rPr>
            <m:t>= 1,045*(</m:t>
          </m:r>
          <m:sSub>
            <m:sSubPr>
              <m:ctrlPr>
                <w:rPr>
                  <w:rFonts w:ascii="Cambria Math" w:hAnsi="Cambria Math" w:cs="Aharon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haroni"/>
                  <w:sz w:val="22"/>
                  <w:szCs w:val="22"/>
                </w:rPr>
                <m:t>PS</m:t>
              </m:r>
            </m:e>
            <m:sub>
              <m:r>
                <w:rPr>
                  <w:rFonts w:ascii="Cambria Math" w:hAnsi="Cambria Math" w:cs="Aharoni"/>
                  <w:sz w:val="22"/>
                  <w:szCs w:val="22"/>
                </w:rPr>
                <m:t>OD2019</m:t>
              </m:r>
            </m:sub>
          </m:sSub>
          <m:r>
            <w:rPr>
              <w:rFonts w:ascii="Cambria Math" w:hAnsi="Cambria Math" w:cs="Aharoni"/>
              <w:sz w:val="22"/>
              <w:szCs w:val="22"/>
            </w:rPr>
            <m:t>+NavýšeníO</m:t>
          </m:r>
          <m:sSub>
            <m:sSubPr>
              <m:ctrlPr>
                <w:rPr>
                  <w:rFonts w:ascii="Cambria Math" w:hAnsi="Cambria Math" w:cs="Aharoni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haroni"/>
                  <w:sz w:val="22"/>
                  <w:szCs w:val="22"/>
                </w:rPr>
                <m:t>D</m:t>
              </m:r>
            </m:e>
            <m:sub>
              <m:r>
                <w:rPr>
                  <w:rFonts w:ascii="Cambria Math" w:hAnsi="Cambria Math" w:cs="Aharoni"/>
                  <w:sz w:val="22"/>
                  <w:szCs w:val="22"/>
                </w:rPr>
                <m:t xml:space="preserve">2019 </m:t>
              </m:r>
            </m:sub>
          </m:sSub>
          <m:r>
            <w:rPr>
              <w:rFonts w:ascii="Cambria Math" w:hAnsi="Cambria Math" w:cs="Aharoni"/>
              <w:sz w:val="22"/>
              <w:szCs w:val="22"/>
            </w:rPr>
            <m:t>)</m:t>
          </m:r>
        </m:oMath>
      </m:oMathPara>
    </w:p>
    <w:p w:rsidR="009851B5" w:rsidRPr="00EA764B" w:rsidRDefault="009851B5" w:rsidP="00C3460E">
      <w:pPr>
        <w:pStyle w:val="Textpsmene"/>
        <w:spacing w:after="120"/>
        <w:ind w:firstLine="709"/>
        <w:rPr>
          <w:szCs w:val="24"/>
        </w:rPr>
      </w:pPr>
      <w:r w:rsidRPr="00EA764B">
        <w:rPr>
          <w:szCs w:val="24"/>
        </w:rPr>
        <w:t>kde:</w:t>
      </w:r>
    </w:p>
    <w:p w:rsidR="009851B5" w:rsidRPr="00EF5A43" w:rsidRDefault="00826F9A" w:rsidP="00C3460E">
      <w:pPr>
        <w:pStyle w:val="Textpsmene"/>
        <w:spacing w:after="120"/>
        <w:ind w:left="2127" w:hanging="1418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PS</m:t>
            </m:r>
          </m:e>
          <m:sub>
            <m:r>
              <w:rPr>
                <w:rFonts w:ascii="Cambria Math" w:hAnsi="Cambria Math"/>
              </w:rPr>
              <m:t>OD,2019</m:t>
            </m:r>
          </m:sub>
        </m:sSub>
      </m:oMath>
      <w:r w:rsidR="009851B5" w:rsidRPr="00EA764B">
        <w:t xml:space="preserve"> </w:t>
      </w:r>
      <w:r w:rsidR="009851B5" w:rsidRPr="00EA764B">
        <w:tab/>
        <w:t xml:space="preserve">je paušální sazba za jeden den hospitalizace </w:t>
      </w:r>
      <w:r w:rsidR="009851B5">
        <w:t xml:space="preserve">v roce 2019, </w:t>
      </w:r>
      <w:r w:rsidR="009851B5" w:rsidRPr="00951FEC">
        <w:t>bez navýšení úhrad na zvýšení příplatku zdravotnickým pracovníkům vykonávajícím nelékařské zdravotnické povolání střídavě ve třísměnném nebo nepřetržitém provozním režimu u poskytovatelů zdravotních služeb lůžkové péče za ošetřovací den,</w:t>
      </w:r>
    </w:p>
    <w:p w:rsidR="0031622D" w:rsidRDefault="009851B5" w:rsidP="00C3460E">
      <w:pPr>
        <w:pStyle w:val="Textpsmene"/>
        <w:ind w:left="2127" w:hanging="1418"/>
      </w:pPr>
      <m:oMath>
        <m:r>
          <w:rPr>
            <w:rFonts w:ascii="Cambria Math" w:hAnsi="Cambria Math"/>
          </w:rPr>
          <m:t>NavýšeníO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2019</m:t>
            </m:r>
          </m:sub>
        </m:sSub>
      </m:oMath>
      <w:r w:rsidRPr="00EA764B">
        <w:tab/>
        <w:t>je navýšení úhrad na zvýšení příplatku zdravotn</w:t>
      </w:r>
      <w:r>
        <w:t>ickým pracovníkům vykonávajícím</w:t>
      </w:r>
      <w:r w:rsidRPr="00EA764B">
        <w:t xml:space="preserve"> nelékařské zdravotnické povolání střídavě ve třísměnném nebo </w:t>
      </w:r>
      <w:r>
        <w:t>nepřetržitém provozním režimu u </w:t>
      </w:r>
      <w:r w:rsidRPr="00EA764B">
        <w:t xml:space="preserve">poskytovatelů </w:t>
      </w:r>
      <w:r w:rsidR="00C3460E">
        <w:t xml:space="preserve">zdravotních služeb </w:t>
      </w:r>
      <w:r w:rsidRPr="00EA764B">
        <w:t>lůžkové péče za</w:t>
      </w:r>
      <w:r>
        <w:t> </w:t>
      </w:r>
      <w:r w:rsidRPr="00EA764B">
        <w:t>ošetřovací den</w:t>
      </w:r>
      <w:r w:rsidR="00CA2942">
        <w:t xml:space="preserve"> v roce 2019.</w:t>
      </w:r>
    </w:p>
    <w:p w:rsidR="00C3460E" w:rsidRPr="00C3460E" w:rsidRDefault="00C3460E" w:rsidP="00C3460E">
      <w:pPr>
        <w:pStyle w:val="Textpsmene"/>
        <w:ind w:left="2127" w:hanging="1418"/>
      </w:pPr>
    </w:p>
    <w:p w:rsidR="00D60CC9" w:rsidRDefault="0031622D" w:rsidP="00F41C39">
      <w:pPr>
        <w:pStyle w:val="Textpsmene"/>
        <w:numPr>
          <w:ilvl w:val="0"/>
          <w:numId w:val="10"/>
        </w:numPr>
        <w:rPr>
          <w:szCs w:val="24"/>
        </w:rPr>
      </w:pPr>
      <w:r w:rsidRPr="00A43983">
        <w:rPr>
          <w:szCs w:val="24"/>
        </w:rPr>
        <w:t>P</w:t>
      </w:r>
      <w:r w:rsidR="00F41C39" w:rsidRPr="00EA764B">
        <w:t>aušální sazba za jeden den hospitaliza</w:t>
      </w:r>
      <w:r w:rsidR="00F41C39">
        <w:t>ce</w:t>
      </w:r>
      <w:r w:rsidRPr="00A43983">
        <w:rPr>
          <w:szCs w:val="24"/>
        </w:rPr>
        <w:t xml:space="preserve"> </w:t>
      </w:r>
      <w:r>
        <w:rPr>
          <w:szCs w:val="24"/>
        </w:rPr>
        <w:t>OD 00021</w:t>
      </w:r>
      <w:r w:rsidR="00C64136">
        <w:rPr>
          <w:szCs w:val="24"/>
        </w:rPr>
        <w:t xml:space="preserve"> a 00026</w:t>
      </w:r>
      <w:r>
        <w:rPr>
          <w:szCs w:val="24"/>
        </w:rPr>
        <w:t xml:space="preserve"> bude pro </w:t>
      </w:r>
      <w:r w:rsidRPr="00A43983">
        <w:rPr>
          <w:szCs w:val="24"/>
        </w:rPr>
        <w:t>kategori</w:t>
      </w:r>
      <w:r w:rsidR="00C64136">
        <w:rPr>
          <w:szCs w:val="24"/>
        </w:rPr>
        <w:t>e</w:t>
      </w:r>
      <w:r w:rsidRPr="00A43983">
        <w:rPr>
          <w:szCs w:val="24"/>
        </w:rPr>
        <w:t xml:space="preserve"> pacienta 1, 2, 3 a 4</w:t>
      </w:r>
      <w:r>
        <w:rPr>
          <w:szCs w:val="24"/>
        </w:rPr>
        <w:t xml:space="preserve"> </w:t>
      </w:r>
      <w:r w:rsidRPr="00A43983">
        <w:rPr>
          <w:szCs w:val="24"/>
        </w:rPr>
        <w:t xml:space="preserve">nastavena </w:t>
      </w:r>
      <w:r w:rsidR="00F41C39">
        <w:rPr>
          <w:szCs w:val="24"/>
        </w:rPr>
        <w:t xml:space="preserve">dle vzorce uvedeného v odst. b) </w:t>
      </w:r>
      <w:r w:rsidRPr="00A43983">
        <w:rPr>
          <w:szCs w:val="24"/>
        </w:rPr>
        <w:t xml:space="preserve">ve výši 108% </w:t>
      </w:r>
      <w:r w:rsidR="00F41C39">
        <w:rPr>
          <w:szCs w:val="24"/>
        </w:rPr>
        <w:t>paušální sazby</w:t>
      </w:r>
      <w:r w:rsidR="00F41C39" w:rsidRPr="00A43983">
        <w:rPr>
          <w:szCs w:val="24"/>
        </w:rPr>
        <w:t xml:space="preserve"> </w:t>
      </w:r>
      <w:r w:rsidRPr="00A43983">
        <w:rPr>
          <w:szCs w:val="24"/>
        </w:rPr>
        <w:t>roku 2019</w:t>
      </w:r>
      <w:r>
        <w:rPr>
          <w:szCs w:val="24"/>
        </w:rPr>
        <w:t xml:space="preserve">, pro </w:t>
      </w:r>
      <w:r w:rsidRPr="00A43983">
        <w:rPr>
          <w:szCs w:val="24"/>
        </w:rPr>
        <w:t xml:space="preserve">kategorii pacienta </w:t>
      </w:r>
      <w:r>
        <w:rPr>
          <w:szCs w:val="24"/>
        </w:rPr>
        <w:t>5</w:t>
      </w:r>
      <w:r w:rsidR="00CA11B2">
        <w:rPr>
          <w:szCs w:val="24"/>
        </w:rPr>
        <w:t xml:space="preserve"> </w:t>
      </w:r>
      <w:r>
        <w:rPr>
          <w:szCs w:val="24"/>
        </w:rPr>
        <w:t>ve výši 10</w:t>
      </w:r>
      <w:r w:rsidR="001A337D">
        <w:rPr>
          <w:szCs w:val="24"/>
        </w:rPr>
        <w:t>5</w:t>
      </w:r>
      <w:r w:rsidRPr="00A43983">
        <w:rPr>
          <w:szCs w:val="24"/>
        </w:rPr>
        <w:t xml:space="preserve">% </w:t>
      </w:r>
      <w:r w:rsidR="00F41C39">
        <w:rPr>
          <w:szCs w:val="24"/>
        </w:rPr>
        <w:t>paušální sazby</w:t>
      </w:r>
      <w:r w:rsidR="00F41C39" w:rsidRPr="00A43983">
        <w:rPr>
          <w:szCs w:val="24"/>
        </w:rPr>
        <w:t xml:space="preserve"> </w:t>
      </w:r>
      <w:r w:rsidRPr="00A43983">
        <w:rPr>
          <w:szCs w:val="24"/>
        </w:rPr>
        <w:t xml:space="preserve">roku 2019. </w:t>
      </w:r>
      <w:r w:rsidR="00D60CC9">
        <w:rPr>
          <w:szCs w:val="24"/>
        </w:rPr>
        <w:t>P</w:t>
      </w:r>
      <w:r w:rsidRPr="00A43983">
        <w:rPr>
          <w:szCs w:val="24"/>
        </w:rPr>
        <w:t xml:space="preserve">očet dní </w:t>
      </w:r>
      <w:r w:rsidR="00C64136">
        <w:rPr>
          <w:szCs w:val="24"/>
        </w:rPr>
        <w:t xml:space="preserve">nepřetržité hospitalizace </w:t>
      </w:r>
      <w:r w:rsidRPr="00A43983">
        <w:rPr>
          <w:szCs w:val="24"/>
        </w:rPr>
        <w:t xml:space="preserve">hrazených paušální sazbou </w:t>
      </w:r>
      <w:r w:rsidR="00C64136" w:rsidRPr="00A43983">
        <w:rPr>
          <w:szCs w:val="24"/>
        </w:rPr>
        <w:t xml:space="preserve">ve výši 108% </w:t>
      </w:r>
      <w:r w:rsidR="00C64136">
        <w:rPr>
          <w:szCs w:val="24"/>
        </w:rPr>
        <w:t>paušální sazby</w:t>
      </w:r>
      <w:r w:rsidR="00C64136" w:rsidRPr="00A43983">
        <w:rPr>
          <w:szCs w:val="24"/>
        </w:rPr>
        <w:t xml:space="preserve"> roku 2019</w:t>
      </w:r>
      <w:r w:rsidRPr="00A43983">
        <w:rPr>
          <w:szCs w:val="24"/>
        </w:rPr>
        <w:t xml:space="preserve"> činí 120 dní. </w:t>
      </w:r>
      <w:r w:rsidR="00C64136">
        <w:rPr>
          <w:szCs w:val="24"/>
        </w:rPr>
        <w:t>P</w:t>
      </w:r>
      <w:r w:rsidRPr="00A43983">
        <w:rPr>
          <w:szCs w:val="24"/>
        </w:rPr>
        <w:t xml:space="preserve">očet dní bude počítán od prvního dne </w:t>
      </w:r>
      <w:r w:rsidR="00C64136">
        <w:rPr>
          <w:szCs w:val="24"/>
        </w:rPr>
        <w:t>přijetí na lůžko poskytovatele</w:t>
      </w:r>
      <w:r w:rsidRPr="00A43983">
        <w:rPr>
          <w:szCs w:val="24"/>
        </w:rPr>
        <w:t xml:space="preserve">, včetně propustek. </w:t>
      </w:r>
      <w:r w:rsidR="00D60CC9">
        <w:rPr>
          <w:szCs w:val="24"/>
        </w:rPr>
        <w:t>V případě, že hospitalizace započala před 1. 1. 2020 bude délka hospitalizace počítána od 1. 1. 2020.</w:t>
      </w:r>
    </w:p>
    <w:p w:rsidR="0027771B" w:rsidRPr="00A43983" w:rsidRDefault="0031622D" w:rsidP="00D60CC9">
      <w:pPr>
        <w:pStyle w:val="Textpsmene"/>
        <w:ind w:left="720"/>
        <w:rPr>
          <w:szCs w:val="24"/>
        </w:rPr>
      </w:pPr>
      <w:r w:rsidRPr="00A43983">
        <w:rPr>
          <w:szCs w:val="24"/>
        </w:rPr>
        <w:t xml:space="preserve">Po uplynutí výše uvedeného počtu dní se </w:t>
      </w:r>
      <w:r w:rsidR="00D60CC9">
        <w:rPr>
          <w:szCs w:val="24"/>
        </w:rPr>
        <w:t xml:space="preserve">od 121. dne hospitalizace </w:t>
      </w:r>
      <w:r w:rsidRPr="00A43983">
        <w:rPr>
          <w:szCs w:val="24"/>
        </w:rPr>
        <w:t xml:space="preserve">stanoví </w:t>
      </w:r>
      <w:r w:rsidR="00F41C39">
        <w:rPr>
          <w:szCs w:val="24"/>
        </w:rPr>
        <w:t>paušální sazba</w:t>
      </w:r>
      <w:r w:rsidR="00F41C39" w:rsidRPr="00A43983">
        <w:rPr>
          <w:szCs w:val="24"/>
        </w:rPr>
        <w:t xml:space="preserve"> </w:t>
      </w:r>
      <w:r w:rsidRPr="00A43983">
        <w:rPr>
          <w:szCs w:val="24"/>
        </w:rPr>
        <w:t>za každý další ošetřovací den typu 00021</w:t>
      </w:r>
      <w:r w:rsidR="00C64136">
        <w:rPr>
          <w:szCs w:val="24"/>
        </w:rPr>
        <w:t xml:space="preserve"> a 00026</w:t>
      </w:r>
      <w:r w:rsidRPr="00A43983">
        <w:rPr>
          <w:szCs w:val="24"/>
        </w:rPr>
        <w:t xml:space="preserve"> v kategorii pacienta 1, 2, 3 a 4 </w:t>
      </w:r>
      <w:r w:rsidR="00F41C39">
        <w:rPr>
          <w:szCs w:val="24"/>
        </w:rPr>
        <w:t xml:space="preserve">dle vzorce uvedeného v odst. b) </w:t>
      </w:r>
      <w:r w:rsidRPr="00A43983">
        <w:rPr>
          <w:szCs w:val="24"/>
        </w:rPr>
        <w:t>ve výši 102%</w:t>
      </w:r>
      <w:r w:rsidRPr="0031622D">
        <w:rPr>
          <w:szCs w:val="24"/>
        </w:rPr>
        <w:t xml:space="preserve"> </w:t>
      </w:r>
      <w:r w:rsidR="00F41C39">
        <w:rPr>
          <w:szCs w:val="24"/>
        </w:rPr>
        <w:t>paušální sazby</w:t>
      </w:r>
      <w:r w:rsidR="00F41C39" w:rsidRPr="00A43983">
        <w:rPr>
          <w:szCs w:val="24"/>
        </w:rPr>
        <w:t xml:space="preserve"> </w:t>
      </w:r>
      <w:r>
        <w:rPr>
          <w:szCs w:val="24"/>
        </w:rPr>
        <w:t>roku 2019</w:t>
      </w:r>
      <w:r w:rsidRPr="00A43983">
        <w:rPr>
          <w:szCs w:val="24"/>
        </w:rPr>
        <w:t xml:space="preserve">. </w:t>
      </w:r>
    </w:p>
    <w:p w:rsidR="0031622D" w:rsidRDefault="0031622D" w:rsidP="0031622D">
      <w:pPr>
        <w:pStyle w:val="Textpsmene"/>
        <w:ind w:left="720"/>
        <w:rPr>
          <w:szCs w:val="24"/>
        </w:rPr>
      </w:pPr>
    </w:p>
    <w:p w:rsidR="0031622D" w:rsidRPr="001E102C" w:rsidRDefault="0031622D" w:rsidP="0031622D">
      <w:pPr>
        <w:pStyle w:val="Textpsmene"/>
        <w:numPr>
          <w:ilvl w:val="0"/>
          <w:numId w:val="10"/>
        </w:numPr>
        <w:rPr>
          <w:szCs w:val="24"/>
        </w:rPr>
      </w:pPr>
      <w:r w:rsidRPr="001E102C">
        <w:rPr>
          <w:szCs w:val="24"/>
        </w:rPr>
        <w:t xml:space="preserve">Výše </w:t>
      </w:r>
      <w:r w:rsidR="00F41C39">
        <w:rPr>
          <w:szCs w:val="24"/>
        </w:rPr>
        <w:t>paušální sazby</w:t>
      </w:r>
      <w:r w:rsidR="00F41C39" w:rsidRPr="001E102C">
        <w:rPr>
          <w:szCs w:val="24"/>
        </w:rPr>
        <w:t xml:space="preserve"> </w:t>
      </w:r>
      <w:r w:rsidRPr="001E102C">
        <w:rPr>
          <w:szCs w:val="24"/>
        </w:rPr>
        <w:t>typu OD 00021</w:t>
      </w:r>
      <w:r w:rsidR="00C64136">
        <w:rPr>
          <w:szCs w:val="24"/>
        </w:rPr>
        <w:t xml:space="preserve"> a OD 00026</w:t>
      </w:r>
      <w:r w:rsidRPr="001E102C">
        <w:rPr>
          <w:szCs w:val="24"/>
        </w:rPr>
        <w:t xml:space="preserve"> dle bodu c) je podmíněna </w:t>
      </w:r>
      <w:r w:rsidR="000A12A7" w:rsidRPr="001E102C">
        <w:rPr>
          <w:szCs w:val="24"/>
        </w:rPr>
        <w:t xml:space="preserve">existencí transformačního plánu </w:t>
      </w:r>
      <w:r w:rsidR="001A337D" w:rsidRPr="001E102C">
        <w:rPr>
          <w:szCs w:val="24"/>
        </w:rPr>
        <w:t>poskytovatele</w:t>
      </w:r>
      <w:r w:rsidR="000A12A7" w:rsidRPr="001E102C">
        <w:rPr>
          <w:szCs w:val="24"/>
        </w:rPr>
        <w:t xml:space="preserve"> v rámci reformy psychiatrické péče, který bude schválen zřizovatelem a předložen </w:t>
      </w:r>
      <w:r w:rsidRPr="001E102C">
        <w:rPr>
          <w:szCs w:val="24"/>
        </w:rPr>
        <w:t xml:space="preserve">zdravotní pojišťovně do 31. 12. 2019. V případě, že nebude podmínka splněna, bude výše </w:t>
      </w:r>
      <w:r w:rsidR="00F41C39">
        <w:rPr>
          <w:szCs w:val="24"/>
        </w:rPr>
        <w:t>paušální sazby</w:t>
      </w:r>
      <w:r w:rsidR="00F41C39" w:rsidRPr="001E102C">
        <w:rPr>
          <w:szCs w:val="24"/>
        </w:rPr>
        <w:t xml:space="preserve"> </w:t>
      </w:r>
      <w:r w:rsidRPr="001E102C">
        <w:rPr>
          <w:szCs w:val="24"/>
        </w:rPr>
        <w:t>hrazena dle bodu b).</w:t>
      </w:r>
    </w:p>
    <w:p w:rsidR="0031622D" w:rsidRDefault="0031622D" w:rsidP="0031622D">
      <w:pPr>
        <w:pStyle w:val="Textpsmene"/>
        <w:ind w:left="720"/>
        <w:rPr>
          <w:szCs w:val="24"/>
        </w:rPr>
      </w:pPr>
    </w:p>
    <w:p w:rsidR="0031622D" w:rsidRDefault="00F41C39" w:rsidP="0031622D">
      <w:pPr>
        <w:pStyle w:val="Textpsmene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Paušální sazba </w:t>
      </w:r>
      <w:r w:rsidR="0031622D">
        <w:rPr>
          <w:szCs w:val="24"/>
        </w:rPr>
        <w:t>bude navýšena o úhradu na zvýšení příplatku zdravotnickým pracovníkům vykonávajícím nelékařské zdravotnické povolání bez odborného dohledu střídavě ve třísměnném nebo nepřetržitém provozním režimu u poskytovatelů zdravotnických služeb lůžkové péče</w:t>
      </w:r>
      <w:r w:rsidR="00C3460E">
        <w:rPr>
          <w:szCs w:val="24"/>
        </w:rPr>
        <w:t xml:space="preserve"> za ošetřovací den</w:t>
      </w:r>
      <w:r w:rsidR="0031622D">
        <w:rPr>
          <w:szCs w:val="24"/>
        </w:rPr>
        <w:t>.</w:t>
      </w:r>
    </w:p>
    <w:p w:rsidR="0031622D" w:rsidRPr="005125D7" w:rsidRDefault="0031622D" w:rsidP="0031622D">
      <w:pPr>
        <w:pStyle w:val="Textpsmene"/>
        <w:ind w:left="720"/>
        <w:rPr>
          <w:szCs w:val="24"/>
        </w:rPr>
      </w:pPr>
    </w:p>
    <w:p w:rsidR="0031622D" w:rsidRDefault="0031622D" w:rsidP="0031622D">
      <w:pPr>
        <w:pStyle w:val="Textpsmene"/>
        <w:numPr>
          <w:ilvl w:val="0"/>
          <w:numId w:val="10"/>
        </w:numPr>
        <w:rPr>
          <w:szCs w:val="24"/>
        </w:rPr>
      </w:pPr>
      <w:r>
        <w:rPr>
          <w:szCs w:val="24"/>
        </w:rPr>
        <w:t>Výše paušální sazby za 1 den hospitalizace OD 00031, 00032, 00098 a 00099 se stanoví v hodnoceném období ve výši, která byla sjednána na rok 2019.</w:t>
      </w:r>
    </w:p>
    <w:p w:rsidR="0064109C" w:rsidRDefault="0064109C" w:rsidP="00CA2942">
      <w:pPr>
        <w:pStyle w:val="Odstavecseseznamem"/>
        <w:spacing w:after="0"/>
        <w:rPr>
          <w:szCs w:val="24"/>
        </w:rPr>
      </w:pPr>
    </w:p>
    <w:p w:rsidR="0064109C" w:rsidRPr="006B0090" w:rsidRDefault="0064109C" w:rsidP="006B0090">
      <w:pPr>
        <w:pStyle w:val="Textpsmene"/>
        <w:numPr>
          <w:ilvl w:val="0"/>
          <w:numId w:val="10"/>
        </w:numPr>
        <w:rPr>
          <w:szCs w:val="24"/>
        </w:rPr>
      </w:pPr>
      <w:r>
        <w:rPr>
          <w:szCs w:val="24"/>
        </w:rPr>
        <w:t>Měsíční předběžná úhrada pro</w:t>
      </w:r>
      <w:r w:rsidR="000F6EA7">
        <w:rPr>
          <w:szCs w:val="24"/>
        </w:rPr>
        <w:t xml:space="preserve"> poskytovatele vykazující</w:t>
      </w:r>
      <w:r>
        <w:rPr>
          <w:szCs w:val="24"/>
        </w:rPr>
        <w:t xml:space="preserve"> </w:t>
      </w:r>
      <w:r w:rsidRPr="001E102C">
        <w:rPr>
          <w:szCs w:val="24"/>
        </w:rPr>
        <w:t>OD 00021</w:t>
      </w:r>
      <w:r>
        <w:rPr>
          <w:szCs w:val="24"/>
        </w:rPr>
        <w:t xml:space="preserve"> a OD 00026</w:t>
      </w:r>
      <w:r w:rsidRPr="001E102C">
        <w:rPr>
          <w:szCs w:val="24"/>
        </w:rPr>
        <w:t xml:space="preserve"> </w:t>
      </w:r>
      <w:r>
        <w:rPr>
          <w:szCs w:val="24"/>
        </w:rPr>
        <w:t xml:space="preserve">bude poskytnuta ve výši hodnoty </w:t>
      </w:r>
      <w:r w:rsidR="006B0090">
        <w:rPr>
          <w:szCs w:val="24"/>
        </w:rPr>
        <w:t>za poskytovatelem vykázané</w:t>
      </w:r>
      <w:r>
        <w:rPr>
          <w:szCs w:val="24"/>
        </w:rPr>
        <w:t xml:space="preserve"> a zdravotní pojiš</w:t>
      </w:r>
      <w:r w:rsidR="006B0090">
        <w:rPr>
          <w:szCs w:val="24"/>
        </w:rPr>
        <w:t>ťovnou uznané hrazené služ</w:t>
      </w:r>
      <w:r>
        <w:rPr>
          <w:szCs w:val="24"/>
        </w:rPr>
        <w:t>b</w:t>
      </w:r>
      <w:r w:rsidR="006B0090">
        <w:rPr>
          <w:szCs w:val="24"/>
        </w:rPr>
        <w:t>y</w:t>
      </w:r>
      <w:r>
        <w:rPr>
          <w:szCs w:val="24"/>
        </w:rPr>
        <w:t xml:space="preserve"> za příslušný měsíc</w:t>
      </w:r>
      <w:r w:rsidR="00066050">
        <w:rPr>
          <w:szCs w:val="24"/>
        </w:rPr>
        <w:t xml:space="preserve">, kde OD 00021 a OD 00026 budou oceněny ve výši </w:t>
      </w:r>
      <w:r w:rsidR="000F6EA7">
        <w:rPr>
          <w:szCs w:val="24"/>
        </w:rPr>
        <w:t>106% paušální sazby za ošetřovací den roku 2019</w:t>
      </w:r>
      <w:r w:rsidR="006B0090">
        <w:rPr>
          <w:szCs w:val="24"/>
        </w:rPr>
        <w:t>, přičemž tuto formu zdravotní pojišťovna zachová po celé hodnocené období. Předběžnou měsíční úhradu za toto období zdravotní pojišťovna</w:t>
      </w:r>
      <w:r w:rsidRPr="006B0090">
        <w:rPr>
          <w:szCs w:val="24"/>
        </w:rPr>
        <w:t xml:space="preserve"> </w:t>
      </w:r>
      <w:r w:rsidR="006B0090">
        <w:rPr>
          <w:szCs w:val="24"/>
        </w:rPr>
        <w:t xml:space="preserve">finančně </w:t>
      </w:r>
      <w:r w:rsidRPr="006B0090">
        <w:rPr>
          <w:szCs w:val="24"/>
        </w:rPr>
        <w:t>vypořádá nejpozději do 180 dnů po skončení hodnoceného období.</w:t>
      </w:r>
    </w:p>
    <w:p w:rsidR="0064109C" w:rsidRPr="00CA2942" w:rsidRDefault="0064109C" w:rsidP="00CA2942">
      <w:pPr>
        <w:spacing w:after="0"/>
        <w:rPr>
          <w:szCs w:val="24"/>
        </w:rPr>
      </w:pPr>
      <w:bookmarkStart w:id="0" w:name="_GoBack"/>
      <w:bookmarkEnd w:id="0"/>
    </w:p>
    <w:p w:rsidR="0064109C" w:rsidRDefault="006B0090" w:rsidP="0031622D">
      <w:pPr>
        <w:pStyle w:val="Textpsmene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V případě hrazených služeb </w:t>
      </w:r>
      <w:r w:rsidR="0064109C" w:rsidRPr="001E102C">
        <w:rPr>
          <w:szCs w:val="24"/>
        </w:rPr>
        <w:t>OD 00021</w:t>
      </w:r>
      <w:r w:rsidR="0064109C">
        <w:rPr>
          <w:szCs w:val="24"/>
        </w:rPr>
        <w:t xml:space="preserve"> a OD 00026</w:t>
      </w:r>
      <w:r>
        <w:rPr>
          <w:szCs w:val="24"/>
        </w:rPr>
        <w:t xml:space="preserve"> poskytnutých zahraničním pojištěncům se tyto hrazené služby</w:t>
      </w:r>
      <w:r w:rsidR="000F6EA7">
        <w:rPr>
          <w:szCs w:val="24"/>
        </w:rPr>
        <w:t xml:space="preserve"> hradí</w:t>
      </w:r>
      <w:r>
        <w:rPr>
          <w:szCs w:val="24"/>
        </w:rPr>
        <w:t xml:space="preserve"> paušální sazbou </w:t>
      </w:r>
      <w:r w:rsidR="000F6EA7">
        <w:rPr>
          <w:szCs w:val="24"/>
        </w:rPr>
        <w:t xml:space="preserve">za ošetřovací den </w:t>
      </w:r>
      <w:r>
        <w:rPr>
          <w:szCs w:val="24"/>
        </w:rPr>
        <w:t xml:space="preserve">ve výši 106% paušální sazby </w:t>
      </w:r>
      <w:r w:rsidR="000F6EA7">
        <w:rPr>
          <w:szCs w:val="24"/>
        </w:rPr>
        <w:t xml:space="preserve">za ošetřovací den </w:t>
      </w:r>
      <w:r>
        <w:rPr>
          <w:szCs w:val="24"/>
        </w:rPr>
        <w:t>roku 2019</w:t>
      </w:r>
      <w:r w:rsidR="000F6EA7">
        <w:rPr>
          <w:szCs w:val="24"/>
        </w:rPr>
        <w:t>.</w:t>
      </w:r>
    </w:p>
    <w:p w:rsidR="0064109C" w:rsidRDefault="0064109C" w:rsidP="00CA2942">
      <w:pPr>
        <w:pStyle w:val="Textpsmene"/>
        <w:ind w:left="720"/>
        <w:rPr>
          <w:szCs w:val="24"/>
        </w:rPr>
      </w:pPr>
    </w:p>
    <w:p w:rsidR="0031622D" w:rsidRDefault="0064109C" w:rsidP="0031622D">
      <w:pPr>
        <w:pStyle w:val="Textpsmene"/>
        <w:ind w:left="720"/>
        <w:rPr>
          <w:szCs w:val="24"/>
        </w:rPr>
      </w:pPr>
      <w:r>
        <w:rPr>
          <w:szCs w:val="24"/>
        </w:rPr>
        <w:t xml:space="preserve"> </w:t>
      </w:r>
    </w:p>
    <w:p w:rsidR="0031622D" w:rsidRDefault="0031622D" w:rsidP="0031622D">
      <w:pPr>
        <w:pStyle w:val="Textbodu"/>
        <w:ind w:left="851" w:hanging="426"/>
      </w:pPr>
    </w:p>
    <w:p w:rsidR="0031622D" w:rsidRPr="00583396" w:rsidRDefault="0031622D" w:rsidP="0031622D">
      <w:pPr>
        <w:pStyle w:val="Textbodu"/>
        <w:ind w:left="851" w:hanging="426"/>
      </w:pPr>
    </w:p>
    <w:p w:rsidR="0031622D" w:rsidRPr="00734F10" w:rsidRDefault="0031622D" w:rsidP="0031622D">
      <w:pPr>
        <w:pStyle w:val="Textbodu"/>
        <w:numPr>
          <w:ilvl w:val="0"/>
          <w:numId w:val="7"/>
        </w:numPr>
        <w:spacing w:after="120"/>
        <w:ind w:left="284" w:hanging="284"/>
        <w:rPr>
          <w:b/>
        </w:rPr>
      </w:pPr>
      <w:r w:rsidRPr="00734F10">
        <w:rPr>
          <w:b/>
        </w:rPr>
        <w:t>Úhrada ambulantní péče a zvláštní ambulantní péče</w:t>
      </w:r>
    </w:p>
    <w:p w:rsidR="0031622D" w:rsidRDefault="0031622D" w:rsidP="0031622D">
      <w:pPr>
        <w:spacing w:line="240" w:lineRule="auto"/>
        <w:jc w:val="both"/>
      </w:pPr>
    </w:p>
    <w:p w:rsidR="0031622D" w:rsidRDefault="0031622D" w:rsidP="0031622D">
      <w:pPr>
        <w:pStyle w:val="Textpsmene"/>
        <w:numPr>
          <w:ilvl w:val="1"/>
          <w:numId w:val="8"/>
        </w:numPr>
        <w:tabs>
          <w:tab w:val="clear" w:pos="425"/>
          <w:tab w:val="num" w:pos="-567"/>
          <w:tab w:val="num" w:pos="-143"/>
          <w:tab w:val="num" w:pos="9356"/>
        </w:tabs>
        <w:spacing w:after="120"/>
        <w:ind w:left="567" w:hanging="283"/>
        <w:rPr>
          <w:szCs w:val="24"/>
        </w:rPr>
      </w:pPr>
      <w:r>
        <w:rPr>
          <w:szCs w:val="24"/>
        </w:rPr>
        <w:t>Ambulantní zdravotní péče bude hrazena shodně jako příslušný ambulantní segment včetně regulačních omezení.</w:t>
      </w:r>
      <w:r>
        <w:t xml:space="preserve"> </w:t>
      </w:r>
    </w:p>
    <w:p w:rsidR="0031622D" w:rsidRPr="0031622D" w:rsidRDefault="0031622D" w:rsidP="0031622D">
      <w:pPr>
        <w:pStyle w:val="Textpsmene"/>
        <w:tabs>
          <w:tab w:val="num" w:pos="-143"/>
          <w:tab w:val="num" w:pos="9356"/>
        </w:tabs>
        <w:spacing w:after="120"/>
        <w:ind w:left="567"/>
        <w:rPr>
          <w:szCs w:val="24"/>
        </w:rPr>
      </w:pPr>
    </w:p>
    <w:p w:rsidR="0031622D" w:rsidRDefault="0031622D" w:rsidP="0031622D">
      <w:pPr>
        <w:pStyle w:val="Textpsmene"/>
        <w:numPr>
          <w:ilvl w:val="1"/>
          <w:numId w:val="8"/>
        </w:numPr>
        <w:tabs>
          <w:tab w:val="clear" w:pos="425"/>
          <w:tab w:val="num" w:pos="-567"/>
          <w:tab w:val="num" w:pos="-143"/>
          <w:tab w:val="num" w:pos="9356"/>
        </w:tabs>
        <w:spacing w:after="120"/>
        <w:ind w:left="567" w:hanging="283"/>
        <w:rPr>
          <w:szCs w:val="24"/>
        </w:rPr>
      </w:pPr>
      <w:r w:rsidRPr="00143E12">
        <w:rPr>
          <w:szCs w:val="24"/>
        </w:rPr>
        <w:t xml:space="preserve">Zvláštní ambulantní péče </w:t>
      </w:r>
    </w:p>
    <w:p w:rsidR="0031622D" w:rsidRPr="004E2354" w:rsidRDefault="0031622D" w:rsidP="0031622D">
      <w:pPr>
        <w:pStyle w:val="Textpsmene"/>
        <w:spacing w:after="120"/>
        <w:ind w:left="567"/>
        <w:rPr>
          <w:szCs w:val="24"/>
        </w:rPr>
      </w:pPr>
      <w:r w:rsidRPr="00143E12">
        <w:rPr>
          <w:szCs w:val="24"/>
        </w:rPr>
        <w:t xml:space="preserve">Pro poskytovatele zvláštní ambulantní péče poskytované podle § 22 písm. c) zákona se stanoví výše úhrady podle seznamu výkonů úhradou za poskytnuté výkony s hodnotou bodu ve výši </w:t>
      </w:r>
      <w:r w:rsidRPr="004E2354">
        <w:rPr>
          <w:szCs w:val="24"/>
        </w:rPr>
        <w:t>1,10 Kč. Celková výše úhrady za výkony poskytovateli nepřekročí částku, která se vypočte takto:</w:t>
      </w:r>
    </w:p>
    <w:p w:rsidR="0031622D" w:rsidRPr="004E2354" w:rsidRDefault="00826F9A" w:rsidP="0031622D">
      <w:pPr>
        <w:jc w:val="center"/>
        <w:rPr>
          <w:rFonts w:eastAsia="Times New Roman" w:cs="Times New Roman"/>
          <w:sz w:val="24"/>
          <w:szCs w:val="24"/>
          <w:lang w:eastAsia="cs-CZ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max {POP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zpo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PURO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o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*1,07;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PB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ho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*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HB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min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KP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cs-CZ"/>
              </w:rPr>
              <m:t>ho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>}</m:t>
        </m:r>
      </m:oMath>
      <w:r w:rsidR="0031622D" w:rsidRPr="004E2354">
        <w:rPr>
          <w:rFonts w:eastAsia="Times New Roman" w:cs="Times New Roman"/>
          <w:sz w:val="24"/>
          <w:szCs w:val="24"/>
          <w:lang w:eastAsia="cs-CZ"/>
        </w:rPr>
        <w:tab/>
      </w:r>
    </w:p>
    <w:p w:rsidR="0031622D" w:rsidRPr="00C274F4" w:rsidRDefault="0031622D" w:rsidP="0031622D">
      <w:pPr>
        <w:ind w:left="426" w:firstLine="14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>kde:</w:t>
      </w:r>
    </w:p>
    <w:p w:rsidR="0031622D" w:rsidRPr="00C274F4" w:rsidRDefault="0031622D" w:rsidP="0031622D">
      <w:pPr>
        <w:spacing w:after="120"/>
        <w:ind w:left="2124" w:hanging="127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POPzpo  </w:t>
      </w: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je počet unikátních pojištěnců ošetřených v dané odbornosti v hodnoceném období.</w:t>
      </w:r>
    </w:p>
    <w:p w:rsidR="0031622D" w:rsidRPr="00C274F4" w:rsidRDefault="0031622D" w:rsidP="0031622D">
      <w:pPr>
        <w:spacing w:after="120"/>
        <w:ind w:left="2124" w:hanging="127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PUROo   </w:t>
      </w: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je průměrná úhrada za výkony, včetně zvlášť účtovaného materiálu a zvlášť účtovaných léčivých přípravků, na jednoho unikátního pojištěnce ošetřeného v dané odbornosti poskytovatelem v referenčním období, kterým je rok 2018.</w:t>
      </w:r>
    </w:p>
    <w:p w:rsidR="0031622D" w:rsidRPr="00C274F4" w:rsidRDefault="0031622D" w:rsidP="0031622D">
      <w:pPr>
        <w:spacing w:after="120"/>
        <w:ind w:left="2124" w:hanging="127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>PBho</w:t>
      </w: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je celkový počet poskytovatelem vykázaných a ZP uznaných bodů v hodnoceném období.</w:t>
      </w:r>
    </w:p>
    <w:p w:rsidR="0031622D" w:rsidRPr="00C274F4" w:rsidRDefault="0031622D" w:rsidP="0031622D">
      <w:pPr>
        <w:spacing w:after="120"/>
        <w:ind w:left="1417" w:hanging="5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HBmin   </w:t>
      </w: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je minimální hodnota bodu, která se stanoví ve výši 0,73 Kč.</w:t>
      </w:r>
    </w:p>
    <w:p w:rsidR="0031622D" w:rsidRPr="00C274F4" w:rsidRDefault="0031622D" w:rsidP="0031622D">
      <w:pPr>
        <w:spacing w:after="120"/>
        <w:ind w:left="1417" w:hanging="5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>KPho</w:t>
      </w: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je hodnota korunových položek v hodnoceném období.</w:t>
      </w:r>
    </w:p>
    <w:p w:rsidR="0031622D" w:rsidRPr="00C274F4" w:rsidRDefault="0031622D" w:rsidP="0031622D">
      <w:pPr>
        <w:spacing w:after="120"/>
        <w:ind w:left="1417" w:hanging="56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>max</w:t>
      </w: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C274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funkce maximum, která vybere z oboru hodnot hodnotu nejvyšší.</w:t>
      </w:r>
    </w:p>
    <w:p w:rsidR="0031622D" w:rsidRPr="004E2354" w:rsidRDefault="0031622D" w:rsidP="0031622D">
      <w:pPr>
        <w:spacing w:after="120"/>
        <w:ind w:left="1417" w:hanging="566"/>
        <w:rPr>
          <w:rFonts w:eastAsia="Times New Roman" w:cs="Times New Roman"/>
          <w:sz w:val="24"/>
          <w:szCs w:val="24"/>
          <w:lang w:eastAsia="cs-CZ"/>
        </w:rPr>
      </w:pPr>
    </w:p>
    <w:p w:rsidR="0031622D" w:rsidRPr="004E2354" w:rsidRDefault="0031622D" w:rsidP="0031622D">
      <w:pPr>
        <w:pStyle w:val="Textpsmene"/>
        <w:numPr>
          <w:ilvl w:val="0"/>
          <w:numId w:val="11"/>
        </w:numPr>
        <w:spacing w:after="120"/>
        <w:rPr>
          <w:szCs w:val="24"/>
        </w:rPr>
      </w:pPr>
      <w:r w:rsidRPr="004E2354">
        <w:rPr>
          <w:szCs w:val="24"/>
        </w:rPr>
        <w:t>U poskytovatele, u kterého nelze výši referenčních hodnot stanovit z důvodu, že poskytovatel v průběhu referenčního období hrazené služby neposkytoval, nebo poskytovatel hrazené služby poskytoval pouze v části referenčního období, použije zdravotní pojišťovna pro účely výpočtu celkové úhrady referenčních hodnoty srovnatelných poskytovatelů.</w:t>
      </w:r>
    </w:p>
    <w:p w:rsidR="0031622D" w:rsidRDefault="0031622D" w:rsidP="0031622D">
      <w:pPr>
        <w:pStyle w:val="Textpsmene"/>
        <w:numPr>
          <w:ilvl w:val="0"/>
          <w:numId w:val="11"/>
        </w:numPr>
        <w:spacing w:after="120"/>
        <w:rPr>
          <w:szCs w:val="24"/>
        </w:rPr>
      </w:pPr>
      <w:r w:rsidRPr="004E2354">
        <w:rPr>
          <w:szCs w:val="24"/>
        </w:rPr>
        <w:t xml:space="preserve">V případě, že poskytovatel poskytl v hodnoceném nebo referenčním období hrazené služby 30 a méně pojištěncům příslušné zdravotní pojišťovny, </w:t>
      </w:r>
      <w:r>
        <w:rPr>
          <w:szCs w:val="24"/>
        </w:rPr>
        <w:t xml:space="preserve">a v případě poskytnutí hrazených služeb zahraničním pojištěncům, </w:t>
      </w:r>
      <w:r w:rsidRPr="004E2354">
        <w:rPr>
          <w:szCs w:val="24"/>
        </w:rPr>
        <w:t xml:space="preserve">se výpočet celkové výše úhrady podle písmene b) nepoužije, a tyto hrazené služby se hradí podle seznamu výkonů s hodnotou bodu ve výši 1,10 Kč. </w:t>
      </w:r>
    </w:p>
    <w:p w:rsidR="0031622D" w:rsidRPr="004E2354" w:rsidRDefault="0031622D" w:rsidP="0031622D">
      <w:pPr>
        <w:pStyle w:val="Textpsmene"/>
        <w:numPr>
          <w:ilvl w:val="0"/>
          <w:numId w:val="11"/>
        </w:numPr>
        <w:spacing w:after="120"/>
        <w:rPr>
          <w:szCs w:val="24"/>
        </w:rPr>
      </w:pPr>
      <w:r w:rsidRPr="00143E12">
        <w:rPr>
          <w:szCs w:val="24"/>
        </w:rPr>
        <w:t xml:space="preserve">Změny v rozsahu a struktuře poskytovaných hrazených služeb ve srovnání s referenčním obdobím se určí ve smlouvě mezi poskytovatelem a zdravotní pojišťovnou včetně souvisejících změn ve výpočtu úhrad. </w:t>
      </w:r>
    </w:p>
    <w:p w:rsidR="0031622D" w:rsidRPr="00143E12" w:rsidRDefault="0031622D" w:rsidP="0031622D">
      <w:pPr>
        <w:tabs>
          <w:tab w:val="left" w:pos="1129"/>
          <w:tab w:val="left" w:pos="5245"/>
          <w:tab w:val="right" w:pos="6096"/>
        </w:tabs>
        <w:rPr>
          <w:rFonts w:eastAsia="Times New Roman" w:cs="Times New Roman"/>
          <w:sz w:val="24"/>
          <w:szCs w:val="24"/>
          <w:lang w:eastAsia="cs-CZ"/>
        </w:rPr>
      </w:pPr>
    </w:p>
    <w:p w:rsidR="0031622D" w:rsidRDefault="0031622D" w:rsidP="0031622D">
      <w:pPr>
        <w:pStyle w:val="Textbodu"/>
        <w:numPr>
          <w:ilvl w:val="0"/>
          <w:numId w:val="7"/>
        </w:numPr>
        <w:tabs>
          <w:tab w:val="num" w:pos="-143"/>
        </w:tabs>
        <w:spacing w:after="120"/>
        <w:ind w:left="284" w:hanging="284"/>
        <w:rPr>
          <w:b/>
        </w:rPr>
      </w:pPr>
      <w:r>
        <w:rPr>
          <w:color w:val="A6A6A6"/>
          <w:sz w:val="18"/>
        </w:rPr>
        <w:t xml:space="preserve"> </w:t>
      </w:r>
      <w:r w:rsidRPr="00734F10">
        <w:rPr>
          <w:b/>
        </w:rPr>
        <w:t>Úhrada</w:t>
      </w:r>
      <w:r>
        <w:rPr>
          <w:b/>
        </w:rPr>
        <w:t xml:space="preserve"> následné intenzivní péče a dlouhodobé intenzivní ošetřovatelské péče</w:t>
      </w:r>
    </w:p>
    <w:p w:rsidR="0031622D" w:rsidRPr="004E2354" w:rsidRDefault="0031622D" w:rsidP="0031622D">
      <w:pPr>
        <w:pStyle w:val="Textbodu"/>
        <w:numPr>
          <w:ilvl w:val="0"/>
          <w:numId w:val="9"/>
        </w:numPr>
        <w:tabs>
          <w:tab w:val="num" w:pos="-143"/>
        </w:tabs>
        <w:spacing w:after="120"/>
        <w:rPr>
          <w:b/>
        </w:rPr>
      </w:pPr>
      <w:r>
        <w:rPr>
          <w:szCs w:val="24"/>
        </w:rPr>
        <w:t>Výkony n</w:t>
      </w:r>
      <w:r w:rsidRPr="0023630A">
        <w:rPr>
          <w:szCs w:val="24"/>
        </w:rPr>
        <w:t>ásledné intenzivní péče</w:t>
      </w:r>
      <w:r>
        <w:rPr>
          <w:szCs w:val="24"/>
        </w:rPr>
        <w:t xml:space="preserve"> (dále jen „NIP“), </w:t>
      </w:r>
      <w:r w:rsidRPr="004E2354">
        <w:rPr>
          <w:szCs w:val="24"/>
        </w:rPr>
        <w:t>NIP o děti a dorost, dlouhodobé intenzivní ošetřovatelské péče</w:t>
      </w:r>
      <w:r w:rsidRPr="004E2354">
        <w:rPr>
          <w:color w:val="A6A6A6"/>
          <w:sz w:val="18"/>
        </w:rPr>
        <w:t xml:space="preserve"> </w:t>
      </w:r>
      <w:r w:rsidRPr="004E2354">
        <w:rPr>
          <w:szCs w:val="24"/>
        </w:rPr>
        <w:t>(dále jen „DIOP“) a následné ventilační péče (dále jen „NVP“) budou hrazeny podle seznamu výkonů s hodnotou bodu ve výši 1,14 Kč.</w:t>
      </w:r>
    </w:p>
    <w:p w:rsidR="0031622D" w:rsidRPr="00932BC6" w:rsidRDefault="0031622D" w:rsidP="0031622D">
      <w:pPr>
        <w:pStyle w:val="Textbodu"/>
        <w:numPr>
          <w:ilvl w:val="0"/>
          <w:numId w:val="9"/>
        </w:numPr>
        <w:tabs>
          <w:tab w:val="num" w:pos="-143"/>
        </w:tabs>
        <w:spacing w:after="120"/>
        <w:rPr>
          <w:b/>
        </w:rPr>
      </w:pPr>
      <w:r w:rsidRPr="004E2354">
        <w:rPr>
          <w:szCs w:val="24"/>
        </w:rPr>
        <w:t>Maximální počet hrazených výkonů NIP na jednoho unikátního pojištěnce je 90, počítáno od prvního dne přijetí na lůžko NIP, včetně překladů na jiné pracoviště NIP poskytovatele nebo i jiného poskytovatele NIP.</w:t>
      </w:r>
    </w:p>
    <w:p w:rsidR="0031622D" w:rsidRPr="00932BC6" w:rsidRDefault="0031622D" w:rsidP="0031622D">
      <w:pPr>
        <w:pStyle w:val="Textbodu"/>
        <w:numPr>
          <w:ilvl w:val="0"/>
          <w:numId w:val="9"/>
        </w:numPr>
        <w:tabs>
          <w:tab w:val="num" w:pos="-143"/>
        </w:tabs>
        <w:spacing w:after="120"/>
        <w:rPr>
          <w:b/>
        </w:rPr>
      </w:pPr>
      <w:r w:rsidRPr="004E2354">
        <w:rPr>
          <w:szCs w:val="24"/>
        </w:rPr>
        <w:t xml:space="preserve">Maximální počet hrazených výkonů NIP o děti a dorost na jednoho unikátního pojištěnce je </w:t>
      </w:r>
      <w:r>
        <w:rPr>
          <w:szCs w:val="24"/>
        </w:rPr>
        <w:t>365 dní</w:t>
      </w:r>
      <w:r w:rsidRPr="004E2354">
        <w:rPr>
          <w:szCs w:val="24"/>
        </w:rPr>
        <w:t>, počítáno od prvního dne přijetí na lůžko NIP, včetně překladů na jiné pracoviště NIP poskytovatele nebo i jiného poskytovatele NIP.</w:t>
      </w:r>
      <w:r>
        <w:rPr>
          <w:szCs w:val="24"/>
        </w:rPr>
        <w:t xml:space="preserve"> </w:t>
      </w:r>
    </w:p>
    <w:p w:rsidR="0031622D" w:rsidRPr="0031622D" w:rsidRDefault="0031622D" w:rsidP="0031622D">
      <w:pPr>
        <w:pStyle w:val="Textbodu"/>
        <w:numPr>
          <w:ilvl w:val="0"/>
          <w:numId w:val="9"/>
        </w:numPr>
        <w:tabs>
          <w:tab w:val="num" w:pos="-143"/>
        </w:tabs>
        <w:spacing w:after="120"/>
        <w:rPr>
          <w:b/>
        </w:rPr>
      </w:pPr>
      <w:r>
        <w:rPr>
          <w:szCs w:val="24"/>
        </w:rPr>
        <w:t>Překročení počtu hrazených výkonů</w:t>
      </w:r>
      <w:r w:rsidRPr="00932BC6">
        <w:rPr>
          <w:szCs w:val="24"/>
        </w:rPr>
        <w:t xml:space="preserve"> NIP o děti a dorost (00034) </w:t>
      </w:r>
      <w:r>
        <w:rPr>
          <w:szCs w:val="24"/>
        </w:rPr>
        <w:t>ve výši podle písmene c)</w:t>
      </w:r>
      <w:r w:rsidRPr="00932BC6">
        <w:rPr>
          <w:szCs w:val="24"/>
        </w:rPr>
        <w:t xml:space="preserve"> </w:t>
      </w:r>
      <w:r>
        <w:rPr>
          <w:szCs w:val="24"/>
        </w:rPr>
        <w:t>na více než</w:t>
      </w:r>
      <w:r w:rsidRPr="00932BC6">
        <w:rPr>
          <w:szCs w:val="24"/>
        </w:rPr>
        <w:t xml:space="preserve"> 365 dnů </w:t>
      </w:r>
      <w:r>
        <w:rPr>
          <w:szCs w:val="24"/>
        </w:rPr>
        <w:t xml:space="preserve">je </w:t>
      </w:r>
      <w:r w:rsidRPr="00932BC6">
        <w:rPr>
          <w:szCs w:val="24"/>
        </w:rPr>
        <w:t xml:space="preserve">možné jen </w:t>
      </w:r>
      <w:r>
        <w:rPr>
          <w:szCs w:val="24"/>
        </w:rPr>
        <w:t>s předchozím</w:t>
      </w:r>
      <w:r w:rsidRPr="00932BC6">
        <w:rPr>
          <w:szCs w:val="24"/>
        </w:rPr>
        <w:t xml:space="preserve"> souhlas</w:t>
      </w:r>
      <w:r>
        <w:rPr>
          <w:szCs w:val="24"/>
        </w:rPr>
        <w:t>em</w:t>
      </w:r>
      <w:r w:rsidRPr="00932BC6">
        <w:rPr>
          <w:szCs w:val="24"/>
        </w:rPr>
        <w:t xml:space="preserve"> </w:t>
      </w:r>
      <w:r>
        <w:rPr>
          <w:szCs w:val="24"/>
        </w:rPr>
        <w:t>zdravotní pojišťovny</w:t>
      </w:r>
      <w:r w:rsidRPr="00932BC6">
        <w:rPr>
          <w:szCs w:val="24"/>
        </w:rPr>
        <w:t xml:space="preserve">. </w:t>
      </w:r>
    </w:p>
    <w:p w:rsidR="0031622D" w:rsidRPr="00477546" w:rsidRDefault="0031622D" w:rsidP="0031622D">
      <w:pPr>
        <w:pStyle w:val="Textbodu"/>
        <w:numPr>
          <w:ilvl w:val="0"/>
          <w:numId w:val="9"/>
        </w:numPr>
        <w:tabs>
          <w:tab w:val="num" w:pos="-143"/>
        </w:tabs>
        <w:spacing w:after="120"/>
        <w:rPr>
          <w:b/>
        </w:rPr>
      </w:pPr>
      <w:r>
        <w:rPr>
          <w:szCs w:val="24"/>
        </w:rPr>
        <w:t>Maximální počet hrazených výkonů DIOP na jednoho unikátního pojištěnce je 190, počítáno od prvního dne přijetí na lůžko DIOP, včetně překladů na jiné pracoviště DIOP poskytovatele nebo i jiného poskytovatele DIOP, překlad na jiné pracoviště DIOP je možný pouze s předchozím souhlasem zdravotní pojišťovny.</w:t>
      </w:r>
    </w:p>
    <w:p w:rsidR="0031622D" w:rsidRPr="00477546" w:rsidRDefault="0031622D" w:rsidP="0031622D">
      <w:pPr>
        <w:pStyle w:val="Textbodu"/>
        <w:numPr>
          <w:ilvl w:val="0"/>
          <w:numId w:val="9"/>
        </w:numPr>
        <w:tabs>
          <w:tab w:val="num" w:pos="-143"/>
        </w:tabs>
        <w:spacing w:after="120"/>
        <w:rPr>
          <w:b/>
        </w:rPr>
      </w:pPr>
      <w:r>
        <w:rPr>
          <w:szCs w:val="24"/>
        </w:rPr>
        <w:t>Překročení počtu hrazených výkonů DIOP ve výši podle písmene e) na více než 190 hrazených výkonů DIOP je možné jen s předchozím souhlasem zdravotní pojišťovny.</w:t>
      </w:r>
    </w:p>
    <w:p w:rsidR="0031622D" w:rsidRPr="00520D40" w:rsidRDefault="00F41C39" w:rsidP="0031622D">
      <w:pPr>
        <w:pStyle w:val="Textbodu"/>
        <w:numPr>
          <w:ilvl w:val="0"/>
          <w:numId w:val="9"/>
        </w:numPr>
        <w:tabs>
          <w:tab w:val="num" w:pos="-143"/>
        </w:tabs>
        <w:spacing w:after="120"/>
        <w:rPr>
          <w:b/>
        </w:rPr>
      </w:pPr>
      <w:r>
        <w:rPr>
          <w:szCs w:val="24"/>
        </w:rPr>
        <w:t>Hodnota ošetřovacího dne</w:t>
      </w:r>
      <w:r w:rsidRPr="00043D84">
        <w:rPr>
          <w:szCs w:val="24"/>
        </w:rPr>
        <w:t xml:space="preserve"> </w:t>
      </w:r>
      <w:r w:rsidR="0031622D" w:rsidRPr="00043D84">
        <w:rPr>
          <w:szCs w:val="24"/>
        </w:rPr>
        <w:t>bude navýšena o úhradu na zvýšení příplatku zdravotnickým pracovníkům vykonávajícím nelékařské zdravotnické povolání bez odborného dohledu střídavě ve třísměnném nebo nepřetržitém provozním režimu u poskytovatelů zdravotnických služeb lůžkové péče.</w:t>
      </w:r>
    </w:p>
    <w:p w:rsidR="0031622D" w:rsidRDefault="0031622D">
      <w:pPr>
        <w:rPr>
          <w:rFonts w:ascii="Times New Roman" w:hAnsi="Times New Roman" w:cs="Times New Roman"/>
        </w:rPr>
      </w:pPr>
    </w:p>
    <w:sectPr w:rsidR="0031622D" w:rsidSect="00826F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01" w:rsidRDefault="003D5201" w:rsidP="0072340F">
      <w:pPr>
        <w:spacing w:after="0" w:line="240" w:lineRule="auto"/>
      </w:pPr>
      <w:r>
        <w:separator/>
      </w:r>
    </w:p>
  </w:endnote>
  <w:endnote w:type="continuationSeparator" w:id="0">
    <w:p w:rsidR="003D5201" w:rsidRDefault="003D5201" w:rsidP="007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339898"/>
      <w:docPartObj>
        <w:docPartGallery w:val="Page Numbers (Bottom of Page)"/>
        <w:docPartUnique/>
      </w:docPartObj>
    </w:sdtPr>
    <w:sdtContent>
      <w:p w:rsidR="0072340F" w:rsidRDefault="00826F9A">
        <w:pPr>
          <w:pStyle w:val="Zpat"/>
          <w:jc w:val="right"/>
        </w:pPr>
        <w:r>
          <w:fldChar w:fldCharType="begin"/>
        </w:r>
        <w:r w:rsidR="0072340F">
          <w:instrText>PAGE   \* MERGEFORMAT</w:instrText>
        </w:r>
        <w:r>
          <w:fldChar w:fldCharType="separate"/>
        </w:r>
        <w:r w:rsidR="003D5201">
          <w:rPr>
            <w:noProof/>
          </w:rPr>
          <w:t>1</w:t>
        </w:r>
        <w:r>
          <w:fldChar w:fldCharType="end"/>
        </w:r>
        <w:r w:rsidR="0072340F">
          <w:t xml:space="preserve"> z 5</w:t>
        </w:r>
      </w:p>
    </w:sdtContent>
  </w:sdt>
  <w:p w:rsidR="0072340F" w:rsidRDefault="007234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01" w:rsidRDefault="003D5201" w:rsidP="0072340F">
      <w:pPr>
        <w:spacing w:after="0" w:line="240" w:lineRule="auto"/>
      </w:pPr>
      <w:r>
        <w:separator/>
      </w:r>
    </w:p>
  </w:footnote>
  <w:footnote w:type="continuationSeparator" w:id="0">
    <w:p w:rsidR="003D5201" w:rsidRDefault="003D5201" w:rsidP="0072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8D0"/>
    <w:multiLevelType w:val="hybridMultilevel"/>
    <w:tmpl w:val="4C605ED8"/>
    <w:lvl w:ilvl="0" w:tplc="4D9A73FC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72EF"/>
    <w:multiLevelType w:val="hybridMultilevel"/>
    <w:tmpl w:val="33AA901C"/>
    <w:lvl w:ilvl="0" w:tplc="DFF2ED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25037"/>
    <w:multiLevelType w:val="hybridMultilevel"/>
    <w:tmpl w:val="6F90483A"/>
    <w:lvl w:ilvl="0" w:tplc="483A716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9759F4"/>
    <w:multiLevelType w:val="hybridMultilevel"/>
    <w:tmpl w:val="3FB8EFD0"/>
    <w:lvl w:ilvl="0" w:tplc="5A6E9E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488D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376342"/>
    <w:multiLevelType w:val="hybridMultilevel"/>
    <w:tmpl w:val="36BE95DA"/>
    <w:lvl w:ilvl="0" w:tplc="14647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5">
    <w:nsid w:val="33797524"/>
    <w:multiLevelType w:val="hybridMultilevel"/>
    <w:tmpl w:val="8342D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D2FB8"/>
    <w:multiLevelType w:val="hybridMultilevel"/>
    <w:tmpl w:val="D4FEAEF8"/>
    <w:lvl w:ilvl="0" w:tplc="86107C9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1506" w:hanging="180"/>
      </w:pPr>
    </w:lvl>
    <w:lvl w:ilvl="3" w:tplc="0405000F" w:tentative="1">
      <w:start w:val="1"/>
      <w:numFmt w:val="decimal"/>
      <w:lvlText w:val="%4."/>
      <w:lvlJc w:val="left"/>
      <w:pPr>
        <w:ind w:left="2226" w:hanging="360"/>
      </w:pPr>
    </w:lvl>
    <w:lvl w:ilvl="4" w:tplc="04050019" w:tentative="1">
      <w:start w:val="1"/>
      <w:numFmt w:val="lowerLetter"/>
      <w:lvlText w:val="%5."/>
      <w:lvlJc w:val="left"/>
      <w:pPr>
        <w:ind w:left="2946" w:hanging="360"/>
      </w:pPr>
    </w:lvl>
    <w:lvl w:ilvl="5" w:tplc="0405001B" w:tentative="1">
      <w:start w:val="1"/>
      <w:numFmt w:val="lowerRoman"/>
      <w:lvlText w:val="%6."/>
      <w:lvlJc w:val="right"/>
      <w:pPr>
        <w:ind w:left="3666" w:hanging="180"/>
      </w:pPr>
    </w:lvl>
    <w:lvl w:ilvl="6" w:tplc="0405000F" w:tentative="1">
      <w:start w:val="1"/>
      <w:numFmt w:val="decimal"/>
      <w:lvlText w:val="%7."/>
      <w:lvlJc w:val="left"/>
      <w:pPr>
        <w:ind w:left="4386" w:hanging="360"/>
      </w:pPr>
    </w:lvl>
    <w:lvl w:ilvl="7" w:tplc="04050019" w:tentative="1">
      <w:start w:val="1"/>
      <w:numFmt w:val="lowerLetter"/>
      <w:lvlText w:val="%8."/>
      <w:lvlJc w:val="left"/>
      <w:pPr>
        <w:ind w:left="5106" w:hanging="360"/>
      </w:pPr>
    </w:lvl>
    <w:lvl w:ilvl="8" w:tplc="040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">
    <w:nsid w:val="408C6FC7"/>
    <w:multiLevelType w:val="hybridMultilevel"/>
    <w:tmpl w:val="24485E62"/>
    <w:lvl w:ilvl="0" w:tplc="8820C7F2">
      <w:start w:val="1"/>
      <w:numFmt w:val="decimal"/>
      <w:lvlText w:val="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7" w:hanging="360"/>
      </w:pPr>
    </w:lvl>
    <w:lvl w:ilvl="2" w:tplc="0405001B" w:tentative="1">
      <w:start w:val="1"/>
      <w:numFmt w:val="lowerRoman"/>
      <w:lvlText w:val="%3."/>
      <w:lvlJc w:val="right"/>
      <w:pPr>
        <w:ind w:left="8887" w:hanging="180"/>
      </w:pPr>
    </w:lvl>
    <w:lvl w:ilvl="3" w:tplc="0405000F" w:tentative="1">
      <w:start w:val="1"/>
      <w:numFmt w:val="decimal"/>
      <w:lvlText w:val="%4."/>
      <w:lvlJc w:val="left"/>
      <w:pPr>
        <w:ind w:left="9607" w:hanging="360"/>
      </w:pPr>
    </w:lvl>
    <w:lvl w:ilvl="4" w:tplc="04050019" w:tentative="1">
      <w:start w:val="1"/>
      <w:numFmt w:val="lowerLetter"/>
      <w:lvlText w:val="%5."/>
      <w:lvlJc w:val="left"/>
      <w:pPr>
        <w:ind w:left="10327" w:hanging="360"/>
      </w:pPr>
    </w:lvl>
    <w:lvl w:ilvl="5" w:tplc="0405001B" w:tentative="1">
      <w:start w:val="1"/>
      <w:numFmt w:val="lowerRoman"/>
      <w:lvlText w:val="%6."/>
      <w:lvlJc w:val="right"/>
      <w:pPr>
        <w:ind w:left="11047" w:hanging="180"/>
      </w:pPr>
    </w:lvl>
    <w:lvl w:ilvl="6" w:tplc="0405000F" w:tentative="1">
      <w:start w:val="1"/>
      <w:numFmt w:val="decimal"/>
      <w:lvlText w:val="%7."/>
      <w:lvlJc w:val="left"/>
      <w:pPr>
        <w:ind w:left="11767" w:hanging="360"/>
      </w:pPr>
    </w:lvl>
    <w:lvl w:ilvl="7" w:tplc="04050019" w:tentative="1">
      <w:start w:val="1"/>
      <w:numFmt w:val="lowerLetter"/>
      <w:lvlText w:val="%8."/>
      <w:lvlJc w:val="left"/>
      <w:pPr>
        <w:ind w:left="12487" w:hanging="360"/>
      </w:pPr>
    </w:lvl>
    <w:lvl w:ilvl="8" w:tplc="0405001B" w:tentative="1">
      <w:start w:val="1"/>
      <w:numFmt w:val="lowerRoman"/>
      <w:lvlText w:val="%9."/>
      <w:lvlJc w:val="right"/>
      <w:pPr>
        <w:ind w:left="13207" w:hanging="180"/>
      </w:pPr>
    </w:lvl>
  </w:abstractNum>
  <w:abstractNum w:abstractNumId="8">
    <w:nsid w:val="43585202"/>
    <w:multiLevelType w:val="hybridMultilevel"/>
    <w:tmpl w:val="713A2110"/>
    <w:lvl w:ilvl="0" w:tplc="483A71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F1A1F"/>
    <w:multiLevelType w:val="multilevel"/>
    <w:tmpl w:val="A9E686B6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3496"/>
    <w:rsid w:val="00011B0E"/>
    <w:rsid w:val="00024F47"/>
    <w:rsid w:val="00066050"/>
    <w:rsid w:val="000A12A7"/>
    <w:rsid w:val="000F6EA7"/>
    <w:rsid w:val="001228A6"/>
    <w:rsid w:val="001947D3"/>
    <w:rsid w:val="001A337D"/>
    <w:rsid w:val="001A3496"/>
    <w:rsid w:val="001E102C"/>
    <w:rsid w:val="001F45DF"/>
    <w:rsid w:val="00214FCC"/>
    <w:rsid w:val="00242EA4"/>
    <w:rsid w:val="00242F7B"/>
    <w:rsid w:val="002535F1"/>
    <w:rsid w:val="0027771B"/>
    <w:rsid w:val="00281C7B"/>
    <w:rsid w:val="0031622D"/>
    <w:rsid w:val="00343BCF"/>
    <w:rsid w:val="003748F7"/>
    <w:rsid w:val="003A1E4B"/>
    <w:rsid w:val="003D5201"/>
    <w:rsid w:val="004103F4"/>
    <w:rsid w:val="0041299B"/>
    <w:rsid w:val="004606DA"/>
    <w:rsid w:val="004D55B3"/>
    <w:rsid w:val="00587104"/>
    <w:rsid w:val="005E6CF5"/>
    <w:rsid w:val="006157E2"/>
    <w:rsid w:val="00617FEE"/>
    <w:rsid w:val="0064109C"/>
    <w:rsid w:val="006B0090"/>
    <w:rsid w:val="006B2702"/>
    <w:rsid w:val="006C464A"/>
    <w:rsid w:val="00717E83"/>
    <w:rsid w:val="0072340F"/>
    <w:rsid w:val="00775CDD"/>
    <w:rsid w:val="00826F9A"/>
    <w:rsid w:val="0097316C"/>
    <w:rsid w:val="009851B5"/>
    <w:rsid w:val="009D4F8F"/>
    <w:rsid w:val="00A078E6"/>
    <w:rsid w:val="00A30726"/>
    <w:rsid w:val="00AA2727"/>
    <w:rsid w:val="00B548B8"/>
    <w:rsid w:val="00BA2CFB"/>
    <w:rsid w:val="00BB3E3E"/>
    <w:rsid w:val="00BD145D"/>
    <w:rsid w:val="00C16D17"/>
    <w:rsid w:val="00C16F92"/>
    <w:rsid w:val="00C274F4"/>
    <w:rsid w:val="00C3460E"/>
    <w:rsid w:val="00C64136"/>
    <w:rsid w:val="00C900B0"/>
    <w:rsid w:val="00C915C8"/>
    <w:rsid w:val="00C93B55"/>
    <w:rsid w:val="00CA11B2"/>
    <w:rsid w:val="00CA2942"/>
    <w:rsid w:val="00CF6A5E"/>
    <w:rsid w:val="00D226A3"/>
    <w:rsid w:val="00D60CC9"/>
    <w:rsid w:val="00D95F22"/>
    <w:rsid w:val="00DE20C4"/>
    <w:rsid w:val="00E704EA"/>
    <w:rsid w:val="00E9792B"/>
    <w:rsid w:val="00EC19C2"/>
    <w:rsid w:val="00F17CEE"/>
    <w:rsid w:val="00F33510"/>
    <w:rsid w:val="00F41BA3"/>
    <w:rsid w:val="00F41C39"/>
    <w:rsid w:val="00F468CE"/>
    <w:rsid w:val="00F9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F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535F1"/>
    <w:pPr>
      <w:ind w:left="720"/>
      <w:contextualSpacing/>
    </w:pPr>
  </w:style>
  <w:style w:type="paragraph" w:customStyle="1" w:styleId="Textodstavce">
    <w:name w:val="Text odstavce"/>
    <w:basedOn w:val="Normln"/>
    <w:uiPriority w:val="99"/>
    <w:rsid w:val="002535F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2535F1"/>
    <w:p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535F1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535F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535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basedOn w:val="Standardnpsmoodstavce"/>
    <w:link w:val="Odstavecseseznamem"/>
    <w:uiPriority w:val="34"/>
    <w:locked/>
    <w:rsid w:val="002535F1"/>
  </w:style>
  <w:style w:type="paragraph" w:styleId="Textbubliny">
    <w:name w:val="Balloon Text"/>
    <w:basedOn w:val="Normln"/>
    <w:link w:val="TextbublinyChar"/>
    <w:uiPriority w:val="99"/>
    <w:semiHidden/>
    <w:unhideWhenUsed/>
    <w:rsid w:val="0025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26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D226A3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2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535F1"/>
    <w:pPr>
      <w:ind w:left="720"/>
      <w:contextualSpacing/>
    </w:pPr>
  </w:style>
  <w:style w:type="paragraph" w:customStyle="1" w:styleId="Textodstavce">
    <w:name w:val="Text odstavce"/>
    <w:basedOn w:val="Normln"/>
    <w:uiPriority w:val="99"/>
    <w:rsid w:val="002535F1"/>
    <w:p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2535F1"/>
    <w:p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535F1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535F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535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basedOn w:val="Standardnpsmoodstavce"/>
    <w:link w:val="Odstavecseseznamem"/>
    <w:uiPriority w:val="34"/>
    <w:locked/>
    <w:rsid w:val="002535F1"/>
  </w:style>
  <w:style w:type="paragraph" w:styleId="Textbubliny">
    <w:name w:val="Balloon Text"/>
    <w:basedOn w:val="Normln"/>
    <w:link w:val="TextbublinyChar"/>
    <w:uiPriority w:val="99"/>
    <w:semiHidden/>
    <w:unhideWhenUsed/>
    <w:rsid w:val="0025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5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26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D226A3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723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1482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Jankůj</dc:creator>
  <cp:lastModifiedBy>Martina</cp:lastModifiedBy>
  <cp:revision>3</cp:revision>
  <dcterms:created xsi:type="dcterms:W3CDTF">2019-05-20T08:12:00Z</dcterms:created>
  <dcterms:modified xsi:type="dcterms:W3CDTF">2019-05-20T08:12:00Z</dcterms:modified>
</cp:coreProperties>
</file>