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00" w:rsidRPr="005B5700" w:rsidRDefault="005B5700" w:rsidP="005B5700">
      <w:pPr>
        <w:pStyle w:val="Textparagrafu"/>
        <w:spacing w:before="0"/>
        <w:ind w:firstLine="0"/>
        <w:jc w:val="center"/>
        <w:rPr>
          <w:b/>
        </w:rPr>
      </w:pPr>
      <w:bookmarkStart w:id="0" w:name="_GoBack"/>
      <w:bookmarkEnd w:id="0"/>
    </w:p>
    <w:p w:rsidR="00BB78D5" w:rsidRPr="00AC4253" w:rsidRDefault="006E60A2" w:rsidP="00374FA2">
      <w:pPr>
        <w:rPr>
          <w:b/>
          <w:sz w:val="28"/>
          <w:szCs w:val="28"/>
        </w:rPr>
      </w:pPr>
      <w:r w:rsidRPr="00AC4253">
        <w:rPr>
          <w:b/>
          <w:sz w:val="28"/>
          <w:szCs w:val="28"/>
        </w:rPr>
        <w:t>ZÁVĚREČNÁ ZPRÁVA Z HODNOCENÍ DOPADŮ REGULACE PODLE OBECNÝCH ZÁSAD</w:t>
      </w:r>
    </w:p>
    <w:p w:rsidR="00371CEF" w:rsidRPr="000F63C1" w:rsidRDefault="000A6C30" w:rsidP="000A6C30">
      <w:pPr>
        <w:pStyle w:val="Nadpis1"/>
        <w:numPr>
          <w:ilvl w:val="0"/>
          <w:numId w:val="6"/>
        </w:numPr>
      </w:pPr>
      <w:r w:rsidRPr="000F63C1">
        <w:t>Důvod předložení a cíle</w:t>
      </w:r>
    </w:p>
    <w:p w:rsidR="00371CEF" w:rsidRPr="000F63C1" w:rsidRDefault="00371CEF" w:rsidP="000A6C30">
      <w:pPr>
        <w:pStyle w:val="Nadpis2"/>
      </w:pPr>
      <w:r w:rsidRPr="000F63C1">
        <w:t>Název</w:t>
      </w:r>
    </w:p>
    <w:p w:rsidR="00F179D8" w:rsidRPr="000F63C1" w:rsidRDefault="00FB177B" w:rsidP="00FF1FBC">
      <w:r w:rsidRPr="000F63C1">
        <w:t>Návrh vyhlášky</w:t>
      </w:r>
      <w:r w:rsidR="00F179D8" w:rsidRPr="000F63C1">
        <w:t xml:space="preserve"> o stanovení hodnot bodu, výše úhrad hrazených služeb a regulačních omezení pro rok 201</w:t>
      </w:r>
      <w:r w:rsidR="005B5700">
        <w:t>7</w:t>
      </w:r>
      <w:r w:rsidR="00F179D8" w:rsidRPr="000F63C1">
        <w:t>.</w:t>
      </w:r>
    </w:p>
    <w:p w:rsidR="000A6C30" w:rsidRPr="000F63C1" w:rsidRDefault="000A6C30" w:rsidP="00F179D8">
      <w:pPr>
        <w:pStyle w:val="Nadpis2"/>
      </w:pPr>
      <w:r w:rsidRPr="000F63C1">
        <w:t>Definice problému</w:t>
      </w:r>
    </w:p>
    <w:p w:rsidR="00BF46F6" w:rsidRDefault="00BF46F6" w:rsidP="00FF1FBC">
      <w:r w:rsidRPr="000F63C1">
        <w:t>Na základě zmocnění obsaženého v § 17 odst. 5 zákona č. 48/1997 Sb., o veřejném zdravotním pojištění a o změně a doplnění některých souvisejících zákonů, ve znění zákona č.</w:t>
      </w:r>
      <w:r w:rsidR="00A5640E">
        <w:t> </w:t>
      </w:r>
      <w:r w:rsidRPr="000F63C1">
        <w:t>117/2006 Sb., zákona č. 245/2006 Sb., zákona č. 261/2007 Sb., zákona č. 298/2011 Sb.</w:t>
      </w:r>
      <w:r w:rsidR="00D00B1A">
        <w:t xml:space="preserve">, </w:t>
      </w:r>
      <w:r w:rsidRPr="000F63C1">
        <w:t>zákona č. 369/2011 Sb.</w:t>
      </w:r>
      <w:r w:rsidR="00A5640E">
        <w:t>,</w:t>
      </w:r>
      <w:r w:rsidR="005B5700">
        <w:t xml:space="preserve"> a zákona č. 200/2015 Sb.</w:t>
      </w:r>
      <w:r w:rsidRPr="000F63C1">
        <w:t xml:space="preserve"> (dále jen „zákon“)</w:t>
      </w:r>
      <w:r w:rsidR="0020150F">
        <w:t>,</w:t>
      </w:r>
      <w:r w:rsidRPr="000F63C1">
        <w:t xml:space="preserve"> vydává Ministerstvo zdravotnictví (dále jen „ministerstvo“) vyhlášku o stanovení hodnot bodu, výše úhrad hrazených služeb a regulačních omezení (dále jen „vyhláška“) vždy pro následující kalendářní rok. Návrh této vyhlášky vychází z výsledků dohodovacího řízení zástupců Všeobecné zdravotní pojišťovny ČR </w:t>
      </w:r>
      <w:r w:rsidR="001E5B11">
        <w:t xml:space="preserve">(dále jen „VZP“) </w:t>
      </w:r>
      <w:r w:rsidRPr="000F63C1">
        <w:t xml:space="preserve">a ostatních zdravotních pojišťoven a dále příslušných profesních sdružení poskytovatelů </w:t>
      </w:r>
      <w:r w:rsidR="00B15D4C" w:rsidRPr="000F63C1">
        <w:t>zdravotních</w:t>
      </w:r>
      <w:r w:rsidR="00196557" w:rsidRPr="000F63C1">
        <w:t xml:space="preserve"> služeb</w:t>
      </w:r>
      <w:r w:rsidR="00F145B3" w:rsidRPr="000F63C1">
        <w:t xml:space="preserve"> </w:t>
      </w:r>
      <w:r w:rsidRPr="000F63C1">
        <w:t>jako zástupců smluvních poskytovatelů (dále jen „dohodovací řízení“).</w:t>
      </w:r>
    </w:p>
    <w:p w:rsidR="00FF1FBC" w:rsidRPr="000F63C1" w:rsidRDefault="00FF1FBC" w:rsidP="00FF1FBC"/>
    <w:p w:rsidR="00BF46F6" w:rsidRPr="000F63C1" w:rsidRDefault="00BF46F6" w:rsidP="00FF1FBC">
      <w:r w:rsidRPr="000F63C1">
        <w:t>Obsah uvedené vyhlášky je ovlivněn skutečností, zda v příslušném dohodovacím řízení dojde či nedojde mezi jeho účastníky k dohodě o parametrech úhradových mechanismů na</w:t>
      </w:r>
      <w:r w:rsidR="003B7A8B">
        <w:t> </w:t>
      </w:r>
      <w:r w:rsidRPr="000F63C1">
        <w:t>následující kalendářní rok. V případě dohody (za předpokladu jejího souladu s právními předpisy a veřejným zájmem) ji ministerstvo zpracuje do návrhu vyhlášky, v případě nedohody pak hodnoty bodu, výši úhrad a regulační omezení stanoví samo. Rozhodujícím faktorem při stanovení úhradových parametrů je odpovědnost ministerstva za respektování veřejného zájmu na zajištění kvality a dostupnosti zdravotní péče, fungování zdravotnictví a</w:t>
      </w:r>
      <w:r w:rsidR="003B7A8B">
        <w:t> </w:t>
      </w:r>
      <w:r w:rsidRPr="000F63C1">
        <w:t>jeho stability v rámci finančních možností systému veřejného zdravotního pojištění tak,</w:t>
      </w:r>
      <w:r w:rsidR="00196557" w:rsidRPr="000F63C1">
        <w:t xml:space="preserve"> jak je tento zájem definován v</w:t>
      </w:r>
      <w:r w:rsidRPr="000F63C1">
        <w:t xml:space="preserve"> § 17 odst. 2 zákona.</w:t>
      </w:r>
    </w:p>
    <w:p w:rsidR="005B5700" w:rsidRPr="000F63C1" w:rsidRDefault="005B5700" w:rsidP="00FF1FBC"/>
    <w:p w:rsidR="00E242C8" w:rsidRDefault="00196557" w:rsidP="00A82116">
      <w:r w:rsidRPr="000F63C1">
        <w:t>Dohodovací řízení k úhradám na rok 20</w:t>
      </w:r>
      <w:r w:rsidR="00D85773">
        <w:t>17</w:t>
      </w:r>
      <w:r w:rsidRPr="000F63C1">
        <w:t xml:space="preserve"> probíhalo v období od 2. </w:t>
      </w:r>
      <w:r w:rsidR="005B5700">
        <w:t xml:space="preserve">února 2016 </w:t>
      </w:r>
      <w:r w:rsidRPr="000F63C1">
        <w:t>do</w:t>
      </w:r>
      <w:r w:rsidR="003B7A8B">
        <w:t> </w:t>
      </w:r>
      <w:r w:rsidRPr="000F63C1">
        <w:t>2</w:t>
      </w:r>
      <w:r w:rsidR="005B5700">
        <w:t>0</w:t>
      </w:r>
      <w:r w:rsidRPr="000F63C1">
        <w:t>.</w:t>
      </w:r>
      <w:r w:rsidR="003B7A8B">
        <w:t> </w:t>
      </w:r>
      <w:r w:rsidR="005B5700">
        <w:t>června 2016</w:t>
      </w:r>
      <w:r w:rsidRPr="000F63C1">
        <w:t>.</w:t>
      </w:r>
      <w:r w:rsidR="00BF2DD8">
        <w:t xml:space="preserve"> </w:t>
      </w:r>
      <w:r w:rsidRPr="000F63C1">
        <w:t>V zákonem stanoveném termínu účastníci dohodovacího řízení dospěli k</w:t>
      </w:r>
      <w:r w:rsidR="00BF2DD8">
        <w:t> </w:t>
      </w:r>
      <w:r w:rsidRPr="000F63C1">
        <w:t>dohodě</w:t>
      </w:r>
      <w:r w:rsidR="00BF2DD8">
        <w:t>,</w:t>
      </w:r>
      <w:r w:rsidRPr="000F63C1">
        <w:t xml:space="preserve"> z celkového počtu 1</w:t>
      </w:r>
      <w:r w:rsidR="00A82116">
        <w:t>4</w:t>
      </w:r>
      <w:r w:rsidRPr="000F63C1">
        <w:t xml:space="preserve"> segmentů zdravotní péče</w:t>
      </w:r>
      <w:r w:rsidR="00BF2DD8">
        <w:t>,</w:t>
      </w:r>
      <w:r w:rsidRPr="000F63C1">
        <w:t xml:space="preserve"> v</w:t>
      </w:r>
      <w:r w:rsidR="00E242C8">
        <w:t xml:space="preserve"> 6 </w:t>
      </w:r>
      <w:r w:rsidRPr="000F63C1">
        <w:t>segmentech</w:t>
      </w:r>
      <w:r w:rsidR="00E242C8">
        <w:t>:</w:t>
      </w:r>
    </w:p>
    <w:p w:rsidR="00E242C8" w:rsidRDefault="00E242C8" w:rsidP="00847B2F">
      <w:pPr>
        <w:pStyle w:val="Odstavecseseznamem"/>
        <w:numPr>
          <w:ilvl w:val="0"/>
          <w:numId w:val="39"/>
        </w:numPr>
      </w:pPr>
      <w:r>
        <w:t xml:space="preserve">skupina poskytovatelů </w:t>
      </w:r>
      <w:r w:rsidR="00A82116">
        <w:t>a</w:t>
      </w:r>
      <w:r w:rsidR="00BE0EFE">
        <w:t>mbulantní hemodialy</w:t>
      </w:r>
      <w:r w:rsidR="00A82116">
        <w:t>zační péče</w:t>
      </w:r>
      <w:r w:rsidR="001A1479">
        <w:t>,</w:t>
      </w:r>
    </w:p>
    <w:p w:rsidR="00E242C8" w:rsidRDefault="00E242C8" w:rsidP="00847B2F">
      <w:pPr>
        <w:pStyle w:val="Odstavecseseznamem"/>
        <w:numPr>
          <w:ilvl w:val="0"/>
          <w:numId w:val="39"/>
        </w:numPr>
      </w:pPr>
      <w:r>
        <w:t xml:space="preserve">skupina poskytovatelů </w:t>
      </w:r>
      <w:r w:rsidR="00A82116">
        <w:t>ambulantních stomatologických služeb</w:t>
      </w:r>
      <w:r w:rsidR="001A1479">
        <w:t>,</w:t>
      </w:r>
    </w:p>
    <w:p w:rsidR="00E242C8" w:rsidRDefault="00E242C8" w:rsidP="00847B2F">
      <w:pPr>
        <w:pStyle w:val="Odstavecseseznamem"/>
        <w:numPr>
          <w:ilvl w:val="0"/>
          <w:numId w:val="39"/>
        </w:numPr>
      </w:pPr>
      <w:r>
        <w:t xml:space="preserve">skupina poskytovatelů </w:t>
      </w:r>
      <w:r w:rsidR="00A82116">
        <w:t>mimolůžkov</w:t>
      </w:r>
      <w:r w:rsidR="00A64CC1">
        <w:t>ých</w:t>
      </w:r>
      <w:r w:rsidR="00A82116">
        <w:t xml:space="preserve"> laboratorní</w:t>
      </w:r>
      <w:r w:rsidR="00A64CC1">
        <w:t>ch a radiodiagnostických</w:t>
      </w:r>
      <w:r w:rsidR="00A82116">
        <w:t xml:space="preserve"> služ</w:t>
      </w:r>
      <w:r w:rsidR="00A64CC1">
        <w:t>eb</w:t>
      </w:r>
      <w:r w:rsidR="00A82116">
        <w:t xml:space="preserve">, </w:t>
      </w:r>
    </w:p>
    <w:p w:rsidR="00E242C8" w:rsidRDefault="00E242C8" w:rsidP="00847B2F">
      <w:pPr>
        <w:pStyle w:val="Odstavecseseznamem"/>
        <w:numPr>
          <w:ilvl w:val="0"/>
          <w:numId w:val="39"/>
        </w:numPr>
      </w:pPr>
      <w:r>
        <w:t xml:space="preserve">skupina poskytovatelů </w:t>
      </w:r>
      <w:r w:rsidR="00A82116">
        <w:t>zdravotnické záchranné služby</w:t>
      </w:r>
      <w:r>
        <w:t xml:space="preserve"> </w:t>
      </w:r>
      <w:r w:rsidR="00A82116">
        <w:t>a přepravy pacientů neodkladné péče a lékařské pohotovostní služby, vyjma stomatologické</w:t>
      </w:r>
      <w:r w:rsidR="001A1479">
        <w:t>,</w:t>
      </w:r>
    </w:p>
    <w:p w:rsidR="00E242C8" w:rsidRDefault="00E242C8" w:rsidP="00847B2F">
      <w:pPr>
        <w:pStyle w:val="Odstavecseseznamem"/>
        <w:numPr>
          <w:ilvl w:val="0"/>
          <w:numId w:val="39"/>
        </w:numPr>
      </w:pPr>
      <w:r>
        <w:t>skupina poskytovatelů zdravotnické dopravní služby,</w:t>
      </w:r>
    </w:p>
    <w:p w:rsidR="00BF46F6" w:rsidRDefault="001A1479" w:rsidP="00847B2F">
      <w:pPr>
        <w:pStyle w:val="Odstavecseseznamem"/>
        <w:numPr>
          <w:ilvl w:val="0"/>
          <w:numId w:val="39"/>
        </w:numPr>
      </w:pPr>
      <w:r>
        <w:t xml:space="preserve">skupina poskytovatelů </w:t>
      </w:r>
      <w:r w:rsidR="00E242C8">
        <w:t>ambulantních gynekologických služeb.</w:t>
      </w:r>
    </w:p>
    <w:p w:rsidR="00A64CC1" w:rsidRPr="000F63C1" w:rsidRDefault="00A64CC1" w:rsidP="00A82116"/>
    <w:p w:rsidR="00566F43" w:rsidRPr="000F63C1" w:rsidRDefault="00BF46F6" w:rsidP="00566F43">
      <w:r w:rsidRPr="000F63C1">
        <w:lastRenderedPageBreak/>
        <w:t>V návaznosti na tento výsledek ministerstvo předkládá návrh vyhlášky, u níž je nutno konstatovat, že se podle § 17 odst. 5 zákona tato vyhláška použije pouze tehdy,</w:t>
      </w:r>
      <w:r w:rsidRPr="000F63C1">
        <w:rPr>
          <w:color w:val="FF0000"/>
        </w:rPr>
        <w:t xml:space="preserve"> </w:t>
      </w:r>
      <w:r w:rsidRPr="000F63C1">
        <w:t xml:space="preserve">pokud se poskytovatel zdravotních služeb a zdravotní pojišťovna nedohodnou o způsobu úhrady, výši úhrady a regulačních omezeních jinak. </w:t>
      </w:r>
    </w:p>
    <w:p w:rsidR="00D51424" w:rsidRPr="000F63C1" w:rsidRDefault="00D51424" w:rsidP="00566F43"/>
    <w:p w:rsidR="00371CEF" w:rsidRPr="000F63C1" w:rsidRDefault="000A6C30" w:rsidP="000A6C30">
      <w:pPr>
        <w:pStyle w:val="Nadpis2"/>
      </w:pPr>
      <w:r w:rsidRPr="000F63C1">
        <w:t>Popis existujícího právního stavu v dané oblasti</w:t>
      </w:r>
    </w:p>
    <w:p w:rsidR="005B7B34" w:rsidRDefault="00196557" w:rsidP="00FF1FBC">
      <w:r w:rsidRPr="000F63C1">
        <w:t xml:space="preserve">V současné době platí vyhláška č. </w:t>
      </w:r>
      <w:r w:rsidR="00A64CC1">
        <w:t>273</w:t>
      </w:r>
      <w:r w:rsidRPr="000F63C1">
        <w:t>/201</w:t>
      </w:r>
      <w:r w:rsidR="00A64CC1">
        <w:t>5</w:t>
      </w:r>
      <w:r w:rsidRPr="000F63C1">
        <w:t xml:space="preserve"> Sb., o stanovení hodnot bodu, výše úhrad hrazených služeb a regulačních omezení pro rok 201</w:t>
      </w:r>
      <w:r w:rsidR="00A64CC1">
        <w:t>6</w:t>
      </w:r>
      <w:r w:rsidRPr="000F63C1">
        <w:t>. Ministerstvo vydalo vyhlášku na rok 201</w:t>
      </w:r>
      <w:r w:rsidR="00A64CC1">
        <w:t>6</w:t>
      </w:r>
      <w:r w:rsidRPr="000F63C1">
        <w:t xml:space="preserve"> tak</w:t>
      </w:r>
      <w:r w:rsidR="0089306D" w:rsidRPr="000F63C1">
        <w:t>, aby nastavené parametry úhrad respektovaly předpokládané finanční možnosti systému veřejného zdravotního pojištění v roce 201</w:t>
      </w:r>
      <w:r w:rsidR="00A64CC1">
        <w:t>6</w:t>
      </w:r>
      <w:r w:rsidR="00226511" w:rsidRPr="000F63C1">
        <w:t xml:space="preserve"> a aby předpokládané výdaje systému nepřevýšily předpokládané příjmy.</w:t>
      </w:r>
    </w:p>
    <w:p w:rsidR="009F3C26" w:rsidRPr="000F63C1" w:rsidRDefault="009F3C26" w:rsidP="00FF1FBC">
      <w:pPr>
        <w:rPr>
          <w:rFonts w:cs="Arial"/>
        </w:rPr>
      </w:pPr>
    </w:p>
    <w:p w:rsidR="00983CA7" w:rsidRPr="0056559A" w:rsidRDefault="00983CA7" w:rsidP="00983CA7">
      <w:r w:rsidRPr="0056559A">
        <w:t xml:space="preserve">Kromě zákona a samotné vyhlášky č. </w:t>
      </w:r>
      <w:r w:rsidR="007C6B05">
        <w:t>273</w:t>
      </w:r>
      <w:r w:rsidRPr="0056559A">
        <w:t>/201</w:t>
      </w:r>
      <w:r w:rsidR="007C6B05">
        <w:t>5</w:t>
      </w:r>
      <w:r w:rsidRPr="0056559A">
        <w:t xml:space="preserve"> Sb.</w:t>
      </w:r>
      <w:r w:rsidR="00817A43">
        <w:t>,</w:t>
      </w:r>
      <w:r w:rsidR="004E2C48">
        <w:t xml:space="preserve"> je oblast úhrad, hodnot bodu a </w:t>
      </w:r>
      <w:r w:rsidRPr="0056559A">
        <w:t xml:space="preserve">regulačních omezení ovlivněna vyhláškou </w:t>
      </w:r>
      <w:r w:rsidR="000C5F08">
        <w:t>ministerstva</w:t>
      </w:r>
      <w:r w:rsidRPr="0056559A">
        <w:t xml:space="preserve"> č. </w:t>
      </w:r>
      <w:r w:rsidRPr="0056559A">
        <w:rPr>
          <w:bCs/>
        </w:rPr>
        <w:t>134/1998 Sb., kterou se vydává seznam zdravotních výkonů s bodovými hodnotami, ve znění pozdějších předpisů</w:t>
      </w:r>
      <w:r w:rsidR="00C919BB">
        <w:rPr>
          <w:bCs/>
        </w:rPr>
        <w:t xml:space="preserve"> (dále jen „seznam výkonů“)</w:t>
      </w:r>
      <w:r w:rsidRPr="0056559A">
        <w:rPr>
          <w:bCs/>
        </w:rPr>
        <w:t>, která definuje jednotlivé odbornosti a jejich výkony.</w:t>
      </w:r>
    </w:p>
    <w:p w:rsidR="00983CA7" w:rsidRPr="0056559A" w:rsidRDefault="00983CA7" w:rsidP="00983CA7"/>
    <w:p w:rsidR="00983CA7" w:rsidRPr="0056559A" w:rsidRDefault="00983CA7" w:rsidP="00983CA7">
      <w:r w:rsidRPr="0056559A">
        <w:t>Dále je tato oblast dotčena výsledky rozhodovací činnosti Ústavního soudu, a to:</w:t>
      </w:r>
    </w:p>
    <w:p w:rsidR="00983CA7" w:rsidRPr="0056559A" w:rsidRDefault="00983CA7" w:rsidP="009F665C">
      <w:pPr>
        <w:pStyle w:val="Odstavecseseznamem"/>
        <w:numPr>
          <w:ilvl w:val="0"/>
          <w:numId w:val="40"/>
        </w:numPr>
      </w:pPr>
      <w:r w:rsidRPr="0056559A">
        <w:t>Nálezem Ústavního soudu Pl. ÚS 36/11, vyh</w:t>
      </w:r>
      <w:r w:rsidR="00A86535">
        <w:t>lášeným ve Sbírce zákonů pod č. </w:t>
      </w:r>
      <w:r w:rsidRPr="0056559A">
        <w:t xml:space="preserve">238/2013 Sb., kterým se ruší regulační poplatek za lůžkovou péči uplynutím dne </w:t>
      </w:r>
      <w:r w:rsidR="00A86535">
        <w:t>31. </w:t>
      </w:r>
      <w:r w:rsidRPr="0056559A">
        <w:t>prosince 2013.</w:t>
      </w:r>
    </w:p>
    <w:p w:rsidR="009F665C" w:rsidRPr="0056559A" w:rsidRDefault="009F665C" w:rsidP="00D945BB"/>
    <w:p w:rsidR="000A6C30" w:rsidRPr="000F63C1" w:rsidRDefault="000A6C30" w:rsidP="000A6C30">
      <w:pPr>
        <w:pStyle w:val="Nadpis2"/>
      </w:pPr>
      <w:r w:rsidRPr="000F63C1">
        <w:t>Identifikace dotčených subjektů</w:t>
      </w:r>
    </w:p>
    <w:p w:rsidR="00632B51" w:rsidRPr="000F63C1" w:rsidRDefault="00EF7E3A" w:rsidP="00FF1FBC">
      <w:r w:rsidRPr="000F63C1">
        <w:t>Vyhláškou dotčenými subjekty jsou ú</w:t>
      </w:r>
      <w:r w:rsidR="00632B51" w:rsidRPr="000F63C1">
        <w:t>častníci systému veřejného zdravotního pojištění</w:t>
      </w:r>
      <w:r w:rsidRPr="000F63C1">
        <w:t>,</w:t>
      </w:r>
      <w:r w:rsidR="00A86535">
        <w:t xml:space="preserve"> tj. </w:t>
      </w:r>
      <w:r w:rsidR="00632B51" w:rsidRPr="000F63C1">
        <w:t>zdravotní pojišťovny</w:t>
      </w:r>
      <w:r w:rsidR="00A25315" w:rsidRPr="000F63C1">
        <w:t xml:space="preserve"> a</w:t>
      </w:r>
      <w:r w:rsidR="00632B51" w:rsidRPr="000F63C1">
        <w:t xml:space="preserve"> </w:t>
      </w:r>
      <w:r w:rsidR="00100256" w:rsidRPr="000F63C1">
        <w:t>poskytovatelé zdravotních služeb</w:t>
      </w:r>
      <w:r w:rsidR="00632B51" w:rsidRPr="000F63C1">
        <w:t xml:space="preserve">. </w:t>
      </w:r>
      <w:r w:rsidR="00983CA7">
        <w:t>Zprostředkovaně jsou vyhláškou dotčeni i pojištěnci všech zdravotních pojišťoven, kterým jsou služby poskytovány.</w:t>
      </w:r>
    </w:p>
    <w:p w:rsidR="000A6C30" w:rsidRPr="000F63C1" w:rsidRDefault="000A6C30" w:rsidP="000A6C30"/>
    <w:p w:rsidR="000A6C30" w:rsidRPr="000F63C1" w:rsidRDefault="000A6C30" w:rsidP="000A6C30">
      <w:pPr>
        <w:pStyle w:val="Nadpis2"/>
      </w:pPr>
      <w:r w:rsidRPr="000F63C1">
        <w:t>Popis cílového stavu</w:t>
      </w:r>
    </w:p>
    <w:p w:rsidR="00BB353E" w:rsidRPr="009F665C" w:rsidRDefault="0040024F" w:rsidP="00FF1FBC">
      <w:r w:rsidRPr="00E457CC">
        <w:t xml:space="preserve">Cílem navrhované právní úpravy je </w:t>
      </w:r>
      <w:r w:rsidR="004D7803" w:rsidRPr="00E457CC">
        <w:t>stanovení hodnot bodu</w:t>
      </w:r>
      <w:r w:rsidR="004E2C48">
        <w:t>, výše úhrad hrazených služeb a </w:t>
      </w:r>
      <w:r w:rsidR="004D7803" w:rsidRPr="00E457CC">
        <w:t>regulačn</w:t>
      </w:r>
      <w:r w:rsidR="004D7803" w:rsidRPr="00B64A0F">
        <w:t>ích omezení</w:t>
      </w:r>
      <w:r w:rsidR="00BE0D7B" w:rsidRPr="00D404DC">
        <w:t xml:space="preserve"> pro rok 201</w:t>
      </w:r>
      <w:r w:rsidR="00983CA7" w:rsidRPr="00D404DC">
        <w:t>7</w:t>
      </w:r>
      <w:r w:rsidR="004D7803" w:rsidRPr="00D404DC">
        <w:t>, kter</w:t>
      </w:r>
      <w:r w:rsidR="00AC6AC3" w:rsidRPr="00D404DC">
        <w:t>é</w:t>
      </w:r>
      <w:r w:rsidR="004D7803" w:rsidRPr="00D404DC">
        <w:t xml:space="preserve"> reflektuj</w:t>
      </w:r>
      <w:r w:rsidR="00AC6AC3" w:rsidRPr="009C6538">
        <w:t>e</w:t>
      </w:r>
      <w:r w:rsidR="004D7803" w:rsidRPr="009C6538">
        <w:t xml:space="preserve"> následující skutečnosti:</w:t>
      </w:r>
    </w:p>
    <w:p w:rsidR="00BB353E" w:rsidRPr="00847B2F" w:rsidRDefault="00BB353E" w:rsidP="00FF1FBC">
      <w:pPr>
        <w:rPr>
          <w:highlight w:val="yellow"/>
        </w:rPr>
      </w:pPr>
    </w:p>
    <w:p w:rsidR="00E374FA" w:rsidRPr="00847B2F" w:rsidRDefault="00A114C6" w:rsidP="00AA371E">
      <w:pPr>
        <w:numPr>
          <w:ilvl w:val="0"/>
          <w:numId w:val="23"/>
        </w:numPr>
      </w:pPr>
      <w:r w:rsidRPr="004C1DD8">
        <w:t>Podpořit</w:t>
      </w:r>
      <w:r w:rsidR="00E374FA" w:rsidRPr="004C1DD8">
        <w:t xml:space="preserve"> kvalitní a dostupnou péči </w:t>
      </w:r>
      <w:r w:rsidR="007016BB">
        <w:t>u poskytovatelů</w:t>
      </w:r>
      <w:r w:rsidR="00523B97" w:rsidRPr="004C1DD8">
        <w:t xml:space="preserve"> akutní lůžkov</w:t>
      </w:r>
      <w:r w:rsidR="0066196D" w:rsidRPr="004C1DD8">
        <w:t>é</w:t>
      </w:r>
      <w:r w:rsidR="00523B97" w:rsidRPr="004C1DD8">
        <w:t xml:space="preserve"> péč</w:t>
      </w:r>
      <w:r w:rsidR="0066196D" w:rsidRPr="004C1DD8">
        <w:t>e</w:t>
      </w:r>
      <w:r w:rsidR="004E2C48">
        <w:t xml:space="preserve"> a u </w:t>
      </w:r>
      <w:r w:rsidR="007016BB">
        <w:t>poskytovatelů</w:t>
      </w:r>
      <w:r w:rsidR="00E374FA" w:rsidRPr="00E4237A">
        <w:t xml:space="preserve"> následn</w:t>
      </w:r>
      <w:r w:rsidR="0066196D" w:rsidRPr="00CC6FFF">
        <w:t>é</w:t>
      </w:r>
      <w:r w:rsidR="00E374FA" w:rsidRPr="00847B2F">
        <w:t xml:space="preserve"> a dlouhodob</w:t>
      </w:r>
      <w:r w:rsidR="0066196D" w:rsidRPr="00847B2F">
        <w:t>é</w:t>
      </w:r>
      <w:r w:rsidR="00E374FA" w:rsidRPr="00847B2F">
        <w:t xml:space="preserve"> péč</w:t>
      </w:r>
      <w:r w:rsidR="0066196D" w:rsidRPr="00847B2F">
        <w:t>e</w:t>
      </w:r>
      <w:r w:rsidR="00E374FA" w:rsidRPr="00847B2F">
        <w:t>.</w:t>
      </w:r>
    </w:p>
    <w:p w:rsidR="007C6B05" w:rsidRDefault="007C6B05" w:rsidP="007C6B05">
      <w:pPr>
        <w:numPr>
          <w:ilvl w:val="0"/>
          <w:numId w:val="23"/>
        </w:numPr>
      </w:pPr>
      <w:r>
        <w:t>Umožnit navýšení platů a mezd zdrav</w:t>
      </w:r>
      <w:r w:rsidR="00D945BB">
        <w:t xml:space="preserve">otníků u poskytovatelů lůžkové </w:t>
      </w:r>
      <w:r>
        <w:t>péče.</w:t>
      </w:r>
    </w:p>
    <w:p w:rsidR="007A6670" w:rsidRPr="00B95698" w:rsidRDefault="00B95698" w:rsidP="00B31F03">
      <w:pPr>
        <w:numPr>
          <w:ilvl w:val="0"/>
          <w:numId w:val="23"/>
        </w:numPr>
      </w:pPr>
      <w:r>
        <w:t>Umožnit vyrovnané hospodaření</w:t>
      </w:r>
      <w:r w:rsidR="007A6670" w:rsidRPr="00B95698">
        <w:t xml:space="preserve"> zdravotních pojišťoven</w:t>
      </w:r>
      <w:r w:rsidR="00A56E9D" w:rsidRPr="00B95698">
        <w:t>.</w:t>
      </w:r>
    </w:p>
    <w:p w:rsidR="00AC74AA" w:rsidRPr="00E4237A" w:rsidRDefault="00AC74AA" w:rsidP="00B31F03">
      <w:pPr>
        <w:numPr>
          <w:ilvl w:val="0"/>
          <w:numId w:val="23"/>
        </w:numPr>
      </w:pPr>
      <w:r w:rsidRPr="0000721B">
        <w:t xml:space="preserve">Umožnit poskytovatelům </w:t>
      </w:r>
      <w:r w:rsidR="00A215EA" w:rsidRPr="00E4237A">
        <w:t>zdravotních služeb</w:t>
      </w:r>
      <w:r w:rsidRPr="00E4237A">
        <w:t xml:space="preserve"> růst odpovídající finančním možnostem systému.</w:t>
      </w:r>
    </w:p>
    <w:p w:rsidR="00523B97" w:rsidRPr="00B95698" w:rsidRDefault="00A114C6" w:rsidP="00B31F03">
      <w:pPr>
        <w:numPr>
          <w:ilvl w:val="0"/>
          <w:numId w:val="23"/>
        </w:numPr>
      </w:pPr>
      <w:r w:rsidRPr="00E4237A">
        <w:t>Pokračovat</w:t>
      </w:r>
      <w:r w:rsidR="00B31F03" w:rsidRPr="00E4237A">
        <w:t xml:space="preserve"> </w:t>
      </w:r>
      <w:r w:rsidRPr="00CC6FFF">
        <w:t xml:space="preserve">v </w:t>
      </w:r>
      <w:r w:rsidR="00B31F03" w:rsidRPr="00847B2F">
        <w:t>n</w:t>
      </w:r>
      <w:r w:rsidR="00523B97" w:rsidRPr="00847B2F">
        <w:t xml:space="preserve">arovnávání systému úhrad: pokračovat ve sbližování </w:t>
      </w:r>
      <w:r w:rsidR="00B95698">
        <w:t xml:space="preserve">individuální </w:t>
      </w:r>
      <w:r w:rsidR="00C921EB">
        <w:t xml:space="preserve">základní </w:t>
      </w:r>
      <w:r w:rsidR="00523B97" w:rsidRPr="00B95698">
        <w:t>sazby</w:t>
      </w:r>
      <w:r w:rsidR="00C921EB">
        <w:t xml:space="preserve"> u poskytovatelů akutní lůžkové péče</w:t>
      </w:r>
      <w:r w:rsidR="00523B97" w:rsidRPr="00B95698">
        <w:t xml:space="preserve"> a </w:t>
      </w:r>
      <w:r w:rsidR="00B95698">
        <w:t>paušálních sazeb za jeden den hospitalizace u poskytovatelů následné péče a dlouhodobé péče</w:t>
      </w:r>
      <w:r w:rsidR="00523B97" w:rsidRPr="00B95698">
        <w:t>.</w:t>
      </w:r>
    </w:p>
    <w:p w:rsidR="00523B97" w:rsidRPr="00E4237A" w:rsidRDefault="00523B97" w:rsidP="00F46148">
      <w:pPr>
        <w:numPr>
          <w:ilvl w:val="0"/>
          <w:numId w:val="23"/>
        </w:numPr>
      </w:pPr>
      <w:r w:rsidRPr="0000721B">
        <w:lastRenderedPageBreak/>
        <w:t>Prosazovat</w:t>
      </w:r>
      <w:r w:rsidR="007C6B05">
        <w:t xml:space="preserve"> takové úhradové mechanismy</w:t>
      </w:r>
      <w:r w:rsidRPr="0000721B">
        <w:t xml:space="preserve">, které </w:t>
      </w:r>
      <w:r w:rsidR="007C6B05">
        <w:t>motivují</w:t>
      </w:r>
      <w:r w:rsidR="00AE15A6" w:rsidRPr="0000721B" w:rsidDel="00AE15A6">
        <w:t xml:space="preserve"> </w:t>
      </w:r>
      <w:r w:rsidR="004E2C48">
        <w:t>zdravotní pojišťovny k </w:t>
      </w:r>
      <w:r w:rsidR="00AE15A6">
        <w:t>efektivnímu vynakládání finančních prostředků a pos</w:t>
      </w:r>
      <w:r w:rsidR="004E2C48">
        <w:t>kytovatele zdravotních služeb k </w:t>
      </w:r>
      <w:r w:rsidR="00B31F03" w:rsidRPr="00E4237A">
        <w:t>zvyšování efektivity v poskytování hrazených</w:t>
      </w:r>
      <w:r w:rsidR="00AE15A6">
        <w:t xml:space="preserve"> zdravotních služeb.</w:t>
      </w:r>
    </w:p>
    <w:p w:rsidR="00C921EB" w:rsidRPr="00847B2F" w:rsidRDefault="00C921EB" w:rsidP="00C921EB">
      <w:pPr>
        <w:ind w:left="720"/>
      </w:pPr>
    </w:p>
    <w:p w:rsidR="0044190A" w:rsidRPr="00AA17F3" w:rsidRDefault="0044190A" w:rsidP="0044190A">
      <w:r w:rsidRPr="00AA17F3">
        <w:t>Zaměstnanecké zdravotní pojišťovny (ZZP) plánují ke konci roku 201</w:t>
      </w:r>
      <w:r w:rsidR="00AA17F3">
        <w:t>6</w:t>
      </w:r>
      <w:r w:rsidRPr="00AA17F3">
        <w:t xml:space="preserve"> zůstatky na základním fondu v celkové výši </w:t>
      </w:r>
      <w:r w:rsidR="00AA17F3">
        <w:t>5,</w:t>
      </w:r>
      <w:r w:rsidR="00D945BB">
        <w:t>3</w:t>
      </w:r>
      <w:r w:rsidRPr="00AA17F3">
        <w:t xml:space="preserve"> miliardy Kč. Všechny zaměstnanecké zdravotní pojišťovny mají naplněny rezervní fondy.</w:t>
      </w:r>
    </w:p>
    <w:p w:rsidR="0044190A" w:rsidRPr="00914087" w:rsidRDefault="0044190A" w:rsidP="0044190A"/>
    <w:p w:rsidR="0044190A" w:rsidRPr="00AA17F3" w:rsidRDefault="0044190A" w:rsidP="0044190A">
      <w:r w:rsidRPr="00914087">
        <w:t>Všeobecná zdravotní pojišťovna (VZP) plánuje ke konci rok</w:t>
      </w:r>
      <w:r w:rsidR="004E2C48">
        <w:t>u zůstatek na základním fondu v </w:t>
      </w:r>
      <w:r w:rsidRPr="00914087">
        <w:t xml:space="preserve">celkové výši </w:t>
      </w:r>
      <w:r w:rsidR="00AA17F3">
        <w:t>1</w:t>
      </w:r>
      <w:r w:rsidRPr="00AA17F3">
        <w:t>,</w:t>
      </w:r>
      <w:r w:rsidR="00745682">
        <w:t>7</w:t>
      </w:r>
      <w:r w:rsidRPr="00AA17F3">
        <w:t xml:space="preserve"> miliard Kč</w:t>
      </w:r>
      <w:r w:rsidR="007C6B05">
        <w:t xml:space="preserve">. </w:t>
      </w:r>
      <w:r w:rsidRPr="00AA17F3">
        <w:t>V průběhu roku 2016 splat</w:t>
      </w:r>
      <w:r w:rsidR="00AA17F3">
        <w:t>ila</w:t>
      </w:r>
      <w:r w:rsidRPr="00AA17F3">
        <w:t xml:space="preserve"> VZP </w:t>
      </w:r>
      <w:r w:rsidR="00183C40">
        <w:t>0,5</w:t>
      </w:r>
      <w:r w:rsidR="00183C40" w:rsidRPr="00AA17F3">
        <w:t xml:space="preserve"> </w:t>
      </w:r>
      <w:r w:rsidRPr="00AA17F3">
        <w:t>mld. Kč z poskytnuté návratné finanční výpomoci</w:t>
      </w:r>
      <w:r w:rsidR="00A86535">
        <w:t xml:space="preserve"> a naplní rezervní fond v plné výši</w:t>
      </w:r>
      <w:r w:rsidRPr="00AA17F3">
        <w:t>.</w:t>
      </w:r>
    </w:p>
    <w:p w:rsidR="0044190A" w:rsidRPr="00914087" w:rsidRDefault="0044190A" w:rsidP="0044190A"/>
    <w:p w:rsidR="0044190A" w:rsidRPr="00914087" w:rsidRDefault="0044190A" w:rsidP="0044190A">
      <w:r w:rsidRPr="00914087">
        <w:t>Příjmy z přerozdělení pojistného na veřejném zdravotním pojištění (dále jen „pojistné“) ZZP během roku 201</w:t>
      </w:r>
      <w:r w:rsidR="00745682">
        <w:t>7</w:t>
      </w:r>
      <w:r w:rsidRPr="00914087">
        <w:t xml:space="preserve"> se </w:t>
      </w:r>
      <w:r w:rsidR="00F46148">
        <w:t>n</w:t>
      </w:r>
      <w:r w:rsidR="00F46148" w:rsidRPr="00F46148">
        <w:t xml:space="preserve">a základě predikce Ministerstva financí </w:t>
      </w:r>
      <w:r w:rsidRPr="00914087">
        <w:t>odhadují na 10</w:t>
      </w:r>
      <w:r w:rsidR="00745682">
        <w:t>9</w:t>
      </w:r>
      <w:r w:rsidRPr="00914087">
        <w:t>,</w:t>
      </w:r>
      <w:r w:rsidR="00745682">
        <w:t>7</w:t>
      </w:r>
      <w:r w:rsidRPr="00914087">
        <w:t xml:space="preserve"> miliardy Kč. Disponibilní zdroje základního fondu ZZP v roce 201</w:t>
      </w:r>
      <w:r w:rsidR="00745682">
        <w:t>7</w:t>
      </w:r>
      <w:r w:rsidRPr="00914087">
        <w:t xml:space="preserve"> se odhadují na </w:t>
      </w:r>
      <w:r w:rsidR="00745682">
        <w:t>106</w:t>
      </w:r>
      <w:r w:rsidRPr="00914087">
        <w:t>,</w:t>
      </w:r>
      <w:r w:rsidR="00745682">
        <w:t>4</w:t>
      </w:r>
      <w:r w:rsidRPr="00914087">
        <w:t xml:space="preserve"> mld. Kč.</w:t>
      </w:r>
    </w:p>
    <w:p w:rsidR="0044190A" w:rsidRPr="00AA1E57" w:rsidRDefault="0044190A" w:rsidP="0044190A"/>
    <w:p w:rsidR="0044190A" w:rsidRPr="00745682" w:rsidRDefault="0044190A" w:rsidP="0044190A">
      <w:r w:rsidRPr="007976CE">
        <w:t>Příjmy z přerozdělení pojistného VZP během roku 201</w:t>
      </w:r>
      <w:r w:rsidR="00745682">
        <w:t>7</w:t>
      </w:r>
      <w:r w:rsidRPr="00745682">
        <w:t xml:space="preserve"> se </w:t>
      </w:r>
      <w:r w:rsidR="00F46148">
        <w:t>n</w:t>
      </w:r>
      <w:r w:rsidR="00F46148" w:rsidRPr="00F46148">
        <w:t xml:space="preserve">a základě predikce Ministerstva financí </w:t>
      </w:r>
      <w:r w:rsidRPr="00745682">
        <w:t>odhadují na 1</w:t>
      </w:r>
      <w:r w:rsidR="00745682">
        <w:t>64</w:t>
      </w:r>
      <w:r w:rsidRPr="00745682">
        <w:t>,</w:t>
      </w:r>
      <w:r w:rsidR="00745682">
        <w:t>5</w:t>
      </w:r>
      <w:r w:rsidRPr="00745682">
        <w:t xml:space="preserve"> mld. Kč. Disponibilní zdroje základního fondu VZP v roce 201</w:t>
      </w:r>
      <w:r w:rsidR="00745682">
        <w:t>7</w:t>
      </w:r>
      <w:r w:rsidRPr="00745682">
        <w:t xml:space="preserve"> se odhadují na 1</w:t>
      </w:r>
      <w:r w:rsidR="00745682">
        <w:t>60</w:t>
      </w:r>
      <w:r w:rsidRPr="00745682">
        <w:t>,</w:t>
      </w:r>
      <w:r w:rsidR="00D945BB">
        <w:t>4</w:t>
      </w:r>
      <w:r w:rsidRPr="00745682">
        <w:t xml:space="preserve"> mld. Kč.</w:t>
      </w:r>
    </w:p>
    <w:p w:rsidR="0044190A" w:rsidRPr="00AA1E57" w:rsidRDefault="0044190A" w:rsidP="0044190A"/>
    <w:p w:rsidR="0044190A" w:rsidRPr="00745682" w:rsidRDefault="0044190A" w:rsidP="0044190A">
      <w:r w:rsidRPr="007976CE">
        <w:t>Celkové příjmy systému veřejného zdravotního pojištění v roce 201</w:t>
      </w:r>
      <w:r w:rsidR="00745682">
        <w:t>7</w:t>
      </w:r>
      <w:r w:rsidRPr="00745682">
        <w:t xml:space="preserve"> se tudíž odhadují na 2</w:t>
      </w:r>
      <w:r w:rsidR="00745682">
        <w:t>74</w:t>
      </w:r>
      <w:r w:rsidRPr="00745682">
        <w:t>,</w:t>
      </w:r>
      <w:r w:rsidR="00745682">
        <w:t>2</w:t>
      </w:r>
      <w:r w:rsidRPr="00745682">
        <w:t xml:space="preserve"> mld. Kč a disponibilní zdroje základního fondu zdravotního pojištění na 2</w:t>
      </w:r>
      <w:r w:rsidR="00745682">
        <w:t>6</w:t>
      </w:r>
      <w:r w:rsidR="00D42BCE">
        <w:t>6</w:t>
      </w:r>
      <w:r w:rsidRPr="00745682">
        <w:t>,</w:t>
      </w:r>
      <w:r w:rsidR="00D945BB">
        <w:t>8</w:t>
      </w:r>
      <w:r w:rsidRPr="00745682">
        <w:t xml:space="preserve"> mld. Kč. </w:t>
      </w:r>
    </w:p>
    <w:p w:rsidR="0044190A" w:rsidRPr="00AA1E57" w:rsidRDefault="0044190A" w:rsidP="0044190A"/>
    <w:p w:rsidR="0044190A" w:rsidRPr="00F46148" w:rsidRDefault="0044190A" w:rsidP="0044190A">
      <w:r w:rsidRPr="007976CE">
        <w:t>Oproti roku 201</w:t>
      </w:r>
      <w:r w:rsidR="00745682">
        <w:t>6</w:t>
      </w:r>
      <w:r w:rsidRPr="00F46148">
        <w:t xml:space="preserve"> se tak očekává zvýšení disponibilních zdrojů pro úhradu zdravotních služeb o 1</w:t>
      </w:r>
      <w:r w:rsidR="003431EF">
        <w:t>2</w:t>
      </w:r>
      <w:r w:rsidR="00531141">
        <w:t xml:space="preserve"> </w:t>
      </w:r>
      <w:r w:rsidRPr="00F46148">
        <w:t>miliard Kč</w:t>
      </w:r>
      <w:r w:rsidR="00AE15A6">
        <w:t xml:space="preserve">. </w:t>
      </w:r>
      <w:r w:rsidRPr="00F46148">
        <w:t>Tento údaj vychází z aktuální predikce stavu ekonomiky ČR v roce 201</w:t>
      </w:r>
      <w:r w:rsidR="00F46148">
        <w:t>7</w:t>
      </w:r>
      <w:r w:rsidRPr="00F46148">
        <w:t>, která počítá s nárůstem mezd o 4</w:t>
      </w:r>
      <w:r w:rsidR="00F46148">
        <w:t>,7</w:t>
      </w:r>
      <w:r w:rsidRPr="00F46148">
        <w:t xml:space="preserve"> % a zaměstnanosti o 0,</w:t>
      </w:r>
      <w:r w:rsidR="00F46148">
        <w:t>1</w:t>
      </w:r>
      <w:r w:rsidRPr="00F46148">
        <w:t xml:space="preserve"> % a dále bere v úvahu zvýšení platby za státní pojištěnce</w:t>
      </w:r>
      <w:r w:rsidR="00D42BCE">
        <w:t xml:space="preserve"> z 870 Kč na 920 Kč</w:t>
      </w:r>
      <w:r w:rsidRPr="00F46148">
        <w:t xml:space="preserve"> a </w:t>
      </w:r>
      <w:r w:rsidR="00F46148">
        <w:t>navýšení tarifních platů</w:t>
      </w:r>
      <w:r w:rsidRPr="00F46148">
        <w:t>.</w:t>
      </w:r>
    </w:p>
    <w:p w:rsidR="0044190A" w:rsidRPr="00AA1E57" w:rsidRDefault="0044190A" w:rsidP="0044190A"/>
    <w:p w:rsidR="00900682" w:rsidRPr="000F63C1" w:rsidRDefault="0044190A" w:rsidP="0044190A">
      <w:r w:rsidRPr="007976CE">
        <w:t>Poskytovatelům zdravotních služeb budou i nadále</w:t>
      </w:r>
      <w:r w:rsidRPr="009D0A85">
        <w:t xml:space="preserve"> kompenzovány zrušené regulační poplatky, a to do výše skutečně vybraných poplatků v roce 2014, tj. 1,5 mld. Kč za klinická vyšetření a 0,7 mld. Kč za výdej léků na recept.</w:t>
      </w:r>
    </w:p>
    <w:p w:rsidR="00E05A4D" w:rsidRPr="000F63C1" w:rsidRDefault="00E05A4D" w:rsidP="00E05A4D"/>
    <w:p w:rsidR="000A6C30" w:rsidRPr="000F63C1" w:rsidRDefault="000A6C30" w:rsidP="000A6C30">
      <w:pPr>
        <w:pStyle w:val="Nadpis2"/>
      </w:pPr>
      <w:r w:rsidRPr="000F63C1">
        <w:t>Zhodnocení rizika</w:t>
      </w:r>
    </w:p>
    <w:p w:rsidR="00C77806" w:rsidRDefault="001C6E73" w:rsidP="007A6670">
      <w:r w:rsidRPr="000F63C1">
        <w:t xml:space="preserve">Nestanovení </w:t>
      </w:r>
      <w:r w:rsidR="000C1F87" w:rsidRPr="000F63C1">
        <w:t xml:space="preserve">hodnoty bodu, výše úhrad hrazených služeb a regulačních omezení </w:t>
      </w:r>
      <w:r w:rsidRPr="000F63C1">
        <w:t xml:space="preserve">by znamenalo porušení povinnosti </w:t>
      </w:r>
      <w:r w:rsidR="00B9426C">
        <w:t>m</w:t>
      </w:r>
      <w:r w:rsidRPr="000F63C1">
        <w:t>inisterstv</w:t>
      </w:r>
      <w:r w:rsidR="00BD7B6E" w:rsidRPr="000F63C1">
        <w:t>a</w:t>
      </w:r>
      <w:r w:rsidR="00637193" w:rsidRPr="000F63C1">
        <w:t>, neboť zákon počítá s tím, že se vyhláška vydává pro každý kalendářní rok</w:t>
      </w:r>
      <w:r w:rsidRPr="000F63C1">
        <w:t xml:space="preserve">. </w:t>
      </w:r>
      <w:r w:rsidR="00BD7B6E" w:rsidRPr="000F63C1">
        <w:t xml:space="preserve">Nevydáním vyhlášky by reálně vzniklo </w:t>
      </w:r>
      <w:r w:rsidR="00C77806" w:rsidRPr="000F63C1">
        <w:t>rizik</w:t>
      </w:r>
      <w:r w:rsidR="00BD7B6E" w:rsidRPr="000F63C1">
        <w:t>o</w:t>
      </w:r>
      <w:r w:rsidR="004E2C48">
        <w:t xml:space="preserve"> žalob (viz závěry z </w:t>
      </w:r>
      <w:r w:rsidR="00C77806" w:rsidRPr="000F63C1">
        <w:t>relevantních právních rozhodnutí, např. rozsudek Nejvyššího soudu ze dne 26. června 20</w:t>
      </w:r>
      <w:r w:rsidR="00363D23" w:rsidRPr="000F63C1">
        <w:t>12</w:t>
      </w:r>
      <w:r w:rsidR="00C77806" w:rsidRPr="000F63C1">
        <w:t>, sp. zn. 32 Cdo 2108/2010) vyplývajících ze situace, kdy</w:t>
      </w:r>
      <w:r w:rsidR="007A6670" w:rsidRPr="000F63C1">
        <w:t xml:space="preserve"> </w:t>
      </w:r>
      <w:r w:rsidR="00C77806" w:rsidRPr="000F63C1">
        <w:t>by nebylo možno jednoznačně určit</w:t>
      </w:r>
      <w:r w:rsidR="007918DF">
        <w:t>,</w:t>
      </w:r>
      <w:r w:rsidR="00C77806" w:rsidRPr="000F63C1">
        <w:t xml:space="preserve"> podle jakých parametrů počítat výše úhrady.</w:t>
      </w:r>
    </w:p>
    <w:p w:rsidR="00055661" w:rsidRDefault="00055661" w:rsidP="007A6670"/>
    <w:p w:rsidR="004E2C48" w:rsidRPr="000F63C1" w:rsidRDefault="004E2C48" w:rsidP="007A6670"/>
    <w:p w:rsidR="000A6C30" w:rsidRPr="000F63C1" w:rsidRDefault="000A6C30" w:rsidP="000A6C30">
      <w:pPr>
        <w:pStyle w:val="Nadpis1"/>
      </w:pPr>
      <w:r w:rsidRPr="000F63C1">
        <w:lastRenderedPageBreak/>
        <w:t>Návrh variant řešení</w:t>
      </w:r>
    </w:p>
    <w:p w:rsidR="00587B82" w:rsidRPr="000F63C1" w:rsidRDefault="00587B82" w:rsidP="007C7800">
      <w:pPr>
        <w:ind w:firstLine="708"/>
        <w:rPr>
          <w:rFonts w:cs="Arial"/>
        </w:rPr>
      </w:pPr>
    </w:p>
    <w:p w:rsidR="004F6178" w:rsidRPr="000F63C1" w:rsidRDefault="004F6178" w:rsidP="00F54F7B">
      <w:pPr>
        <w:rPr>
          <w:b/>
          <w:u w:val="single"/>
        </w:rPr>
      </w:pPr>
      <w:r w:rsidRPr="000F63C1">
        <w:rPr>
          <w:b/>
          <w:u w:val="single"/>
        </w:rPr>
        <w:t>Varianta 0</w:t>
      </w:r>
    </w:p>
    <w:p w:rsidR="004F6178" w:rsidRPr="000F63C1" w:rsidRDefault="00552FD5" w:rsidP="004F6178">
      <w:r w:rsidRPr="000F63C1">
        <w:t xml:space="preserve">Nulová varianta představuje nečinnost ministerstva a nevydání vyhlášky, tedy nestanovení hodnoty bodu, výše úhrad hrazených služeb </w:t>
      </w:r>
      <w:r w:rsidR="00D30C10" w:rsidRPr="000F63C1">
        <w:t>a nevydání regulačních omezení.</w:t>
      </w:r>
    </w:p>
    <w:p w:rsidR="004F6178" w:rsidRPr="000F63C1" w:rsidRDefault="004F6178" w:rsidP="00F54F7B">
      <w:pPr>
        <w:rPr>
          <w:b/>
          <w:u w:val="single"/>
        </w:rPr>
      </w:pPr>
    </w:p>
    <w:p w:rsidR="004F6178" w:rsidRPr="000F63C1" w:rsidRDefault="004F6178" w:rsidP="00F54F7B">
      <w:pPr>
        <w:rPr>
          <w:b/>
          <w:u w:val="single"/>
        </w:rPr>
      </w:pPr>
      <w:r w:rsidRPr="000F63C1">
        <w:rPr>
          <w:b/>
          <w:u w:val="single"/>
        </w:rPr>
        <w:t>Varianta 1</w:t>
      </w:r>
    </w:p>
    <w:p w:rsidR="004F6178" w:rsidRPr="000F63C1" w:rsidRDefault="004F6178" w:rsidP="00F54F7B">
      <w:r w:rsidRPr="000F63C1">
        <w:t xml:space="preserve">Uvedená varianta představuje </w:t>
      </w:r>
      <w:r w:rsidR="00FF137B" w:rsidRPr="000F63C1">
        <w:t>předložení vyhlášky v</w:t>
      </w:r>
      <w:r w:rsidRPr="000F63C1">
        <w:t xml:space="preserve"> </w:t>
      </w:r>
      <w:r w:rsidR="003619FE">
        <w:t>obdobném</w:t>
      </w:r>
      <w:r w:rsidR="00FF137B" w:rsidRPr="000F63C1">
        <w:t xml:space="preserve"> </w:t>
      </w:r>
      <w:r w:rsidRPr="000F63C1">
        <w:t>znění</w:t>
      </w:r>
      <w:r w:rsidR="00EA286F">
        <w:t>, ve kterém byla vydána</w:t>
      </w:r>
      <w:r w:rsidRPr="000F63C1">
        <w:t xml:space="preserve"> vyhlášk</w:t>
      </w:r>
      <w:r w:rsidR="00EA286F">
        <w:t>a</w:t>
      </w:r>
      <w:r w:rsidRPr="000F63C1">
        <w:t xml:space="preserve"> </w:t>
      </w:r>
      <w:r w:rsidR="00FF137B" w:rsidRPr="000F63C1">
        <w:t xml:space="preserve">pro rok </w:t>
      </w:r>
      <w:r w:rsidRPr="000F63C1">
        <w:t>201</w:t>
      </w:r>
      <w:r w:rsidR="00212453">
        <w:t>6</w:t>
      </w:r>
      <w:r w:rsidR="00EA286F">
        <w:t xml:space="preserve"> s tím, že by</w:t>
      </w:r>
      <w:r w:rsidR="00AA72D1">
        <w:t xml:space="preserve"> </w:t>
      </w:r>
      <w:r w:rsidR="00EA286F">
        <w:t>byly</w:t>
      </w:r>
      <w:r w:rsidR="00511FBA" w:rsidRPr="000F63C1">
        <w:t xml:space="preserve"> zohledněn</w:t>
      </w:r>
      <w:r w:rsidR="00EA286F">
        <w:t>y pouze</w:t>
      </w:r>
      <w:r w:rsidR="00511FBA" w:rsidRPr="000F63C1">
        <w:t xml:space="preserve"> </w:t>
      </w:r>
      <w:r w:rsidR="00900682" w:rsidRPr="000F63C1">
        <w:t>výsledk</w:t>
      </w:r>
      <w:r w:rsidR="00EA286F">
        <w:t>y</w:t>
      </w:r>
      <w:r w:rsidR="00900682" w:rsidRPr="000F63C1">
        <w:t xml:space="preserve"> dohodovacího řízení</w:t>
      </w:r>
      <w:r w:rsidR="000D5173">
        <w:t xml:space="preserve"> a</w:t>
      </w:r>
      <w:r w:rsidR="004E2C48">
        <w:t> </w:t>
      </w:r>
      <w:r w:rsidR="00EA286F">
        <w:t>bylo upraveno</w:t>
      </w:r>
      <w:r w:rsidR="00AA72D1">
        <w:t xml:space="preserve"> referenční období</w:t>
      </w:r>
      <w:r w:rsidRPr="000F63C1">
        <w:t xml:space="preserve">. </w:t>
      </w:r>
    </w:p>
    <w:p w:rsidR="004F6178" w:rsidRPr="000F63C1" w:rsidRDefault="004F6178" w:rsidP="00F54F7B"/>
    <w:p w:rsidR="004F6178" w:rsidRPr="000F63C1" w:rsidRDefault="004F6178" w:rsidP="00F54F7B">
      <w:pPr>
        <w:rPr>
          <w:b/>
          <w:u w:val="single"/>
        </w:rPr>
      </w:pPr>
      <w:r w:rsidRPr="000F63C1">
        <w:rPr>
          <w:b/>
          <w:u w:val="single"/>
        </w:rPr>
        <w:t>Varianta 2</w:t>
      </w:r>
    </w:p>
    <w:p w:rsidR="009E5133" w:rsidRDefault="00B04BE2" w:rsidP="004F6178">
      <w:r w:rsidRPr="000F63C1">
        <w:t>Varianta č. 2 vychází z varianty č. 1, ale reflektuje ekonomické</w:t>
      </w:r>
      <w:r w:rsidR="00C95523">
        <w:t>, věcné</w:t>
      </w:r>
      <w:r w:rsidRPr="000F63C1">
        <w:t xml:space="preserve"> i právní změny, které nastaly v průběhu roku </w:t>
      </w:r>
      <w:r w:rsidR="00030787" w:rsidRPr="000F63C1">
        <w:t>201</w:t>
      </w:r>
      <w:r w:rsidR="00030787">
        <w:t>6</w:t>
      </w:r>
      <w:r w:rsidR="00C95523">
        <w:t>, popřípadě nastanou od 1. ledna 201</w:t>
      </w:r>
      <w:r w:rsidR="00157D75">
        <w:t>7</w:t>
      </w:r>
      <w:r w:rsidRPr="000F63C1">
        <w:t>.</w:t>
      </w:r>
      <w:r w:rsidR="00F359FB" w:rsidRPr="000F63C1">
        <w:t xml:space="preserve"> </w:t>
      </w:r>
      <w:r w:rsidR="00617384">
        <w:t>Tato varianta</w:t>
      </w:r>
    </w:p>
    <w:p w:rsidR="009E5133" w:rsidRDefault="009E5133" w:rsidP="00AA1E57">
      <w:pPr>
        <w:pStyle w:val="Odstavecseseznamem"/>
        <w:numPr>
          <w:ilvl w:val="0"/>
          <w:numId w:val="46"/>
        </w:numPr>
        <w:ind w:left="426"/>
      </w:pPr>
      <w:r>
        <w:t>reflektuje</w:t>
      </w:r>
      <w:r w:rsidR="00C95523">
        <w:t xml:space="preserve"> skutečnost</w:t>
      </w:r>
      <w:r>
        <w:t>, že p</w:t>
      </w:r>
      <w:r w:rsidR="009A3550" w:rsidRPr="00AA1E57">
        <w:t xml:space="preserve">říjmy </w:t>
      </w:r>
      <w:r w:rsidR="006B548A" w:rsidRPr="00AA1E57">
        <w:t>systému veřejného zdravotního pojištění by měly podle odhadů meziročně vzrůst o 1</w:t>
      </w:r>
      <w:r w:rsidR="003431EF">
        <w:t>2</w:t>
      </w:r>
      <w:r w:rsidR="006B548A" w:rsidRPr="003431EF">
        <w:t>,</w:t>
      </w:r>
      <w:r w:rsidR="00AA1E57">
        <w:t>9</w:t>
      </w:r>
      <w:r w:rsidR="006B548A" w:rsidRPr="003431EF">
        <w:t xml:space="preserve"> miliard Kč. Růst je způsobe</w:t>
      </w:r>
      <w:r w:rsidR="00541C9E">
        <w:t>n</w:t>
      </w:r>
      <w:r w:rsidR="006B548A" w:rsidRPr="003431EF">
        <w:t xml:space="preserve"> vyšším předpokládaným výběrem pojistného (</w:t>
      </w:r>
      <w:r w:rsidR="00AA1E57">
        <w:t>9,3</w:t>
      </w:r>
      <w:r w:rsidR="006B548A" w:rsidRPr="003431EF">
        <w:t xml:space="preserve"> mld. Kč) a vyšší platbou státu za státní pojištěnce (</w:t>
      </w:r>
      <w:r w:rsidR="00AA1E57">
        <w:t>3,6</w:t>
      </w:r>
      <w:r w:rsidR="006B548A" w:rsidRPr="003431EF">
        <w:t xml:space="preserve"> mld. Kč)</w:t>
      </w:r>
      <w:r w:rsidR="00617384">
        <w:t>,</w:t>
      </w:r>
    </w:p>
    <w:p w:rsidR="00617384" w:rsidRDefault="00AA1E57" w:rsidP="007C32E5">
      <w:pPr>
        <w:pStyle w:val="Odstavecseseznamem"/>
        <w:numPr>
          <w:ilvl w:val="0"/>
          <w:numId w:val="46"/>
        </w:numPr>
        <w:ind w:left="426"/>
      </w:pPr>
      <w:r>
        <w:t xml:space="preserve">počítá s navýšením tarifních platů zdravotníků o 10 % v roce 2017, </w:t>
      </w:r>
      <w:r w:rsidR="007201E2" w:rsidRPr="00AA1E57">
        <w:t xml:space="preserve">proto </w:t>
      </w:r>
      <w:r>
        <w:t>v segmentu poskytovatelů lůžkové péče navrhuje</w:t>
      </w:r>
      <w:r w:rsidR="00EA731F">
        <w:t xml:space="preserve"> </w:t>
      </w:r>
      <w:r>
        <w:t>6%</w:t>
      </w:r>
      <w:r w:rsidR="00CB53FE" w:rsidRPr="00AA1E57">
        <w:t xml:space="preserve"> </w:t>
      </w:r>
      <w:r w:rsidR="007201E2" w:rsidRPr="00AA1E57">
        <w:t xml:space="preserve">růst </w:t>
      </w:r>
      <w:r w:rsidR="00CB53FE" w:rsidRPr="00AA1E57">
        <w:t xml:space="preserve">úhrad </w:t>
      </w:r>
      <w:r w:rsidR="007201E2" w:rsidRPr="00AA1E57">
        <w:t>oproti roku 201</w:t>
      </w:r>
      <w:r>
        <w:t>6 k pokrytí nákladů na navýšení mezd a platů zdravotníků a na přirozený růst segmentu</w:t>
      </w:r>
      <w:r w:rsidR="007C32E5">
        <w:t>.</w:t>
      </w:r>
    </w:p>
    <w:p w:rsidR="007C32E5" w:rsidRDefault="007C32E5" w:rsidP="007C32E5"/>
    <w:p w:rsidR="00E859FA" w:rsidRPr="000F63C1" w:rsidRDefault="00E859FA" w:rsidP="00E859FA">
      <w:pPr>
        <w:pStyle w:val="Nadpis1"/>
      </w:pPr>
      <w:r w:rsidRPr="000F63C1">
        <w:t>Vyhodnocení nákladů a přínosů</w:t>
      </w:r>
    </w:p>
    <w:p w:rsidR="00E859FA" w:rsidRPr="000F63C1" w:rsidRDefault="00E859FA" w:rsidP="00E859FA">
      <w:pPr>
        <w:pStyle w:val="Nadpis2"/>
      </w:pPr>
      <w:r w:rsidRPr="000F63C1">
        <w:t>Identifikace nákladů a přínosů</w:t>
      </w:r>
    </w:p>
    <w:p w:rsidR="00D30C10" w:rsidRPr="000F63C1" w:rsidRDefault="00D30C10" w:rsidP="003A32B8">
      <w:pPr>
        <w:spacing w:line="360" w:lineRule="auto"/>
        <w:rPr>
          <w:u w:val="single"/>
        </w:rPr>
      </w:pPr>
      <w:r w:rsidRPr="000F63C1">
        <w:rPr>
          <w:u w:val="single"/>
        </w:rPr>
        <w:t>Varianta 0</w:t>
      </w:r>
    </w:p>
    <w:p w:rsidR="00D30C10" w:rsidRPr="000F63C1" w:rsidRDefault="00D30C10" w:rsidP="00D30C10">
      <w:r w:rsidRPr="000F63C1">
        <w:t>Nevydání vyhlášky, tedy nestanovení hodnoty bodu</w:t>
      </w:r>
      <w:r w:rsidR="004E2C48">
        <w:t>, výše úhrad hrazených služeb a </w:t>
      </w:r>
      <w:r w:rsidRPr="000F63C1">
        <w:t xml:space="preserve">regulačních omezení by znamenalo porušení povinnosti uvedené pro </w:t>
      </w:r>
      <w:r w:rsidR="00FC32EB">
        <w:t>ministerstvo</w:t>
      </w:r>
      <w:r w:rsidRPr="000F63C1">
        <w:t>, v jehož důsledku by nebyly hodnoty bodu, výše úhrad hrazených služeb a regulační omezení pro rok 201</w:t>
      </w:r>
      <w:r w:rsidR="00377538">
        <w:t>7</w:t>
      </w:r>
      <w:r w:rsidRPr="000F63C1">
        <w:t xml:space="preserve"> vůbec stanoveny, neboť zákon počítá s tím, že se vyhláška vydává pro každý kalendářní rok. </w:t>
      </w:r>
    </w:p>
    <w:p w:rsidR="00D30C10" w:rsidRDefault="00D30C10" w:rsidP="00D30C10"/>
    <w:p w:rsidR="00BE1328" w:rsidRPr="000F63C1" w:rsidRDefault="00BE1328" w:rsidP="00D30C10">
      <w:r>
        <w:t>Náklady</w:t>
      </w:r>
    </w:p>
    <w:p w:rsidR="00D30C10" w:rsidRDefault="00BE1328" w:rsidP="00D30C10">
      <w:r>
        <w:t>Je zde pravděpodobnost vysokého</w:t>
      </w:r>
      <w:r w:rsidR="00D30C10" w:rsidRPr="000F63C1">
        <w:t xml:space="preserve"> rizik</w:t>
      </w:r>
      <w:r>
        <w:t>a</w:t>
      </w:r>
      <w:r w:rsidR="00D30C10" w:rsidRPr="000F63C1">
        <w:t xml:space="preserve"> žalob, byť obtížně vyčíslitelné, vyplývající ze situace, kdy by nebylo možno jednoznačně určit podle jakých parametrů počítat výše úhrady (viz závěry z relevantních právních rozhodnutí, např. rozsu</w:t>
      </w:r>
      <w:r w:rsidR="00D90F40">
        <w:t>dek Nejvyššího soudu ze dne 26. </w:t>
      </w:r>
      <w:r w:rsidR="00D30C10" w:rsidRPr="000F63C1">
        <w:t>června 2012, sp. zn. 32 Cdo 2108/2010).</w:t>
      </w:r>
    </w:p>
    <w:p w:rsidR="00D30C10" w:rsidRDefault="00D30C10" w:rsidP="00F75851">
      <w:r w:rsidRPr="000F63C1">
        <w:t>D</w:t>
      </w:r>
      <w:r w:rsidR="00BE1328">
        <w:t xml:space="preserve">ále </w:t>
      </w:r>
      <w:r w:rsidR="00774730">
        <w:t xml:space="preserve">v případě nedohody a </w:t>
      </w:r>
      <w:r w:rsidR="00BE1328">
        <w:t>p</w:t>
      </w:r>
      <w:r w:rsidRPr="000F63C1">
        <w:t>ři absenci regulačních omezení by se náklady na poskytování hrazených služeb mnohonásobně zvýšily, neboť by v systému chyběly ekonomické mechanismy, které poskytovatele vedou k efektivitě. Tato varianta by byla jednoznačným rizikem nejen pro zdravotní pojišťovny, ale i pro pojištěnce, kterým by byly poskytovány služby bez ohledu na jejich potřebnost</w:t>
      </w:r>
      <w:r w:rsidR="004F2DB6">
        <w:t xml:space="preserve"> (například </w:t>
      </w:r>
      <w:r w:rsidR="00357D4E">
        <w:t xml:space="preserve">nadbytečná </w:t>
      </w:r>
      <w:r w:rsidR="004F2DB6">
        <w:t>laboratorní vyšetření</w:t>
      </w:r>
      <w:r w:rsidR="0002600A">
        <w:t xml:space="preserve"> atd.</w:t>
      </w:r>
      <w:r w:rsidR="004F2DB6">
        <w:t>)</w:t>
      </w:r>
      <w:r w:rsidRPr="000F63C1">
        <w:t>.</w:t>
      </w:r>
    </w:p>
    <w:p w:rsidR="00BE1328" w:rsidRDefault="00BE1328" w:rsidP="00F75851"/>
    <w:p w:rsidR="00BE1328" w:rsidRDefault="00BE1328" w:rsidP="00F75851">
      <w:r>
        <w:lastRenderedPageBreak/>
        <w:t>Přínosy</w:t>
      </w:r>
    </w:p>
    <w:p w:rsidR="00BE1328" w:rsidRPr="000F63C1" w:rsidRDefault="00774730" w:rsidP="00F75851">
      <w:r>
        <w:t>Poskytovatelé a</w:t>
      </w:r>
      <w:r w:rsidRPr="000F63C1">
        <w:t xml:space="preserve"> zdravotní pojišťovny </w:t>
      </w:r>
      <w:r>
        <w:t xml:space="preserve">by </w:t>
      </w:r>
      <w:r w:rsidR="008E05B8">
        <w:t>byli nuceni</w:t>
      </w:r>
      <w:r>
        <w:t xml:space="preserve"> dojít k individuální dohodě,</w:t>
      </w:r>
      <w:r w:rsidRPr="00774730">
        <w:t xml:space="preserve"> </w:t>
      </w:r>
      <w:r>
        <w:t xml:space="preserve">jinak by nebyla zajištěna dostupnost zdravotních služeb. </w:t>
      </w:r>
      <w:r w:rsidR="008E05B8">
        <w:t xml:space="preserve">V případě uzavření většího množství dohod by zdravotní pojišťovny mohly více řídit poskytování zdravotní péče a </w:t>
      </w:r>
      <w:r w:rsidR="0002600A">
        <w:t xml:space="preserve">ve větší míře </w:t>
      </w:r>
      <w:r w:rsidR="008E05B8">
        <w:t>zohledňovat specifika jednotlivých poskytovatelů.</w:t>
      </w:r>
    </w:p>
    <w:p w:rsidR="00D30C10" w:rsidRPr="000F63C1" w:rsidRDefault="00D30C10" w:rsidP="00F75851"/>
    <w:p w:rsidR="00E17E55" w:rsidRPr="00157D75" w:rsidRDefault="00D30C10" w:rsidP="00F75851">
      <w:pPr>
        <w:rPr>
          <w:u w:val="single"/>
        </w:rPr>
      </w:pPr>
      <w:r w:rsidRPr="000F63C1">
        <w:rPr>
          <w:u w:val="single"/>
        </w:rPr>
        <w:t>Varianta 1</w:t>
      </w:r>
    </w:p>
    <w:p w:rsidR="00D30C10" w:rsidRPr="000F63C1" w:rsidRDefault="00D30C10" w:rsidP="00F75851">
      <w:r w:rsidRPr="000F63C1">
        <w:t>Tato varianta, která v podstatě znamená, že by byla vydaná vyhláška v</w:t>
      </w:r>
      <w:r w:rsidR="00FB6666">
        <w:t xml:space="preserve"> obdobném</w:t>
      </w:r>
      <w:r w:rsidRPr="000F63C1">
        <w:t xml:space="preserve"> znění</w:t>
      </w:r>
      <w:r w:rsidR="00FB6666">
        <w:t>, ve kterém byla vydána</w:t>
      </w:r>
      <w:r w:rsidRPr="000F63C1">
        <w:t xml:space="preserve"> vyhláška na rok 201</w:t>
      </w:r>
      <w:r w:rsidR="00377538">
        <w:t>6</w:t>
      </w:r>
      <w:r w:rsidR="00157D75">
        <w:t xml:space="preserve"> </w:t>
      </w:r>
      <w:r w:rsidR="00FB6666">
        <w:t>s tím, že by byly</w:t>
      </w:r>
      <w:r w:rsidR="00FB6666" w:rsidRPr="000F63C1">
        <w:t xml:space="preserve"> zohledněn</w:t>
      </w:r>
      <w:r w:rsidR="00FB6666">
        <w:t>y pouze</w:t>
      </w:r>
      <w:r w:rsidR="00FB6666" w:rsidRPr="000F63C1">
        <w:t xml:space="preserve"> výsledk</w:t>
      </w:r>
      <w:r w:rsidR="00FB6666">
        <w:t>y</w:t>
      </w:r>
      <w:r w:rsidR="00FB6666" w:rsidRPr="000F63C1">
        <w:t xml:space="preserve"> dohodovacího řízení</w:t>
      </w:r>
      <w:r w:rsidR="00FB6666">
        <w:t xml:space="preserve"> a bylo upraveno referenční období,</w:t>
      </w:r>
      <w:r w:rsidR="00FB6666" w:rsidRPr="000F63C1">
        <w:t xml:space="preserve"> </w:t>
      </w:r>
      <w:r w:rsidRPr="000F63C1">
        <w:t>má následující náklady a přínosy:</w:t>
      </w:r>
    </w:p>
    <w:p w:rsidR="00B3031A" w:rsidRPr="000F63C1" w:rsidRDefault="00B3031A" w:rsidP="00F75851"/>
    <w:p w:rsidR="00B3031A" w:rsidRPr="000F63C1" w:rsidRDefault="00B3031A" w:rsidP="00F75851">
      <w:r w:rsidRPr="000F63C1">
        <w:t>Náklady</w:t>
      </w:r>
    </w:p>
    <w:p w:rsidR="00D30C10" w:rsidRDefault="00B3031A" w:rsidP="00F75851">
      <w:r w:rsidRPr="000F63C1">
        <w:t xml:space="preserve">Nevýhodou vyhlášky ve stávajícím znění je, že </w:t>
      </w:r>
      <w:r w:rsidR="00FB6666">
        <w:t xml:space="preserve">s výjimkou segmentů, které se dohodly v dohodovacím řízení, </w:t>
      </w:r>
      <w:r w:rsidRPr="000F63C1">
        <w:t xml:space="preserve">nereflektuje nové skutečnosti – ekonomickou realitu ČR, </w:t>
      </w:r>
      <w:r w:rsidR="00C15E28">
        <w:t>navýšení tarifních platů o 10 % a</w:t>
      </w:r>
      <w:r w:rsidRPr="000F63C1">
        <w:t xml:space="preserve"> připomínky a podněty poskytovatelů a </w:t>
      </w:r>
      <w:r w:rsidR="00F537A5">
        <w:t xml:space="preserve">zdravotních </w:t>
      </w:r>
      <w:r w:rsidRPr="000F63C1">
        <w:t>pojišťoven ke stávající vyhlášce</w:t>
      </w:r>
      <w:r w:rsidR="00BC5B22">
        <w:t>.</w:t>
      </w:r>
    </w:p>
    <w:p w:rsidR="00BE1328" w:rsidRDefault="00BE1328" w:rsidP="00F75851"/>
    <w:p w:rsidR="00BE1328" w:rsidRPr="000F63C1" w:rsidRDefault="00BE1328" w:rsidP="00BE1328">
      <w:r w:rsidRPr="000F63C1">
        <w:t>Přínosy</w:t>
      </w:r>
    </w:p>
    <w:p w:rsidR="00BE1328" w:rsidRPr="000F63C1" w:rsidRDefault="00BE1328" w:rsidP="00BE1328">
      <w:r w:rsidRPr="000F63C1">
        <w:t xml:space="preserve">Jelikož je vyhláška </w:t>
      </w:r>
      <w:r w:rsidR="00BC01F2">
        <w:t>obsahově velmi podobná</w:t>
      </w:r>
      <w:r w:rsidR="00357D4E">
        <w:t xml:space="preserve"> platné vyhlášce pro rok </w:t>
      </w:r>
      <w:r w:rsidRPr="000F63C1">
        <w:t>201</w:t>
      </w:r>
      <w:r>
        <w:t>6</w:t>
      </w:r>
      <w:r w:rsidR="004E2C48">
        <w:t>, poskytovatelé i </w:t>
      </w:r>
      <w:r w:rsidRPr="000F63C1">
        <w:t>zdravotní pojišťovny její obsah znají a nemuseli by se tedy novému znění nijak přizpůsobovat</w:t>
      </w:r>
      <w:r w:rsidR="004F2DB6">
        <w:t xml:space="preserve">, s výjimkou </w:t>
      </w:r>
      <w:r w:rsidR="00BC5B22">
        <w:t xml:space="preserve">změn, </w:t>
      </w:r>
      <w:r w:rsidR="00E17E55">
        <w:t xml:space="preserve">k nimž došlo na základě dohody v </w:t>
      </w:r>
      <w:r w:rsidR="004F2DB6">
        <w:t>dohodovacím řízení</w:t>
      </w:r>
      <w:r w:rsidR="00357D4E">
        <w:t>.</w:t>
      </w:r>
      <w:r w:rsidRPr="000F63C1">
        <w:t xml:space="preserve"> </w:t>
      </w:r>
    </w:p>
    <w:p w:rsidR="006B7344" w:rsidRPr="000F63C1" w:rsidRDefault="006B7344" w:rsidP="00134B1C"/>
    <w:p w:rsidR="00E17E55" w:rsidRPr="00157D75" w:rsidRDefault="006B7344" w:rsidP="00134B1C">
      <w:pPr>
        <w:rPr>
          <w:u w:val="single"/>
        </w:rPr>
      </w:pPr>
      <w:r w:rsidRPr="000F63C1">
        <w:rPr>
          <w:u w:val="single"/>
        </w:rPr>
        <w:t>Varianta 2</w:t>
      </w:r>
    </w:p>
    <w:p w:rsidR="004D5DA8" w:rsidRPr="000F63C1" w:rsidRDefault="004D5DA8" w:rsidP="00134B1C">
      <w:r w:rsidRPr="000F63C1">
        <w:t>Varianta 2 má tyto základní náklady a přínosy:</w:t>
      </w:r>
    </w:p>
    <w:p w:rsidR="004D5DA8" w:rsidRPr="000F63C1" w:rsidRDefault="004D5DA8" w:rsidP="00134B1C"/>
    <w:p w:rsidR="004D5DA8" w:rsidRPr="000F63C1" w:rsidRDefault="004D5DA8" w:rsidP="00134B1C">
      <w:r w:rsidRPr="000F63C1">
        <w:t>Náklady</w:t>
      </w:r>
    </w:p>
    <w:p w:rsidR="004D5DA8" w:rsidRPr="000F63C1" w:rsidRDefault="004D5DA8" w:rsidP="00E4237A">
      <w:r w:rsidRPr="00E15224">
        <w:t xml:space="preserve">Dopady na </w:t>
      </w:r>
      <w:r w:rsidR="004B1D83" w:rsidRPr="00E15224">
        <w:t>zdravotní pojišťovny</w:t>
      </w:r>
      <w:r w:rsidRPr="00E15224">
        <w:t xml:space="preserve"> budou </w:t>
      </w:r>
      <w:r w:rsidR="000E551A" w:rsidRPr="00E15224">
        <w:t xml:space="preserve">pravděpodobně vyšší než v případě varianty </w:t>
      </w:r>
      <w:r w:rsidR="00301604">
        <w:t>1</w:t>
      </w:r>
      <w:r w:rsidR="00570244">
        <w:t>. Varianta 1 stanovuje procentuálně nižší navýšení paušální úhrady za akutní lůžkovou péči</w:t>
      </w:r>
      <w:r w:rsidR="004E2C48">
        <w:t>. U </w:t>
      </w:r>
      <w:r w:rsidR="00044B52">
        <w:t>některých poskytovatelů by byl tento nárůst dostačující na 10 % navýšení tarifní složky platu zdravotníků, nicméně varianta 2 určuje takové navýšení úhrad, aby každý poskytovatel měl dostačující navýšení úhrad k pokrytí nákladů souvisejících s růstem platů, tedy stanovuje navýšení úhrad podle poskytovatele s největší</w:t>
      </w:r>
      <w:r w:rsidR="00D90F40">
        <w:t>m</w:t>
      </w:r>
      <w:r w:rsidR="00044B52">
        <w:t xml:space="preserve"> podílem osobních nákladů.</w:t>
      </w:r>
    </w:p>
    <w:p w:rsidR="00377538" w:rsidRDefault="00377538" w:rsidP="00134B1C"/>
    <w:p w:rsidR="004D5DA8" w:rsidRPr="000F63C1" w:rsidRDefault="004D5DA8" w:rsidP="00134B1C">
      <w:r w:rsidRPr="000F63C1">
        <w:t>Přínosy</w:t>
      </w:r>
    </w:p>
    <w:p w:rsidR="00134B1C" w:rsidRPr="000F63C1" w:rsidRDefault="00391172" w:rsidP="00134B1C">
      <w:r w:rsidRPr="000F63C1">
        <w:t>Parametry vyhlášky vycházejí z modelace ministerstva, které reflektuje očekávaný výběr pojistného v roce 201</w:t>
      </w:r>
      <w:r w:rsidR="00377538">
        <w:t>7</w:t>
      </w:r>
      <w:r w:rsidRPr="000F63C1">
        <w:t>.</w:t>
      </w:r>
    </w:p>
    <w:p w:rsidR="00391172" w:rsidRPr="000F63C1" w:rsidRDefault="00391172" w:rsidP="00134B1C"/>
    <w:p w:rsidR="00A825DE" w:rsidRPr="000F63C1" w:rsidRDefault="00A825DE" w:rsidP="00134B1C">
      <w:r w:rsidRPr="000F63C1">
        <w:t xml:space="preserve">Vyhláška umožňuje </w:t>
      </w:r>
      <w:r w:rsidR="000E551A">
        <w:t>potřebný</w:t>
      </w:r>
      <w:r w:rsidR="000E551A" w:rsidRPr="000F63C1">
        <w:t xml:space="preserve"> </w:t>
      </w:r>
      <w:r w:rsidRPr="000F63C1">
        <w:t>růst ve všech segmentech</w:t>
      </w:r>
      <w:r w:rsidR="000E551A">
        <w:t xml:space="preserve"> k zajištění dostupnosti zdravotní péče</w:t>
      </w:r>
      <w:r w:rsidRPr="000F63C1">
        <w:t>, což je jednoznačným přínosem pro poskytovatele zdravotních služeb</w:t>
      </w:r>
      <w:r w:rsidR="000E551A">
        <w:t xml:space="preserve"> i pacienty</w:t>
      </w:r>
      <w:r w:rsidRPr="000F63C1">
        <w:t>.</w:t>
      </w:r>
    </w:p>
    <w:p w:rsidR="00A825DE" w:rsidRPr="000F63C1" w:rsidRDefault="00A825DE" w:rsidP="00134B1C"/>
    <w:p w:rsidR="000A6C30" w:rsidRDefault="00391172" w:rsidP="00A114C6">
      <w:r w:rsidRPr="000F63C1">
        <w:t xml:space="preserve">Vyhláška </w:t>
      </w:r>
      <w:r w:rsidR="00A825DE" w:rsidRPr="000F63C1">
        <w:t xml:space="preserve">stanoví </w:t>
      </w:r>
      <w:r w:rsidRPr="000F63C1">
        <w:t>v různých segmentech ty mechanismy úhrad, které poskytují nejlepší motivace (motivace ke zvýšení efektivity a</w:t>
      </w:r>
      <w:r w:rsidR="000E551A">
        <w:t xml:space="preserve"> vyvarování se účelovému chování</w:t>
      </w:r>
      <w:r w:rsidRPr="000F63C1">
        <w:t xml:space="preserve">). </w:t>
      </w:r>
    </w:p>
    <w:p w:rsidR="00E15224" w:rsidRDefault="00E15224" w:rsidP="00A114C6"/>
    <w:p w:rsidR="00E15224" w:rsidRPr="000F63C1" w:rsidRDefault="00E15224" w:rsidP="00A114C6">
      <w:r>
        <w:lastRenderedPageBreak/>
        <w:t xml:space="preserve">Vyhláška zajistí, že všichni poskytovatelé budou mít potřebný růst </w:t>
      </w:r>
      <w:r w:rsidR="00157D75">
        <w:t xml:space="preserve">úhrad </w:t>
      </w:r>
      <w:r>
        <w:t>k pokrytí zvýšených osobních nákladů.</w:t>
      </w:r>
    </w:p>
    <w:p w:rsidR="000A6C30" w:rsidRPr="000F63C1" w:rsidRDefault="00237E8F" w:rsidP="000A6C30">
      <w:pPr>
        <w:pStyle w:val="Nadpis1"/>
      </w:pPr>
      <w:r>
        <w:t>Stanovení pořadí variant a výběr nejvhodnějšího řešení</w:t>
      </w:r>
    </w:p>
    <w:p w:rsidR="00C509A2" w:rsidRPr="000F63C1" w:rsidRDefault="00E17E55" w:rsidP="00F47E12">
      <w:r>
        <w:t>P</w:t>
      </w:r>
      <w:r w:rsidR="000E405E" w:rsidRPr="000F63C1">
        <w:t>ořadí jednotlivých variant</w:t>
      </w:r>
      <w:r>
        <w:t xml:space="preserve"> se stanoví</w:t>
      </w:r>
      <w:r w:rsidR="000E405E" w:rsidRPr="000F63C1">
        <w:t xml:space="preserve"> s přihlédnutím k jejich nákladům a přínosům</w:t>
      </w:r>
      <w:r w:rsidR="00460024" w:rsidRPr="000F63C1">
        <w:t>, a to na základě míry</w:t>
      </w:r>
      <w:r w:rsidR="00541299">
        <w:t>,</w:t>
      </w:r>
      <w:r w:rsidR="00460024" w:rsidRPr="000F63C1">
        <w:t xml:space="preserve"> s jakou splňují cíle vyt</w:t>
      </w:r>
      <w:r w:rsidR="009B5551">
        <w:t>ý</w:t>
      </w:r>
      <w:r w:rsidR="00460024" w:rsidRPr="000F63C1">
        <w:t xml:space="preserve">čené v kapitole 1.5 </w:t>
      </w:r>
      <w:r w:rsidR="009B5551">
        <w:t>a uvedené v písmenech a) až f</w:t>
      </w:r>
      <w:r w:rsidR="00157D75">
        <w:t>)</w:t>
      </w:r>
      <w:r w:rsidR="00460024" w:rsidRPr="000F63C1">
        <w:t>.</w:t>
      </w:r>
    </w:p>
    <w:p w:rsidR="000E405E" w:rsidRPr="000F63C1" w:rsidRDefault="000E405E" w:rsidP="00F47E12"/>
    <w:p w:rsidR="00A114C6" w:rsidRPr="00F27756" w:rsidRDefault="00460024" w:rsidP="00F47E12">
      <w:pPr>
        <w:rPr>
          <w:b/>
          <w:i/>
        </w:rPr>
      </w:pPr>
      <w:r w:rsidRPr="00F27756">
        <w:rPr>
          <w:b/>
          <w:i/>
        </w:rPr>
        <w:t xml:space="preserve">a) </w:t>
      </w:r>
      <w:r w:rsidR="00A114C6" w:rsidRPr="00F27756">
        <w:rPr>
          <w:b/>
          <w:i/>
        </w:rPr>
        <w:t xml:space="preserve">Podpořit kvalitní a dostupnou péči </w:t>
      </w:r>
      <w:r w:rsidR="007016BB" w:rsidRPr="00F27756">
        <w:rPr>
          <w:b/>
          <w:i/>
        </w:rPr>
        <w:t>u poskytovatelů</w:t>
      </w:r>
      <w:r w:rsidR="00410041" w:rsidRPr="00F27756">
        <w:rPr>
          <w:b/>
          <w:i/>
        </w:rPr>
        <w:t xml:space="preserve"> </w:t>
      </w:r>
      <w:r w:rsidR="00A114C6" w:rsidRPr="00F27756">
        <w:rPr>
          <w:b/>
          <w:i/>
        </w:rPr>
        <w:t>posk</w:t>
      </w:r>
      <w:r w:rsidR="000E405E" w:rsidRPr="00F27756">
        <w:rPr>
          <w:b/>
          <w:i/>
        </w:rPr>
        <w:t>ytujících akutní lůžkovou péči</w:t>
      </w:r>
      <w:r w:rsidR="00AA371E" w:rsidRPr="00F27756">
        <w:rPr>
          <w:b/>
          <w:i/>
        </w:rPr>
        <w:t xml:space="preserve"> a</w:t>
      </w:r>
      <w:r w:rsidR="00992744">
        <w:rPr>
          <w:b/>
          <w:i/>
        </w:rPr>
        <w:t> </w:t>
      </w:r>
      <w:r w:rsidR="00AA371E" w:rsidRPr="00F27756">
        <w:rPr>
          <w:b/>
          <w:i/>
        </w:rPr>
        <w:t>u poskytovatelů následné a dlouhodobé péče</w:t>
      </w:r>
    </w:p>
    <w:p w:rsidR="00044B52" w:rsidRPr="000F63C1" w:rsidRDefault="00460024" w:rsidP="00AA371E">
      <w:r w:rsidRPr="000F63C1">
        <w:t>V tomto kritériu se zohledňuje objem finančních prostředků, které obdrží poskytovatelé akutní lůžkové péče</w:t>
      </w:r>
      <w:r w:rsidR="00AA371E">
        <w:t xml:space="preserve"> a poskytovatelé následné a dlouhodobé péče</w:t>
      </w:r>
      <w:r w:rsidRPr="000F63C1">
        <w:t>. Zohledňuje se dále, jak zvolené úhradové mechanismy přispívají k vyšší efektivitě poskytovaných hrazených služeb.</w:t>
      </w:r>
      <w:r w:rsidR="00AA371E">
        <w:t xml:space="preserve"> </w:t>
      </w:r>
    </w:p>
    <w:p w:rsidR="00460024" w:rsidRPr="000F63C1" w:rsidRDefault="00460024" w:rsidP="00F47E12"/>
    <w:p w:rsidR="00A114C6" w:rsidRPr="00F27756" w:rsidRDefault="00AA371E" w:rsidP="00F47E12">
      <w:pPr>
        <w:rPr>
          <w:b/>
        </w:rPr>
      </w:pPr>
      <w:r w:rsidRPr="00F27756">
        <w:rPr>
          <w:b/>
          <w:i/>
        </w:rPr>
        <w:t>b</w:t>
      </w:r>
      <w:r w:rsidR="00460024" w:rsidRPr="00F27756">
        <w:rPr>
          <w:b/>
          <w:i/>
        </w:rPr>
        <w:t xml:space="preserve">) </w:t>
      </w:r>
      <w:r w:rsidR="00B95698" w:rsidRPr="00F27756">
        <w:rPr>
          <w:b/>
          <w:i/>
        </w:rPr>
        <w:t xml:space="preserve">Umožnit navýšení platů a mezd zdravotníků </w:t>
      </w:r>
      <w:r w:rsidR="007016BB" w:rsidRPr="00F27756">
        <w:rPr>
          <w:b/>
          <w:i/>
        </w:rPr>
        <w:t xml:space="preserve">u poskytovatelů </w:t>
      </w:r>
      <w:r w:rsidR="00B95698" w:rsidRPr="00F27756">
        <w:rPr>
          <w:b/>
          <w:i/>
        </w:rPr>
        <w:t>lůžkov</w:t>
      </w:r>
      <w:r w:rsidR="007016BB" w:rsidRPr="00F27756">
        <w:rPr>
          <w:b/>
          <w:i/>
        </w:rPr>
        <w:t>é</w:t>
      </w:r>
      <w:r w:rsidR="00B95698" w:rsidRPr="00F27756">
        <w:rPr>
          <w:b/>
          <w:i/>
        </w:rPr>
        <w:t xml:space="preserve"> </w:t>
      </w:r>
      <w:r w:rsidR="007016BB" w:rsidRPr="00F27756">
        <w:rPr>
          <w:b/>
          <w:i/>
        </w:rPr>
        <w:t>péče</w:t>
      </w:r>
      <w:r w:rsidR="00B95698" w:rsidRPr="00F27756">
        <w:rPr>
          <w:b/>
          <w:i/>
        </w:rPr>
        <w:t>.</w:t>
      </w:r>
    </w:p>
    <w:p w:rsidR="00460024" w:rsidRPr="000F63C1" w:rsidRDefault="00460024" w:rsidP="00F47E12">
      <w:r w:rsidRPr="000F63C1">
        <w:t xml:space="preserve">V tomto kritériu se zohledňuje objem finančních prostředků, které obdrží poskytovatelé </w:t>
      </w:r>
      <w:r w:rsidR="009176D5">
        <w:t xml:space="preserve">akutní, </w:t>
      </w:r>
      <w:r w:rsidRPr="000F63C1">
        <w:t>následné a dlouhodobé péče</w:t>
      </w:r>
      <w:r w:rsidR="009176D5">
        <w:t xml:space="preserve"> na pokrytí zvýšených osobních nákladů z důvodů navýšení tarifní složky platu zdravotníků o 10 %</w:t>
      </w:r>
      <w:r w:rsidRPr="000F63C1">
        <w:t>.</w:t>
      </w:r>
    </w:p>
    <w:p w:rsidR="00460024" w:rsidRPr="000F63C1" w:rsidRDefault="00460024" w:rsidP="00F47E12"/>
    <w:p w:rsidR="00A114C6" w:rsidRPr="00F27756" w:rsidRDefault="00AA371E" w:rsidP="00F47E12">
      <w:pPr>
        <w:rPr>
          <w:b/>
          <w:i/>
        </w:rPr>
      </w:pPr>
      <w:r w:rsidRPr="00F27756">
        <w:rPr>
          <w:b/>
          <w:i/>
        </w:rPr>
        <w:t>c</w:t>
      </w:r>
      <w:r w:rsidR="00460024" w:rsidRPr="00F27756">
        <w:rPr>
          <w:b/>
          <w:i/>
        </w:rPr>
        <w:t xml:space="preserve">) </w:t>
      </w:r>
      <w:r w:rsidR="00B95698" w:rsidRPr="00F27756">
        <w:rPr>
          <w:b/>
          <w:i/>
        </w:rPr>
        <w:t>Umožnit vyrovnané hospodaření zdravotních pojišťoven.</w:t>
      </w:r>
    </w:p>
    <w:p w:rsidR="00460024" w:rsidRPr="000F63C1" w:rsidRDefault="00460024" w:rsidP="00F47E12">
      <w:r w:rsidRPr="000F63C1">
        <w:t>V tomto kritériu se zohledňuje, jak zvolená varianta ovlivní výši zůstatků na základních fondech zdravotních pojišťoven.</w:t>
      </w:r>
    </w:p>
    <w:p w:rsidR="00460024" w:rsidRPr="000F63C1" w:rsidRDefault="00460024" w:rsidP="00F47E12"/>
    <w:p w:rsidR="00A114C6" w:rsidRPr="00F27756" w:rsidRDefault="00AA371E" w:rsidP="00F47E12">
      <w:pPr>
        <w:rPr>
          <w:b/>
          <w:i/>
        </w:rPr>
      </w:pPr>
      <w:r w:rsidRPr="00F27756">
        <w:rPr>
          <w:b/>
          <w:i/>
        </w:rPr>
        <w:t>d</w:t>
      </w:r>
      <w:r w:rsidR="00460024" w:rsidRPr="00F27756">
        <w:rPr>
          <w:b/>
          <w:i/>
        </w:rPr>
        <w:t xml:space="preserve">) </w:t>
      </w:r>
      <w:r w:rsidR="00A114C6" w:rsidRPr="00F27756">
        <w:rPr>
          <w:b/>
          <w:i/>
        </w:rPr>
        <w:t>Umožnit ostatním poskytovatelům růst, odpovídaj</w:t>
      </w:r>
      <w:r w:rsidR="00460024" w:rsidRPr="00F27756">
        <w:rPr>
          <w:b/>
          <w:i/>
        </w:rPr>
        <w:t>ící finančním možnostem systému</w:t>
      </w:r>
    </w:p>
    <w:p w:rsidR="00460024" w:rsidRPr="000F63C1" w:rsidRDefault="00460024" w:rsidP="00F47E12">
      <w:r w:rsidRPr="000F63C1">
        <w:t>V tomto kritériu se zohledňuje objem finančních prostředků, které obdrží poskytovatelé mimo lůžkovou péči</w:t>
      </w:r>
      <w:r w:rsidR="009176D5">
        <w:t>.</w:t>
      </w:r>
    </w:p>
    <w:p w:rsidR="00460024" w:rsidRPr="000F63C1" w:rsidRDefault="00460024" w:rsidP="00F47E12"/>
    <w:p w:rsidR="00A114C6" w:rsidRPr="00F27756" w:rsidRDefault="00AA371E" w:rsidP="00B95698">
      <w:pPr>
        <w:rPr>
          <w:b/>
          <w:i/>
        </w:rPr>
      </w:pPr>
      <w:r w:rsidRPr="00F27756">
        <w:rPr>
          <w:b/>
          <w:i/>
        </w:rPr>
        <w:t>e</w:t>
      </w:r>
      <w:r w:rsidR="00460024" w:rsidRPr="00F27756">
        <w:rPr>
          <w:b/>
          <w:i/>
        </w:rPr>
        <w:t xml:space="preserve">) </w:t>
      </w:r>
      <w:r w:rsidR="00A114C6" w:rsidRPr="00F27756">
        <w:rPr>
          <w:b/>
          <w:i/>
        </w:rPr>
        <w:t>Pokračovat v narovnávání systému úhrad</w:t>
      </w:r>
      <w:r w:rsidR="00B95698" w:rsidRPr="00F27756">
        <w:rPr>
          <w:b/>
          <w:i/>
        </w:rPr>
        <w:t>: sbližování individuální</w:t>
      </w:r>
      <w:r w:rsidR="00747FC8" w:rsidRPr="00F27756">
        <w:rPr>
          <w:b/>
          <w:i/>
        </w:rPr>
        <w:t>ch</w:t>
      </w:r>
      <w:r w:rsidR="00B95698" w:rsidRPr="00F27756">
        <w:rPr>
          <w:b/>
          <w:i/>
        </w:rPr>
        <w:t xml:space="preserve"> základní</w:t>
      </w:r>
      <w:r w:rsidR="00747FC8" w:rsidRPr="00F27756">
        <w:rPr>
          <w:b/>
          <w:i/>
        </w:rPr>
        <w:t>ch</w:t>
      </w:r>
      <w:r w:rsidR="00B95698" w:rsidRPr="00F27756">
        <w:rPr>
          <w:b/>
          <w:i/>
        </w:rPr>
        <w:t xml:space="preserve"> saz</w:t>
      </w:r>
      <w:r w:rsidR="00747FC8" w:rsidRPr="00F27756">
        <w:rPr>
          <w:b/>
          <w:i/>
        </w:rPr>
        <w:t>eb</w:t>
      </w:r>
      <w:r w:rsidR="00B95698" w:rsidRPr="00F27756">
        <w:rPr>
          <w:b/>
          <w:i/>
        </w:rPr>
        <w:t xml:space="preserve"> </w:t>
      </w:r>
      <w:r w:rsidR="00747FC8" w:rsidRPr="00F27756">
        <w:rPr>
          <w:b/>
          <w:i/>
        </w:rPr>
        <w:t xml:space="preserve">u poskytovatelů akutní lůžkové péče </w:t>
      </w:r>
      <w:r w:rsidR="00B95698" w:rsidRPr="00F27756">
        <w:rPr>
          <w:b/>
          <w:i/>
        </w:rPr>
        <w:t>a paušálních sazeb za jeden den hospitalizace u poskytovatelů následné péče a dlouhodobé péče.</w:t>
      </w:r>
    </w:p>
    <w:p w:rsidR="00460024" w:rsidRPr="00142701" w:rsidRDefault="00460024" w:rsidP="00F47E12">
      <w:r w:rsidRPr="00142701">
        <w:t xml:space="preserve">V tomto kritériu se zohlední, jakou měrou přispívá daná varianta ke sblížení základních sazeb a </w:t>
      </w:r>
      <w:r w:rsidR="009176D5" w:rsidRPr="00142701">
        <w:t>paušálních sazeb za jeden den hospitalizace u poskytovatelů následné péče a dlouhodobé péče</w:t>
      </w:r>
      <w:r w:rsidRPr="00142701">
        <w:t xml:space="preserve">. </w:t>
      </w:r>
    </w:p>
    <w:p w:rsidR="00460024" w:rsidRPr="000F63C1" w:rsidRDefault="00460024" w:rsidP="00F47E12"/>
    <w:p w:rsidR="00A114C6" w:rsidRPr="00F27756" w:rsidRDefault="00AA371E" w:rsidP="00F47E12">
      <w:pPr>
        <w:rPr>
          <w:b/>
          <w:i/>
        </w:rPr>
      </w:pPr>
      <w:r w:rsidRPr="00F27756">
        <w:rPr>
          <w:b/>
          <w:i/>
        </w:rPr>
        <w:t>f</w:t>
      </w:r>
      <w:r w:rsidR="00460024" w:rsidRPr="00F27756">
        <w:rPr>
          <w:b/>
          <w:i/>
        </w:rPr>
        <w:t xml:space="preserve">) </w:t>
      </w:r>
      <w:r w:rsidR="004300F7" w:rsidRPr="004300F7">
        <w:rPr>
          <w:b/>
          <w:i/>
        </w:rPr>
        <w:t xml:space="preserve">Prosazovat takové úhradové mechanismy, které </w:t>
      </w:r>
      <w:r w:rsidR="004E2C48">
        <w:rPr>
          <w:b/>
          <w:i/>
        </w:rPr>
        <w:t>motivují zdravotní pojišťovny k </w:t>
      </w:r>
      <w:r w:rsidR="004300F7" w:rsidRPr="004300F7">
        <w:rPr>
          <w:b/>
          <w:i/>
        </w:rPr>
        <w:t>efektivnímu vynakládání finančních prostředků a pos</w:t>
      </w:r>
      <w:r w:rsidR="004E2C48">
        <w:rPr>
          <w:b/>
          <w:i/>
        </w:rPr>
        <w:t>kytovatele zdravotních služeb k </w:t>
      </w:r>
      <w:r w:rsidR="004300F7" w:rsidRPr="004300F7">
        <w:rPr>
          <w:b/>
          <w:i/>
        </w:rPr>
        <w:t>zvyšování efektivity v poskytování hrazených zdravotních služeb.</w:t>
      </w:r>
    </w:p>
    <w:p w:rsidR="00460024" w:rsidRPr="000F63C1" w:rsidRDefault="00460024" w:rsidP="00F47E12">
      <w:r w:rsidRPr="000F63C1">
        <w:t>V tomto kritériu se zohlední, jaké mechanismy úhrad jsou použity v jednotlivých segmentech a jakou měrou tyto mechanismy přispívají k efektivnímu poskytování hrazených služeb.</w:t>
      </w:r>
    </w:p>
    <w:p w:rsidR="00A114C6" w:rsidRPr="000F63C1" w:rsidRDefault="00A114C6" w:rsidP="00F47E12"/>
    <w:p w:rsidR="00460024" w:rsidRPr="000F63C1" w:rsidRDefault="00460024" w:rsidP="00F47E12">
      <w:r w:rsidRPr="000F63C1">
        <w:t>Všechna kritéria jsou hodnocena přidělením bodů od - 2 do 2.</w:t>
      </w:r>
    </w:p>
    <w:p w:rsidR="00F47E12" w:rsidRDefault="00F47E12" w:rsidP="00F47E12"/>
    <w:p w:rsidR="004E2C48" w:rsidRDefault="004E2C48" w:rsidP="00F47E12"/>
    <w:p w:rsidR="004E2C48" w:rsidRDefault="004E2C48" w:rsidP="00F47E12"/>
    <w:p w:rsidR="004E2C48" w:rsidRPr="000F63C1" w:rsidRDefault="004E2C48" w:rsidP="00F47E12"/>
    <w:p w:rsidR="00460024" w:rsidRPr="009B75CC" w:rsidRDefault="001633B5" w:rsidP="0002600A">
      <w:r>
        <w:lastRenderedPageBreak/>
        <w:t xml:space="preserve">Tabulka: </w:t>
      </w:r>
      <w:r w:rsidR="00460024" w:rsidRPr="009B75CC">
        <w:t>Stanovení pořadí variant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113"/>
        <w:gridCol w:w="1114"/>
        <w:gridCol w:w="1114"/>
        <w:gridCol w:w="1113"/>
        <w:gridCol w:w="1114"/>
        <w:gridCol w:w="1114"/>
        <w:gridCol w:w="1114"/>
      </w:tblGrid>
      <w:tr w:rsidR="00AA371E" w:rsidRPr="009B75CC" w:rsidTr="0002600A">
        <w:tc>
          <w:tcPr>
            <w:tcW w:w="1384" w:type="dxa"/>
            <w:shd w:val="clear" w:color="auto" w:fill="auto"/>
          </w:tcPr>
          <w:p w:rsidR="00AA371E" w:rsidRPr="009B75CC" w:rsidRDefault="00AA371E" w:rsidP="00500D1B">
            <w:pPr>
              <w:spacing w:after="120"/>
              <w:jc w:val="center"/>
            </w:pPr>
          </w:p>
        </w:tc>
        <w:tc>
          <w:tcPr>
            <w:tcW w:w="1113" w:type="dxa"/>
            <w:shd w:val="clear" w:color="auto" w:fill="auto"/>
          </w:tcPr>
          <w:p w:rsidR="00AA371E" w:rsidRPr="009B75CC" w:rsidRDefault="00AA371E" w:rsidP="00500D1B">
            <w:pPr>
              <w:spacing w:after="120"/>
              <w:jc w:val="center"/>
            </w:pPr>
            <w:r w:rsidRPr="009B75CC">
              <w:t>a)</w:t>
            </w:r>
          </w:p>
        </w:tc>
        <w:tc>
          <w:tcPr>
            <w:tcW w:w="1114" w:type="dxa"/>
            <w:shd w:val="clear" w:color="auto" w:fill="auto"/>
          </w:tcPr>
          <w:p w:rsidR="00AA371E" w:rsidRPr="009B75CC" w:rsidRDefault="00591734" w:rsidP="00500D1B">
            <w:pPr>
              <w:spacing w:after="120"/>
              <w:jc w:val="center"/>
            </w:pPr>
            <w:r>
              <w:t>b</w:t>
            </w:r>
            <w:r w:rsidR="00AA371E" w:rsidRPr="009B75CC">
              <w:t>)</w:t>
            </w:r>
          </w:p>
        </w:tc>
        <w:tc>
          <w:tcPr>
            <w:tcW w:w="1114" w:type="dxa"/>
            <w:shd w:val="clear" w:color="auto" w:fill="auto"/>
          </w:tcPr>
          <w:p w:rsidR="00AA371E" w:rsidRPr="009B75CC" w:rsidRDefault="00591734" w:rsidP="00500D1B">
            <w:pPr>
              <w:spacing w:after="120"/>
              <w:jc w:val="center"/>
            </w:pPr>
            <w:r>
              <w:t>c</w:t>
            </w:r>
            <w:r w:rsidR="00AA371E" w:rsidRPr="009B75CC">
              <w:t>)</w:t>
            </w:r>
          </w:p>
        </w:tc>
        <w:tc>
          <w:tcPr>
            <w:tcW w:w="1113" w:type="dxa"/>
          </w:tcPr>
          <w:p w:rsidR="00AA371E" w:rsidRPr="009B75CC" w:rsidRDefault="00591734" w:rsidP="00500D1B">
            <w:pPr>
              <w:spacing w:after="120"/>
              <w:jc w:val="center"/>
            </w:pPr>
            <w:r>
              <w:t>d</w:t>
            </w:r>
            <w:r w:rsidR="00AA371E" w:rsidRPr="009B75CC">
              <w:t>)</w:t>
            </w:r>
          </w:p>
        </w:tc>
        <w:tc>
          <w:tcPr>
            <w:tcW w:w="1114" w:type="dxa"/>
          </w:tcPr>
          <w:p w:rsidR="00AA371E" w:rsidRPr="009B75CC" w:rsidRDefault="00591734" w:rsidP="00500D1B">
            <w:pPr>
              <w:spacing w:after="120"/>
              <w:jc w:val="center"/>
            </w:pPr>
            <w:r>
              <w:t>e</w:t>
            </w:r>
            <w:r w:rsidR="00AA371E" w:rsidRPr="009B75CC">
              <w:t>)</w:t>
            </w:r>
          </w:p>
        </w:tc>
        <w:tc>
          <w:tcPr>
            <w:tcW w:w="1114" w:type="dxa"/>
          </w:tcPr>
          <w:p w:rsidR="00AA371E" w:rsidRPr="009B75CC" w:rsidRDefault="00591734" w:rsidP="00500D1B">
            <w:pPr>
              <w:spacing w:after="120"/>
              <w:jc w:val="center"/>
            </w:pPr>
            <w:r>
              <w:t>f</w:t>
            </w:r>
            <w:r w:rsidR="00AA371E" w:rsidRPr="009B75CC">
              <w:t>)</w:t>
            </w:r>
          </w:p>
        </w:tc>
        <w:tc>
          <w:tcPr>
            <w:tcW w:w="1114" w:type="dxa"/>
            <w:shd w:val="clear" w:color="auto" w:fill="auto"/>
          </w:tcPr>
          <w:p w:rsidR="00AA371E" w:rsidRPr="009B75CC" w:rsidRDefault="00AA371E" w:rsidP="00500D1B">
            <w:pPr>
              <w:spacing w:after="120"/>
              <w:jc w:val="center"/>
            </w:pPr>
            <w:r w:rsidRPr="009B75CC">
              <w:t>Celkem</w:t>
            </w:r>
          </w:p>
        </w:tc>
      </w:tr>
      <w:tr w:rsidR="00AA371E" w:rsidRPr="009B75CC" w:rsidTr="0002600A">
        <w:tc>
          <w:tcPr>
            <w:tcW w:w="1384" w:type="dxa"/>
            <w:shd w:val="clear" w:color="auto" w:fill="auto"/>
          </w:tcPr>
          <w:p w:rsidR="00AA371E" w:rsidRPr="009B75CC" w:rsidRDefault="00AA371E" w:rsidP="00500D1B">
            <w:pPr>
              <w:spacing w:after="120"/>
              <w:jc w:val="center"/>
            </w:pPr>
            <w:r w:rsidRPr="009B75CC">
              <w:t>Varianta 0</w:t>
            </w:r>
          </w:p>
        </w:tc>
        <w:tc>
          <w:tcPr>
            <w:tcW w:w="1113" w:type="dxa"/>
            <w:shd w:val="clear" w:color="auto" w:fill="auto"/>
          </w:tcPr>
          <w:p w:rsidR="00AA371E" w:rsidRPr="009B75CC" w:rsidRDefault="00AA371E" w:rsidP="00500D1B">
            <w:pPr>
              <w:spacing w:after="120"/>
              <w:jc w:val="center"/>
            </w:pPr>
            <w:r w:rsidRPr="009B75CC">
              <w:t>-2</w:t>
            </w:r>
          </w:p>
        </w:tc>
        <w:tc>
          <w:tcPr>
            <w:tcW w:w="1114" w:type="dxa"/>
            <w:shd w:val="clear" w:color="auto" w:fill="auto"/>
          </w:tcPr>
          <w:p w:rsidR="00AA371E" w:rsidRPr="009B75CC" w:rsidRDefault="00AA371E" w:rsidP="00500D1B">
            <w:pPr>
              <w:spacing w:after="120"/>
              <w:jc w:val="center"/>
            </w:pPr>
            <w:r w:rsidRPr="009B75CC">
              <w:t>-2</w:t>
            </w:r>
          </w:p>
        </w:tc>
        <w:tc>
          <w:tcPr>
            <w:tcW w:w="1114" w:type="dxa"/>
            <w:shd w:val="clear" w:color="auto" w:fill="auto"/>
          </w:tcPr>
          <w:p w:rsidR="00AA371E" w:rsidRPr="009B75CC" w:rsidRDefault="00AA371E" w:rsidP="00500D1B">
            <w:pPr>
              <w:spacing w:after="120"/>
              <w:jc w:val="center"/>
            </w:pPr>
            <w:r>
              <w:t>-2</w:t>
            </w:r>
          </w:p>
        </w:tc>
        <w:tc>
          <w:tcPr>
            <w:tcW w:w="1113" w:type="dxa"/>
          </w:tcPr>
          <w:p w:rsidR="00AA371E" w:rsidRPr="009B75CC" w:rsidRDefault="00747FC8" w:rsidP="00500D1B">
            <w:pPr>
              <w:spacing w:after="120"/>
              <w:jc w:val="center"/>
            </w:pPr>
            <w:r>
              <w:t>-2</w:t>
            </w:r>
          </w:p>
        </w:tc>
        <w:tc>
          <w:tcPr>
            <w:tcW w:w="1114" w:type="dxa"/>
          </w:tcPr>
          <w:p w:rsidR="00AA371E" w:rsidRPr="009B75CC" w:rsidRDefault="00AA371E" w:rsidP="00500D1B">
            <w:pPr>
              <w:spacing w:after="120"/>
              <w:jc w:val="center"/>
            </w:pPr>
            <w:r w:rsidRPr="00847B2F">
              <w:t>-2</w:t>
            </w:r>
          </w:p>
        </w:tc>
        <w:tc>
          <w:tcPr>
            <w:tcW w:w="1114" w:type="dxa"/>
          </w:tcPr>
          <w:p w:rsidR="00AA371E" w:rsidRPr="009B75CC" w:rsidRDefault="00747FC8" w:rsidP="00500D1B">
            <w:pPr>
              <w:spacing w:after="120"/>
              <w:jc w:val="center"/>
            </w:pPr>
            <w:r>
              <w:t>-2</w:t>
            </w:r>
          </w:p>
        </w:tc>
        <w:tc>
          <w:tcPr>
            <w:tcW w:w="1114" w:type="dxa"/>
            <w:shd w:val="clear" w:color="auto" w:fill="auto"/>
          </w:tcPr>
          <w:p w:rsidR="00AA371E" w:rsidRPr="009B75CC" w:rsidRDefault="00AA371E" w:rsidP="00301604">
            <w:pPr>
              <w:spacing w:after="120"/>
              <w:jc w:val="center"/>
            </w:pPr>
            <w:r w:rsidRPr="009B75CC">
              <w:t>-</w:t>
            </w:r>
            <w:r w:rsidR="00747FC8">
              <w:t>12</w:t>
            </w:r>
          </w:p>
        </w:tc>
      </w:tr>
      <w:tr w:rsidR="00AA371E" w:rsidRPr="009B75CC" w:rsidTr="0002600A">
        <w:trPr>
          <w:trHeight w:val="473"/>
        </w:trPr>
        <w:tc>
          <w:tcPr>
            <w:tcW w:w="1384" w:type="dxa"/>
            <w:shd w:val="clear" w:color="auto" w:fill="auto"/>
          </w:tcPr>
          <w:p w:rsidR="00AA371E" w:rsidRPr="009B75CC" w:rsidRDefault="00AA371E" w:rsidP="00500D1B">
            <w:pPr>
              <w:spacing w:after="120"/>
              <w:jc w:val="center"/>
            </w:pPr>
            <w:r w:rsidRPr="009B75CC">
              <w:t>Varianta 1</w:t>
            </w:r>
          </w:p>
        </w:tc>
        <w:tc>
          <w:tcPr>
            <w:tcW w:w="1113" w:type="dxa"/>
            <w:shd w:val="clear" w:color="auto" w:fill="auto"/>
          </w:tcPr>
          <w:p w:rsidR="00AA371E" w:rsidRPr="009B75CC" w:rsidRDefault="00115E86" w:rsidP="00500D1B">
            <w:pPr>
              <w:spacing w:after="120"/>
              <w:jc w:val="center"/>
            </w:pPr>
            <w:r>
              <w:t>1</w:t>
            </w:r>
          </w:p>
        </w:tc>
        <w:tc>
          <w:tcPr>
            <w:tcW w:w="1114" w:type="dxa"/>
            <w:shd w:val="clear" w:color="auto" w:fill="auto"/>
          </w:tcPr>
          <w:p w:rsidR="00AA371E" w:rsidRPr="009B75CC" w:rsidRDefault="00AA371E" w:rsidP="00500D1B">
            <w:pPr>
              <w:spacing w:after="120"/>
              <w:jc w:val="center"/>
            </w:pPr>
            <w:r w:rsidRPr="00847B2F">
              <w:t>1</w:t>
            </w:r>
          </w:p>
        </w:tc>
        <w:tc>
          <w:tcPr>
            <w:tcW w:w="1114" w:type="dxa"/>
            <w:shd w:val="clear" w:color="auto" w:fill="auto"/>
          </w:tcPr>
          <w:p w:rsidR="00AA371E" w:rsidRPr="009B75CC" w:rsidRDefault="008C11B0" w:rsidP="00500D1B">
            <w:pPr>
              <w:spacing w:after="120"/>
              <w:jc w:val="center"/>
            </w:pPr>
            <w:r>
              <w:t>2</w:t>
            </w:r>
          </w:p>
        </w:tc>
        <w:tc>
          <w:tcPr>
            <w:tcW w:w="1113" w:type="dxa"/>
          </w:tcPr>
          <w:p w:rsidR="00AA371E" w:rsidRPr="009B75CC" w:rsidRDefault="008C11B0" w:rsidP="00500D1B">
            <w:pPr>
              <w:spacing w:after="120"/>
              <w:jc w:val="center"/>
            </w:pPr>
            <w:r>
              <w:t>-1</w:t>
            </w:r>
          </w:p>
        </w:tc>
        <w:tc>
          <w:tcPr>
            <w:tcW w:w="1114" w:type="dxa"/>
          </w:tcPr>
          <w:p w:rsidR="00AA371E" w:rsidRPr="009B75CC" w:rsidRDefault="00AA371E" w:rsidP="00500D1B">
            <w:pPr>
              <w:spacing w:after="120"/>
              <w:jc w:val="center"/>
            </w:pPr>
            <w:r w:rsidRPr="00847B2F">
              <w:t>-2</w:t>
            </w:r>
          </w:p>
        </w:tc>
        <w:tc>
          <w:tcPr>
            <w:tcW w:w="1114" w:type="dxa"/>
          </w:tcPr>
          <w:p w:rsidR="00AA371E" w:rsidRPr="009B75CC" w:rsidRDefault="00AA371E" w:rsidP="00500D1B">
            <w:pPr>
              <w:spacing w:after="120"/>
              <w:jc w:val="center"/>
            </w:pPr>
            <w:r w:rsidRPr="00847B2F">
              <w:t>0</w:t>
            </w:r>
          </w:p>
        </w:tc>
        <w:tc>
          <w:tcPr>
            <w:tcW w:w="1114" w:type="dxa"/>
            <w:shd w:val="clear" w:color="auto" w:fill="auto"/>
          </w:tcPr>
          <w:p w:rsidR="00AA371E" w:rsidRPr="009B75CC" w:rsidRDefault="008C11B0" w:rsidP="00500D1B">
            <w:pPr>
              <w:spacing w:after="120"/>
              <w:jc w:val="center"/>
            </w:pPr>
            <w:r>
              <w:t>1</w:t>
            </w:r>
          </w:p>
        </w:tc>
      </w:tr>
      <w:tr w:rsidR="00AA371E" w:rsidRPr="009B75CC" w:rsidTr="0002600A">
        <w:tc>
          <w:tcPr>
            <w:tcW w:w="1384" w:type="dxa"/>
            <w:shd w:val="clear" w:color="auto" w:fill="auto"/>
          </w:tcPr>
          <w:p w:rsidR="00AA371E" w:rsidRPr="009B75CC" w:rsidRDefault="00AA371E" w:rsidP="00500D1B">
            <w:pPr>
              <w:spacing w:after="120"/>
              <w:jc w:val="center"/>
            </w:pPr>
            <w:r w:rsidRPr="009B75CC">
              <w:t>Varianta 2</w:t>
            </w:r>
          </w:p>
        </w:tc>
        <w:tc>
          <w:tcPr>
            <w:tcW w:w="1113" w:type="dxa"/>
            <w:shd w:val="clear" w:color="auto" w:fill="auto"/>
          </w:tcPr>
          <w:p w:rsidR="00AA371E" w:rsidRPr="009B75CC" w:rsidRDefault="00AA371E" w:rsidP="00500D1B">
            <w:pPr>
              <w:spacing w:after="120"/>
              <w:jc w:val="center"/>
            </w:pPr>
            <w:r w:rsidRPr="009B75CC">
              <w:t>2</w:t>
            </w:r>
          </w:p>
        </w:tc>
        <w:tc>
          <w:tcPr>
            <w:tcW w:w="1114" w:type="dxa"/>
            <w:shd w:val="clear" w:color="auto" w:fill="auto"/>
          </w:tcPr>
          <w:p w:rsidR="00AA371E" w:rsidRPr="009B75CC" w:rsidRDefault="00AA371E" w:rsidP="00500D1B">
            <w:pPr>
              <w:spacing w:after="120"/>
              <w:jc w:val="center"/>
            </w:pPr>
            <w:r w:rsidRPr="009B75CC">
              <w:t>2</w:t>
            </w:r>
          </w:p>
        </w:tc>
        <w:tc>
          <w:tcPr>
            <w:tcW w:w="1114" w:type="dxa"/>
            <w:shd w:val="clear" w:color="auto" w:fill="auto"/>
          </w:tcPr>
          <w:p w:rsidR="00AA371E" w:rsidRPr="009B75CC" w:rsidRDefault="00602D4F" w:rsidP="00500D1B">
            <w:pPr>
              <w:spacing w:after="120"/>
              <w:jc w:val="center"/>
            </w:pPr>
            <w:r>
              <w:t>1</w:t>
            </w:r>
          </w:p>
        </w:tc>
        <w:tc>
          <w:tcPr>
            <w:tcW w:w="1113" w:type="dxa"/>
          </w:tcPr>
          <w:p w:rsidR="00AA371E" w:rsidRPr="009B75CC" w:rsidRDefault="008C11B0" w:rsidP="00500D1B">
            <w:pPr>
              <w:spacing w:after="120"/>
              <w:jc w:val="center"/>
            </w:pPr>
            <w:r>
              <w:t>2</w:t>
            </w:r>
          </w:p>
        </w:tc>
        <w:tc>
          <w:tcPr>
            <w:tcW w:w="1114" w:type="dxa"/>
          </w:tcPr>
          <w:p w:rsidR="00AA371E" w:rsidRPr="009B75CC" w:rsidRDefault="0022396F" w:rsidP="00500D1B">
            <w:pPr>
              <w:spacing w:after="120"/>
              <w:jc w:val="center"/>
            </w:pPr>
            <w:r>
              <w:t>1</w:t>
            </w:r>
          </w:p>
        </w:tc>
        <w:tc>
          <w:tcPr>
            <w:tcW w:w="1114" w:type="dxa"/>
          </w:tcPr>
          <w:p w:rsidR="00AA371E" w:rsidRPr="009B75CC" w:rsidRDefault="0022396F" w:rsidP="00500D1B">
            <w:pPr>
              <w:spacing w:after="120"/>
              <w:jc w:val="center"/>
            </w:pPr>
            <w:r>
              <w:t>1</w:t>
            </w:r>
          </w:p>
        </w:tc>
        <w:tc>
          <w:tcPr>
            <w:tcW w:w="1114" w:type="dxa"/>
            <w:shd w:val="clear" w:color="auto" w:fill="auto"/>
          </w:tcPr>
          <w:p w:rsidR="00AA371E" w:rsidRPr="009B75CC" w:rsidRDefault="00591734" w:rsidP="00500D1B">
            <w:pPr>
              <w:spacing w:after="120"/>
              <w:jc w:val="center"/>
            </w:pPr>
            <w:r>
              <w:t>9</w:t>
            </w:r>
          </w:p>
        </w:tc>
      </w:tr>
    </w:tbl>
    <w:p w:rsidR="00C509A2" w:rsidRDefault="00C509A2" w:rsidP="00F47E12">
      <w:pPr>
        <w:pStyle w:val="Textbodunovely"/>
        <w:spacing w:before="120" w:line="360" w:lineRule="auto"/>
      </w:pPr>
    </w:p>
    <w:p w:rsidR="00AA371E" w:rsidRPr="00F27756" w:rsidRDefault="000D69B4" w:rsidP="00AC4253">
      <w:pPr>
        <w:rPr>
          <w:b/>
          <w:u w:val="single"/>
        </w:rPr>
      </w:pPr>
      <w:r w:rsidRPr="00F27756">
        <w:rPr>
          <w:b/>
          <w:u w:val="single"/>
        </w:rPr>
        <w:t xml:space="preserve">Varianta </w:t>
      </w:r>
      <w:r w:rsidR="00591734" w:rsidRPr="00F27756">
        <w:rPr>
          <w:b/>
          <w:u w:val="single"/>
        </w:rPr>
        <w:t>0</w:t>
      </w:r>
    </w:p>
    <w:p w:rsidR="00AA371E" w:rsidRPr="00F27756" w:rsidRDefault="00AA371E" w:rsidP="00AC4253">
      <w:pPr>
        <w:rPr>
          <w:b/>
        </w:rPr>
      </w:pPr>
      <w:r w:rsidRPr="00F27756">
        <w:rPr>
          <w:b/>
        </w:rPr>
        <w:t>Cíl a)</w:t>
      </w:r>
    </w:p>
    <w:p w:rsidR="00F27756" w:rsidRDefault="00AA371E" w:rsidP="00AC4253">
      <w:r>
        <w:t>V</w:t>
      </w:r>
      <w:r w:rsidR="009C60D6">
        <w:t> </w:t>
      </w:r>
      <w:r>
        <w:t xml:space="preserve">případě nedohody by nebyla zajištěna dostupnost zdravotní péče. </w:t>
      </w:r>
      <w:r w:rsidR="00747FC8">
        <w:t xml:space="preserve">Při úhradě zdravotních služeb by chyběly jakékoliv úhradové mechanismy. </w:t>
      </w:r>
      <w:r w:rsidR="00591734">
        <w:t>Cíl by nebyl splněn.</w:t>
      </w:r>
    </w:p>
    <w:p w:rsidR="00AA371E" w:rsidRPr="00F27756" w:rsidRDefault="00AA371E" w:rsidP="00AC4253">
      <w:pPr>
        <w:rPr>
          <w:b/>
        </w:rPr>
      </w:pPr>
      <w:r w:rsidRPr="00F27756">
        <w:rPr>
          <w:b/>
        </w:rPr>
        <w:t>Cíl b)</w:t>
      </w:r>
    </w:p>
    <w:p w:rsidR="00591734" w:rsidRDefault="008C11B0" w:rsidP="00AC4253">
      <w:r>
        <w:t>Poskytovatelé by neměli</w:t>
      </w:r>
      <w:r w:rsidR="00591734">
        <w:t xml:space="preserve"> dostatečné finanční prostředky na vládou schválené navýšení platů zdravotníků. Cíl by nebyl splněn.</w:t>
      </w:r>
    </w:p>
    <w:p w:rsidR="00591734" w:rsidRPr="00F27756" w:rsidRDefault="00591734" w:rsidP="00AC4253">
      <w:pPr>
        <w:rPr>
          <w:b/>
        </w:rPr>
      </w:pPr>
      <w:r w:rsidRPr="00F27756">
        <w:rPr>
          <w:b/>
        </w:rPr>
        <w:t>Cíl c)</w:t>
      </w:r>
    </w:p>
    <w:p w:rsidR="00591734" w:rsidRDefault="00591734" w:rsidP="00AC4253">
      <w:r>
        <w:t>P</w:t>
      </w:r>
      <w:r w:rsidRPr="000F63C1">
        <w:t>ři absenci regulačních omezení</w:t>
      </w:r>
      <w:r>
        <w:t>, by chyběly takové mechanis</w:t>
      </w:r>
      <w:r w:rsidR="004E2C48">
        <w:t>my, které vedou poskytovatele a </w:t>
      </w:r>
      <w:r>
        <w:t>zdravotní pojišťovny k</w:t>
      </w:r>
      <w:r w:rsidR="009C60D6">
        <w:t> </w:t>
      </w:r>
      <w:r>
        <w:t>efektivitě. Požadavky poskytovatelů by byly výrazně vyšší než možnosti systému. Cíl by nebyl splněn.</w:t>
      </w:r>
    </w:p>
    <w:p w:rsidR="00591734" w:rsidRPr="00F27756" w:rsidRDefault="00591734" w:rsidP="00AC4253">
      <w:pPr>
        <w:rPr>
          <w:b/>
        </w:rPr>
      </w:pPr>
      <w:r w:rsidRPr="00F27756">
        <w:rPr>
          <w:b/>
        </w:rPr>
        <w:t>Cíl d)</w:t>
      </w:r>
    </w:p>
    <w:p w:rsidR="00747FC8" w:rsidRDefault="00747FC8" w:rsidP="00747FC8">
      <w:r>
        <w:t>V</w:t>
      </w:r>
      <w:r w:rsidR="009C60D6">
        <w:t> </w:t>
      </w:r>
      <w:r>
        <w:t>případě nedohody by nebyla zajištěna dostupnost zdravotní péče, nebyl by zajištěn růst odpovídající finančním možnostem systému. Cíl by nebyl splněn.</w:t>
      </w:r>
    </w:p>
    <w:p w:rsidR="00747FC8" w:rsidRPr="00F27756" w:rsidRDefault="00747FC8" w:rsidP="00747FC8">
      <w:pPr>
        <w:rPr>
          <w:b/>
        </w:rPr>
      </w:pPr>
      <w:r w:rsidRPr="00F27756">
        <w:rPr>
          <w:b/>
        </w:rPr>
        <w:t>Cíl e)</w:t>
      </w:r>
    </w:p>
    <w:p w:rsidR="00747FC8" w:rsidRDefault="00747FC8" w:rsidP="00747FC8">
      <w:r w:rsidRPr="00747FC8">
        <w:t>Ne</w:t>
      </w:r>
      <w:r w:rsidR="00157D75">
        <w:t>do</w:t>
      </w:r>
      <w:r w:rsidRPr="00747FC8">
        <w:t>cházelo by k</w:t>
      </w:r>
      <w:r w:rsidR="009C60D6">
        <w:t> </w:t>
      </w:r>
      <w:r w:rsidRPr="00AC4253">
        <w:t>sbližování individuální</w:t>
      </w:r>
      <w:r>
        <w:t>ch</w:t>
      </w:r>
      <w:r w:rsidRPr="00AC4253">
        <w:t xml:space="preserve"> základní</w:t>
      </w:r>
      <w:r>
        <w:t>ch</w:t>
      </w:r>
      <w:r w:rsidRPr="00747FC8">
        <w:t xml:space="preserve"> sazeb</w:t>
      </w:r>
      <w:r w:rsidRPr="00AC4253">
        <w:t xml:space="preserve"> u poskytovatelů akutní lůžkové péče a paušálních sazeb za jeden den hospitalizace </w:t>
      </w:r>
      <w:r w:rsidR="004E2C48">
        <w:t>u poskytovatelů následné péče a </w:t>
      </w:r>
      <w:r w:rsidRPr="00AC4253">
        <w:t>dlouhodobé péče</w:t>
      </w:r>
      <w:r w:rsidR="00115E86">
        <w:t xml:space="preserve"> napříč zdravotními pojišťovnami, jelikož by zde nebyly nastaveny žádné mechanismy, které by dávaly motivac</w:t>
      </w:r>
      <w:r w:rsidR="00E05030">
        <w:t>i</w:t>
      </w:r>
      <w:r w:rsidR="00115E86">
        <w:t xml:space="preserve"> pro zdravotní pojišťovny zvyšovat nejnižší základní sazby a paušální úhrady. Cíl by nebyl splněn.</w:t>
      </w:r>
    </w:p>
    <w:p w:rsidR="00115E86" w:rsidRPr="00F27756" w:rsidRDefault="00115E86" w:rsidP="00747FC8">
      <w:pPr>
        <w:rPr>
          <w:b/>
        </w:rPr>
      </w:pPr>
      <w:r w:rsidRPr="00F27756">
        <w:rPr>
          <w:b/>
        </w:rPr>
        <w:t>Cíl f)</w:t>
      </w:r>
    </w:p>
    <w:p w:rsidR="00115E86" w:rsidRDefault="00115E86" w:rsidP="00747FC8">
      <w:r>
        <w:t>Nebyly by nastaveny žádné mechanismy k</w:t>
      </w:r>
      <w:r w:rsidR="009C60D6">
        <w:t> </w:t>
      </w:r>
      <w:r>
        <w:t>zvýšení efektivity. Cíl by nebyl splněn.</w:t>
      </w:r>
    </w:p>
    <w:p w:rsidR="00F27756" w:rsidRDefault="00F27756" w:rsidP="00747FC8"/>
    <w:p w:rsidR="00115E86" w:rsidRPr="00F27756" w:rsidRDefault="00115E86" w:rsidP="00115E86">
      <w:pPr>
        <w:rPr>
          <w:b/>
          <w:u w:val="single"/>
        </w:rPr>
      </w:pPr>
      <w:r w:rsidRPr="00F27756">
        <w:rPr>
          <w:b/>
          <w:u w:val="single"/>
        </w:rPr>
        <w:t>Varianta 1</w:t>
      </w:r>
    </w:p>
    <w:p w:rsidR="00115E86" w:rsidRPr="00F27756" w:rsidRDefault="00115E86" w:rsidP="00115E86">
      <w:pPr>
        <w:rPr>
          <w:b/>
        </w:rPr>
      </w:pPr>
      <w:r w:rsidRPr="00F27756">
        <w:rPr>
          <w:b/>
        </w:rPr>
        <w:t>Cíl a)</w:t>
      </w:r>
    </w:p>
    <w:p w:rsidR="00115E86" w:rsidRDefault="009C60D6" w:rsidP="00115E86">
      <w:r>
        <w:t>Meziroční navýšení úhrad poskytovatelům poskytující</w:t>
      </w:r>
      <w:r w:rsidR="00E05030">
        <w:t>m</w:t>
      </w:r>
      <w:r w:rsidRPr="009C60D6">
        <w:t xml:space="preserve"> akutní </w:t>
      </w:r>
      <w:r w:rsidR="004E2C48">
        <w:t>lůžkovou péči a následnou a </w:t>
      </w:r>
      <w:r>
        <w:t>dlouhodobou péči by bylo nastaveno na 3% růst, i když systém dovoluje meziroční nárůst 6</w:t>
      </w:r>
      <w:r w:rsidR="00416FD7">
        <w:t> </w:t>
      </w:r>
      <w:r>
        <w:t xml:space="preserve">%. </w:t>
      </w:r>
      <w:r w:rsidR="00115E86">
        <w:t>Cíl by byl splněn pouze částečně</w:t>
      </w:r>
      <w:r>
        <w:t>, bylo by zde navýšení, ale nižší</w:t>
      </w:r>
      <w:r w:rsidR="00E05030">
        <w:t>,</w:t>
      </w:r>
      <w:r>
        <w:t xml:space="preserve"> než dovoluje systém</w:t>
      </w:r>
      <w:r w:rsidR="00115E86">
        <w:t>.</w:t>
      </w:r>
    </w:p>
    <w:p w:rsidR="00115E86" w:rsidRPr="00F27756" w:rsidRDefault="00115E86" w:rsidP="00115E86">
      <w:pPr>
        <w:rPr>
          <w:b/>
        </w:rPr>
      </w:pPr>
      <w:r w:rsidRPr="00F27756">
        <w:rPr>
          <w:b/>
        </w:rPr>
        <w:t>Cíl b)</w:t>
      </w:r>
    </w:p>
    <w:p w:rsidR="00115E86" w:rsidRDefault="00115E86" w:rsidP="00115E86">
      <w:r>
        <w:t xml:space="preserve">Pouze poskytovatelé s nižším procentem osobních nákladů by měli dostatečné finanční prostředky na vládou schválené navýšení platů zdravotníků. </w:t>
      </w:r>
      <w:r w:rsidR="009C60D6">
        <w:t xml:space="preserve">Cíl by </w:t>
      </w:r>
      <w:r>
        <w:t>byl splněn</w:t>
      </w:r>
      <w:r w:rsidR="004E2C48">
        <w:t xml:space="preserve"> pouze u </w:t>
      </w:r>
      <w:r w:rsidR="008C11B0">
        <w:t>některých poskytovatelů</w:t>
      </w:r>
      <w:r>
        <w:t>.</w:t>
      </w:r>
    </w:p>
    <w:p w:rsidR="00115E86" w:rsidRPr="00F27756" w:rsidRDefault="00115E86" w:rsidP="00115E86">
      <w:pPr>
        <w:rPr>
          <w:b/>
        </w:rPr>
      </w:pPr>
      <w:r w:rsidRPr="00F27756">
        <w:rPr>
          <w:b/>
        </w:rPr>
        <w:t>Cíl c)</w:t>
      </w:r>
    </w:p>
    <w:p w:rsidR="00115E86" w:rsidRDefault="008C11B0" w:rsidP="00115E86">
      <w:r>
        <w:t>Zůstatky na základních fondech zdravotních pojišťoven by neklesly</w:t>
      </w:r>
      <w:r w:rsidR="00602D4F">
        <w:t>, mírně by rostly</w:t>
      </w:r>
      <w:r>
        <w:t>. Cíl by byl splněn.</w:t>
      </w:r>
    </w:p>
    <w:p w:rsidR="00115E86" w:rsidRPr="00F27756" w:rsidRDefault="00115E86" w:rsidP="00115E86">
      <w:pPr>
        <w:rPr>
          <w:b/>
        </w:rPr>
      </w:pPr>
      <w:r w:rsidRPr="00F27756">
        <w:rPr>
          <w:b/>
        </w:rPr>
        <w:lastRenderedPageBreak/>
        <w:t>Cíl d)</w:t>
      </w:r>
    </w:p>
    <w:p w:rsidR="00115E86" w:rsidRDefault="008C11B0" w:rsidP="00115E86">
      <w:r>
        <w:t>V</w:t>
      </w:r>
      <w:r w:rsidR="00F27756">
        <w:t>e</w:t>
      </w:r>
      <w:r>
        <w:t> většině segmentů by byl nastaven větší růst</w:t>
      </w:r>
      <w:r w:rsidR="00F27756">
        <w:t>,</w:t>
      </w:r>
      <w:r>
        <w:t xml:space="preserve"> než odpovídá finančním možnostem systému. Cíl </w:t>
      </w:r>
      <w:r w:rsidR="00E05030">
        <w:t>by nebyl</w:t>
      </w:r>
      <w:r>
        <w:t xml:space="preserve"> splněn u většiny segmentů.</w:t>
      </w:r>
    </w:p>
    <w:p w:rsidR="00115E86" w:rsidRPr="00F27756" w:rsidRDefault="00115E86" w:rsidP="00115E86">
      <w:pPr>
        <w:rPr>
          <w:b/>
        </w:rPr>
      </w:pPr>
      <w:r w:rsidRPr="00F27756">
        <w:rPr>
          <w:b/>
        </w:rPr>
        <w:t>Cíl e)</w:t>
      </w:r>
    </w:p>
    <w:p w:rsidR="00115E86" w:rsidRDefault="00115E86" w:rsidP="00115E86">
      <w:r w:rsidRPr="00747FC8">
        <w:t>Ne</w:t>
      </w:r>
      <w:r w:rsidR="00157D75">
        <w:t>do</w:t>
      </w:r>
      <w:r w:rsidRPr="00747FC8">
        <w:t>cházelo by k</w:t>
      </w:r>
      <w:r w:rsidR="008C11B0">
        <w:t xml:space="preserve"> dalšímu </w:t>
      </w:r>
      <w:r w:rsidRPr="00FF4FC3">
        <w:t>sbližování individuální</w:t>
      </w:r>
      <w:r>
        <w:t>ch</w:t>
      </w:r>
      <w:r w:rsidRPr="00FF4FC3">
        <w:t xml:space="preserve"> základní</w:t>
      </w:r>
      <w:r>
        <w:t>ch</w:t>
      </w:r>
      <w:r w:rsidRPr="00747FC8">
        <w:t xml:space="preserve"> sazeb</w:t>
      </w:r>
      <w:r w:rsidRPr="00FF4FC3">
        <w:t xml:space="preserve"> u poskytovatelů akutní lůžkové péče a paušálních sazeb za jeden den hospitalizace </w:t>
      </w:r>
      <w:r w:rsidR="004E2C48">
        <w:t>u poskytovatelů následné péče a </w:t>
      </w:r>
      <w:r w:rsidRPr="00FF4FC3">
        <w:t>dlouhodobé péče</w:t>
      </w:r>
      <w:r>
        <w:t>. Cíl by nebyl splněn.</w:t>
      </w:r>
    </w:p>
    <w:p w:rsidR="00115E86" w:rsidRPr="00F27756" w:rsidRDefault="00115E86" w:rsidP="00115E86">
      <w:pPr>
        <w:rPr>
          <w:b/>
        </w:rPr>
      </w:pPr>
      <w:r w:rsidRPr="00F27756">
        <w:rPr>
          <w:b/>
        </w:rPr>
        <w:t>Cíl f)</w:t>
      </w:r>
    </w:p>
    <w:p w:rsidR="00115E86" w:rsidRDefault="00115E86" w:rsidP="00115E86">
      <w:r>
        <w:t xml:space="preserve">Nebyly by nastaveny žádné </w:t>
      </w:r>
      <w:r w:rsidR="008C11B0">
        <w:t xml:space="preserve">nové </w:t>
      </w:r>
      <w:r>
        <w:t>mechanismy k zvýšení efektivity. Cíl by nebyl splněn.</w:t>
      </w:r>
    </w:p>
    <w:p w:rsidR="00115E86" w:rsidRPr="00747FC8" w:rsidRDefault="00115E86" w:rsidP="00747FC8"/>
    <w:p w:rsidR="008C11B0" w:rsidRPr="00F27756" w:rsidRDefault="008C11B0" w:rsidP="008C11B0">
      <w:pPr>
        <w:rPr>
          <w:b/>
          <w:u w:val="single"/>
        </w:rPr>
      </w:pPr>
      <w:r w:rsidRPr="00F27756">
        <w:rPr>
          <w:b/>
          <w:u w:val="single"/>
        </w:rPr>
        <w:t>Varianta 2</w:t>
      </w:r>
    </w:p>
    <w:p w:rsidR="008C11B0" w:rsidRPr="00F27756" w:rsidRDefault="008C11B0" w:rsidP="008C11B0">
      <w:pPr>
        <w:rPr>
          <w:b/>
        </w:rPr>
      </w:pPr>
      <w:r w:rsidRPr="00F27756">
        <w:rPr>
          <w:b/>
        </w:rPr>
        <w:t>Cíl a)</w:t>
      </w:r>
    </w:p>
    <w:p w:rsidR="008C11B0" w:rsidRDefault="00E05030" w:rsidP="008C11B0">
      <w:r>
        <w:t>Bylo by n</w:t>
      </w:r>
      <w:r w:rsidR="00922EF3">
        <w:t>astaveno takov</w:t>
      </w:r>
      <w:r w:rsidR="00602D4F">
        <w:t>é navýšení úhrad, které je umožněno navýšením finančních prostředků v</w:t>
      </w:r>
      <w:r w:rsidR="00922EF3">
        <w:t xml:space="preserve"> systém</w:t>
      </w:r>
      <w:r w:rsidR="00602D4F">
        <w:t>u</w:t>
      </w:r>
      <w:r w:rsidR="00922EF3">
        <w:t xml:space="preserve"> </w:t>
      </w:r>
      <w:r w:rsidR="00602D4F">
        <w:t xml:space="preserve">veřejného zdravotního pojištění </w:t>
      </w:r>
      <w:r w:rsidR="00922EF3">
        <w:t>a</w:t>
      </w:r>
      <w:r w:rsidR="00602D4F">
        <w:t xml:space="preserve"> je potřebné k zajištění dostupnosti péče a k zajištění kvalitních zdravotních služeb. </w:t>
      </w:r>
      <w:r w:rsidR="008C11B0">
        <w:t>Cíl by byl splněn.</w:t>
      </w:r>
    </w:p>
    <w:p w:rsidR="008C11B0" w:rsidRPr="00F27756" w:rsidRDefault="008C11B0" w:rsidP="008C11B0">
      <w:pPr>
        <w:rPr>
          <w:b/>
        </w:rPr>
      </w:pPr>
      <w:r w:rsidRPr="00F27756">
        <w:rPr>
          <w:b/>
        </w:rPr>
        <w:t>Cíl b)</w:t>
      </w:r>
    </w:p>
    <w:p w:rsidR="008C11B0" w:rsidRDefault="00602D4F" w:rsidP="008C11B0">
      <w:r>
        <w:t>Všichni poskytovatelé by</w:t>
      </w:r>
      <w:r w:rsidR="008C11B0">
        <w:t xml:space="preserve"> měli dostatečné finanční prostředky na vládou schválené navýšení platů zdravotníků. Cíl by byl splněn.</w:t>
      </w:r>
    </w:p>
    <w:p w:rsidR="008C11B0" w:rsidRPr="00F27756" w:rsidRDefault="008C11B0" w:rsidP="008C11B0">
      <w:pPr>
        <w:rPr>
          <w:b/>
        </w:rPr>
      </w:pPr>
      <w:r w:rsidRPr="00F27756">
        <w:rPr>
          <w:b/>
        </w:rPr>
        <w:t>Cíl c)</w:t>
      </w:r>
    </w:p>
    <w:p w:rsidR="008C11B0" w:rsidRDefault="008C11B0" w:rsidP="008C11B0">
      <w:r>
        <w:t>Zůstatky na základních fondech</w:t>
      </w:r>
      <w:r w:rsidR="00F1152F">
        <w:t xml:space="preserve"> u většiny</w:t>
      </w:r>
      <w:r>
        <w:t xml:space="preserve"> zdravotních pojišťoven by neklesly. Cíl by byl </w:t>
      </w:r>
      <w:r w:rsidR="00F1152F">
        <w:t xml:space="preserve">spíše </w:t>
      </w:r>
      <w:r>
        <w:t>splněn</w:t>
      </w:r>
      <w:r w:rsidR="00F1152F">
        <w:t xml:space="preserve"> (kladné saldo systému v</w:t>
      </w:r>
      <w:r w:rsidR="00E05030">
        <w:t>eřejného zdravotního pojištění</w:t>
      </w:r>
      <w:r w:rsidR="00F1152F">
        <w:t>)</w:t>
      </w:r>
      <w:r w:rsidR="00602D4F">
        <w:t xml:space="preserve">, v roce 2017 by došlo k vyrovnanému hospodaření </w:t>
      </w:r>
      <w:r w:rsidR="00F1152F">
        <w:t xml:space="preserve">většiny </w:t>
      </w:r>
      <w:r w:rsidR="00602D4F">
        <w:t>zdravotních pojiš</w:t>
      </w:r>
      <w:r w:rsidR="00F1152F">
        <w:t>ťoven.</w:t>
      </w:r>
    </w:p>
    <w:p w:rsidR="008C11B0" w:rsidRPr="00F27756" w:rsidRDefault="008C11B0" w:rsidP="008C11B0">
      <w:pPr>
        <w:rPr>
          <w:b/>
        </w:rPr>
      </w:pPr>
      <w:r w:rsidRPr="00F27756">
        <w:rPr>
          <w:b/>
        </w:rPr>
        <w:t>Cíl d)</w:t>
      </w:r>
    </w:p>
    <w:p w:rsidR="008C11B0" w:rsidRDefault="00602D4F" w:rsidP="008C11B0">
      <w:r>
        <w:t>Byl by nastaven růst odpovídající</w:t>
      </w:r>
      <w:r w:rsidR="008C11B0">
        <w:t xml:space="preserve"> finančním možnostem systému. Cíl </w:t>
      </w:r>
      <w:r>
        <w:t>by byl splněn</w:t>
      </w:r>
      <w:r w:rsidR="008C11B0">
        <w:t>.</w:t>
      </w:r>
    </w:p>
    <w:p w:rsidR="008C11B0" w:rsidRPr="00F27756" w:rsidRDefault="008C11B0" w:rsidP="008C11B0">
      <w:pPr>
        <w:rPr>
          <w:b/>
        </w:rPr>
      </w:pPr>
      <w:r w:rsidRPr="00F27756">
        <w:rPr>
          <w:b/>
        </w:rPr>
        <w:t>Cíl e)</w:t>
      </w:r>
    </w:p>
    <w:p w:rsidR="00F27756" w:rsidRDefault="00602D4F" w:rsidP="008C11B0">
      <w:r>
        <w:t>Došlo</w:t>
      </w:r>
      <w:r w:rsidR="008C11B0" w:rsidRPr="00747FC8">
        <w:t xml:space="preserve"> by k</w:t>
      </w:r>
      <w:r w:rsidR="008C11B0">
        <w:t xml:space="preserve"> dalšímu </w:t>
      </w:r>
      <w:r>
        <w:t xml:space="preserve">částečnému </w:t>
      </w:r>
      <w:r w:rsidR="008C11B0" w:rsidRPr="00FF4FC3">
        <w:t>sbližování individuální</w:t>
      </w:r>
      <w:r w:rsidR="008C11B0">
        <w:t>ch</w:t>
      </w:r>
      <w:r w:rsidR="008C11B0" w:rsidRPr="00FF4FC3">
        <w:t xml:space="preserve"> základní</w:t>
      </w:r>
      <w:r w:rsidR="008C11B0">
        <w:t>ch</w:t>
      </w:r>
      <w:r w:rsidR="008C11B0" w:rsidRPr="00747FC8">
        <w:t xml:space="preserve"> sazeb</w:t>
      </w:r>
      <w:r w:rsidR="008C11B0" w:rsidRPr="00FF4FC3">
        <w:t xml:space="preserve"> u poskytovatelů akutní lůžkové péče a paušálních sazeb za jeden den hospitalizace u poskytovatelů následné péče a dlouhodobé péče</w:t>
      </w:r>
      <w:r w:rsidR="008C11B0">
        <w:t xml:space="preserve">. </w:t>
      </w:r>
      <w:r>
        <w:t xml:space="preserve">Cíl by </w:t>
      </w:r>
      <w:r w:rsidR="008C11B0">
        <w:t>byl splněn</w:t>
      </w:r>
      <w:r>
        <w:t xml:space="preserve"> částečně, </w:t>
      </w:r>
      <w:r w:rsidR="009C35CB">
        <w:t>protože by nedošlo</w:t>
      </w:r>
      <w:r>
        <w:t xml:space="preserve"> k výraznému sblížení sazeb mezi zdravotními pojišťovnami, jelikož finanční možnosti systému neumožňují skokové navýšení nákladů u některých zdravotních pojišťoven</w:t>
      </w:r>
      <w:r w:rsidR="00E05030">
        <w:t>.</w:t>
      </w:r>
      <w:r>
        <w:t xml:space="preserve"> </w:t>
      </w:r>
      <w:r w:rsidR="00E05030">
        <w:t>Ke</w:t>
      </w:r>
      <w:r>
        <w:t xml:space="preserve"> změnám </w:t>
      </w:r>
      <w:r w:rsidR="0022396F">
        <w:t>musí dojít</w:t>
      </w:r>
      <w:r>
        <w:t xml:space="preserve"> v rozmezí několika let</w:t>
      </w:r>
      <w:r w:rsidR="008C11B0">
        <w:t>.</w:t>
      </w:r>
    </w:p>
    <w:p w:rsidR="008C11B0" w:rsidRPr="00F27756" w:rsidRDefault="008C11B0" w:rsidP="008C11B0">
      <w:pPr>
        <w:rPr>
          <w:b/>
        </w:rPr>
      </w:pPr>
      <w:r w:rsidRPr="00F27756">
        <w:rPr>
          <w:b/>
        </w:rPr>
        <w:t>Cíl f)</w:t>
      </w:r>
    </w:p>
    <w:p w:rsidR="008C11B0" w:rsidRDefault="0022396F" w:rsidP="008C11B0">
      <w:r>
        <w:t xml:space="preserve">Ve variantě 2 jsou </w:t>
      </w:r>
      <w:r w:rsidR="00935B68">
        <w:t xml:space="preserve">ke zvýšení efektivity v poskytování zdravotních služeb </w:t>
      </w:r>
      <w:r>
        <w:t>nastaveny nové mechanismy v segmentu lůžkové péče</w:t>
      </w:r>
      <w:r w:rsidR="008C11B0">
        <w:t xml:space="preserve">. </w:t>
      </w:r>
      <w:r>
        <w:t xml:space="preserve">Cíl by </w:t>
      </w:r>
      <w:r w:rsidR="008C11B0">
        <w:t xml:space="preserve">byl </w:t>
      </w:r>
      <w:r w:rsidR="00157D75">
        <w:t xml:space="preserve">částečně </w:t>
      </w:r>
      <w:r w:rsidR="008C11B0">
        <w:t>splněn</w:t>
      </w:r>
      <w:r w:rsidR="00935B68">
        <w:t>.</w:t>
      </w:r>
    </w:p>
    <w:p w:rsidR="00AA371E" w:rsidRPr="000D69B4" w:rsidRDefault="00AA371E" w:rsidP="00AC4253"/>
    <w:p w:rsidR="00F47E12" w:rsidRPr="000F63C1" w:rsidRDefault="00F47E12" w:rsidP="00F47E12">
      <w:r w:rsidRPr="009B75CC">
        <w:t xml:space="preserve">Jak vyplývá z celkového zhodnocení všech variant řešení, za nejvhodnější je po provedení kvantitativní i kvalitativní analýzy třeba považovat </w:t>
      </w:r>
      <w:r w:rsidRPr="009B75CC">
        <w:rPr>
          <w:b/>
        </w:rPr>
        <w:t>variantu 2.</w:t>
      </w:r>
    </w:p>
    <w:p w:rsidR="000A6C30" w:rsidRPr="000F63C1" w:rsidRDefault="000A6C30" w:rsidP="000A6C30">
      <w:pPr>
        <w:pStyle w:val="Nadpis1"/>
      </w:pPr>
      <w:r w:rsidRPr="000F63C1">
        <w:t xml:space="preserve">Implementace doporučené varianty a vynucování </w:t>
      </w:r>
    </w:p>
    <w:p w:rsidR="00FE7D35" w:rsidRPr="000F63C1" w:rsidRDefault="00FE7D35" w:rsidP="00FE7D35">
      <w:r w:rsidRPr="000F63C1">
        <w:t xml:space="preserve">Za implementaci regulace budou odpovídat zdravotní pojišťovny, jako subjekty provádějící v ČR zdravotní pojištění. V daném případě půjde o činnosti, které jsou zdravotními pojišťovnami již prováděny. Přezkum účinnosti navržených legislativních opatření provádí </w:t>
      </w:r>
      <w:r w:rsidR="000C5F08">
        <w:t>ministerstvo</w:t>
      </w:r>
      <w:r w:rsidRPr="000F63C1">
        <w:t xml:space="preserve"> v rámci své kontrolní činnosti, v součinnosti s Ministerstvem financí, popř</w:t>
      </w:r>
      <w:r w:rsidR="00935B68">
        <w:t>ípadě</w:t>
      </w:r>
      <w:r w:rsidRPr="000F63C1">
        <w:t xml:space="preserve"> prostřednictvím zástupců státu v orgánech zdravotních pojišťoven.</w:t>
      </w:r>
    </w:p>
    <w:p w:rsidR="000A6C30" w:rsidRPr="000F63C1" w:rsidRDefault="000A6C30" w:rsidP="000A6C30">
      <w:pPr>
        <w:pStyle w:val="Nadpis1"/>
      </w:pPr>
      <w:r w:rsidRPr="000F63C1">
        <w:lastRenderedPageBreak/>
        <w:t>Přezkum účinnosti regulace</w:t>
      </w:r>
    </w:p>
    <w:p w:rsidR="00157D75" w:rsidRDefault="00FE7D35" w:rsidP="00BC5B22">
      <w:r w:rsidRPr="000F63C1">
        <w:t xml:space="preserve">Vyhláška, jejíž návrh je předkládán </w:t>
      </w:r>
      <w:r w:rsidR="000C7C81" w:rsidRPr="000F63C1">
        <w:t>po</w:t>
      </w:r>
      <w:r w:rsidR="00734361" w:rsidRPr="000F63C1">
        <w:t xml:space="preserve">dle zmocnění </w:t>
      </w:r>
      <w:r w:rsidRPr="000F63C1">
        <w:t>zákona</w:t>
      </w:r>
      <w:r w:rsidR="00BE01DD" w:rsidRPr="000F63C1">
        <w:t xml:space="preserve"> č.</w:t>
      </w:r>
      <w:r w:rsidRPr="000F63C1">
        <w:t xml:space="preserve"> 48/1997 Sb.</w:t>
      </w:r>
      <w:r w:rsidR="00BE01DD" w:rsidRPr="000F63C1">
        <w:t>, se</w:t>
      </w:r>
      <w:r w:rsidRPr="000F63C1">
        <w:t xml:space="preserve"> použije pouze v tom případě, pokud se </w:t>
      </w:r>
      <w:r w:rsidR="00080DA7" w:rsidRPr="000F63C1">
        <w:t>příslušný poskytovatel zdravotních služeb</w:t>
      </w:r>
      <w:r w:rsidRPr="000F63C1">
        <w:t xml:space="preserve"> a zdravotní pojišťovna, za podmínky dodržení zdravotně pojistného plánu zdravotní pojišťovny, nedohodnou o způsobu úhrady, výši úhrady a regulačních omezeních jinak. </w:t>
      </w:r>
      <w:r w:rsidR="004F2DB6">
        <w:t>B</w:t>
      </w:r>
      <w:r w:rsidR="00047143">
        <w:t xml:space="preserve">ěhem roku 2017 se budou </w:t>
      </w:r>
      <w:r w:rsidR="004F2DB6" w:rsidRPr="004F2DB6">
        <w:t>vyhodnocovat dopady vyhlášky na poskytov</w:t>
      </w:r>
      <w:r w:rsidR="004F2DB6">
        <w:t xml:space="preserve">ání zdravotních služeb a </w:t>
      </w:r>
      <w:r w:rsidR="004F2DB6" w:rsidRPr="004F2DB6">
        <w:t xml:space="preserve">na základě analýzy dopadů </w:t>
      </w:r>
      <w:r w:rsidR="004F2DB6">
        <w:t>bude formulován</w:t>
      </w:r>
      <w:r w:rsidR="004F2DB6" w:rsidRPr="004F2DB6">
        <w:t xml:space="preserve"> návrh př</w:t>
      </w:r>
      <w:r w:rsidR="004F2DB6">
        <w:t xml:space="preserve">íští vyhlášky. </w:t>
      </w:r>
    </w:p>
    <w:p w:rsidR="00157D75" w:rsidRDefault="00157D75" w:rsidP="00BC5B22"/>
    <w:p w:rsidR="000A6C30" w:rsidRPr="004E2C48" w:rsidRDefault="000A6C30" w:rsidP="00BC5B22">
      <w:pPr>
        <w:rPr>
          <w:u w:val="single"/>
        </w:rPr>
      </w:pPr>
      <w:r w:rsidRPr="004E2C48">
        <w:rPr>
          <w:u w:val="single"/>
        </w:rPr>
        <w:t>Konzultace a zdroje dat</w:t>
      </w:r>
    </w:p>
    <w:p w:rsidR="005C3437" w:rsidRPr="000F63C1" w:rsidRDefault="005C3437" w:rsidP="00F47E12">
      <w:r w:rsidRPr="000F63C1">
        <w:t xml:space="preserve">Konzultace byly realizovány v rámci dohodovacího řízení podle § 17 odst. </w:t>
      </w:r>
      <w:r w:rsidR="00AD2DA3" w:rsidRPr="000F63C1">
        <w:t>5</w:t>
      </w:r>
      <w:r w:rsidRPr="000F63C1">
        <w:t xml:space="preserve"> zákona mezi zástupci </w:t>
      </w:r>
      <w:r w:rsidR="001E5B11">
        <w:t>VZP</w:t>
      </w:r>
      <w:r w:rsidRPr="000F63C1">
        <w:t xml:space="preserve"> a ostatních zdravotních pojišťoven a příslušných profesních sdružení poskytovatelů zdravotní</w:t>
      </w:r>
      <w:r w:rsidR="00D329F9" w:rsidRPr="000F63C1">
        <w:t>ch služeb</w:t>
      </w:r>
      <w:r w:rsidRPr="000F63C1">
        <w:t xml:space="preserve"> jako zástupců smluvních </w:t>
      </w:r>
      <w:r w:rsidR="00D329F9" w:rsidRPr="000F63C1">
        <w:t>poskytovatelů</w:t>
      </w:r>
      <w:r w:rsidRPr="000F63C1">
        <w:t>. Z jednání tohoto dohodovacího řízení vyplynuly představy jednotlivých segmentů poskytovatelů zdravotní</w:t>
      </w:r>
      <w:r w:rsidR="00D329F9" w:rsidRPr="000F63C1">
        <w:t>ch služeb</w:t>
      </w:r>
      <w:r w:rsidRPr="000F63C1">
        <w:t xml:space="preserve"> a zdravotních pojišťoven o řešení dané problematiky, které ministerstvo posoudilo z hlediska souladu s právními předpisy a veřejným zájmem a navrhlo řešení.</w:t>
      </w:r>
      <w:r w:rsidR="00665E24" w:rsidRPr="000F63C1">
        <w:t xml:space="preserve"> </w:t>
      </w:r>
      <w:r w:rsidR="00E04A0F" w:rsidRPr="000F63C1">
        <w:t>Vyhláška proto v mnohém reflektuje připomínky poskytovatelů ohledně technických detailů úhrad, které dále precizuje.</w:t>
      </w:r>
    </w:p>
    <w:p w:rsidR="00F47E12" w:rsidRPr="000F63C1" w:rsidRDefault="00F47E12" w:rsidP="00F47E12"/>
    <w:p w:rsidR="00F47E12" w:rsidRPr="000F63C1" w:rsidRDefault="00AD2DA3" w:rsidP="00F47E12">
      <w:r w:rsidRPr="000F63C1">
        <w:t xml:space="preserve">Ministerstvo si průběžně vytváří modelace příjmů celého systému veřejného zdravotního pojištění na základě </w:t>
      </w:r>
      <w:r w:rsidR="00D329F9" w:rsidRPr="000F63C1">
        <w:t>údajů</w:t>
      </w:r>
      <w:r w:rsidRPr="000F63C1">
        <w:t xml:space="preserve"> Ministerstva financí, dále</w:t>
      </w:r>
      <w:r w:rsidR="004E2C48">
        <w:t xml:space="preserve"> získává čtvrtletně informace o </w:t>
      </w:r>
      <w:r w:rsidRPr="000F63C1">
        <w:t>hospodaření zdravotních pojišťoven. Dalším tradičním podkladem jsou údaje Ústavu zdravotnických informací a statistiky.</w:t>
      </w:r>
    </w:p>
    <w:p w:rsidR="000A6C30" w:rsidRPr="000F63C1" w:rsidRDefault="000A6C30" w:rsidP="000A6C30">
      <w:pPr>
        <w:pStyle w:val="Nadpis1"/>
      </w:pPr>
      <w:r w:rsidRPr="000F63C1">
        <w:t>Kontakt</w:t>
      </w:r>
      <w:r w:rsidR="00237E8F">
        <w:t>y</w:t>
      </w:r>
      <w:r w:rsidRPr="000F63C1">
        <w:t xml:space="preserve"> na zpracovatele RIA</w:t>
      </w:r>
    </w:p>
    <w:p w:rsidR="00F74540" w:rsidRDefault="00F74540" w:rsidP="00F74540">
      <w:r>
        <w:t xml:space="preserve">Osoba, která zpracovala závěrečnou zprávu RIA: </w:t>
      </w:r>
    </w:p>
    <w:p w:rsidR="00F74540" w:rsidRDefault="00F74540" w:rsidP="00F74540">
      <w:r>
        <w:t>Ing. Jan Michálek, vedoucí oddělení úhradových mechanismů a zdravotního pojištění (jan.michalek@mzcr.cz)</w:t>
      </w:r>
    </w:p>
    <w:p w:rsidR="000F2B3E" w:rsidRDefault="000F2B3E" w:rsidP="000F2B3E">
      <w:r>
        <w:t>Mgr. Pavlína Žílová, referentka oddělení úhradových mechanismů a zdravotního pojištění</w:t>
      </w:r>
    </w:p>
    <w:p w:rsidR="000F2B3E" w:rsidRDefault="000F2B3E" w:rsidP="00F74540">
      <w:r>
        <w:t>(pavlina.zilova@mzcr.cz)</w:t>
      </w:r>
    </w:p>
    <w:p w:rsidR="00F74540" w:rsidRDefault="00F74540" w:rsidP="00F74540">
      <w:r>
        <w:t>Mgr. Tomáš Troch, referent oddělení úhradových mechanismů a zdravotního pojištění</w:t>
      </w:r>
    </w:p>
    <w:p w:rsidR="00F74540" w:rsidRDefault="00F74540" w:rsidP="00F74540">
      <w:r>
        <w:t>(tomas.troch@mzcr.cz)</w:t>
      </w:r>
    </w:p>
    <w:p w:rsidR="00F74540" w:rsidRDefault="00F74540" w:rsidP="00F74540">
      <w:r>
        <w:t>Ing. Hana Kovaříková, referentka oddělení úhradových mechanismů a zdravotního pojištění</w:t>
      </w:r>
    </w:p>
    <w:p w:rsidR="00F74540" w:rsidRDefault="00F74540" w:rsidP="00F74540">
      <w:r>
        <w:t>(hana.kovarikova@mzcr.cz)</w:t>
      </w:r>
    </w:p>
    <w:p w:rsidR="00F74540" w:rsidRDefault="00F74540" w:rsidP="00F74540"/>
    <w:p w:rsidR="00F74540" w:rsidRDefault="00F74540" w:rsidP="00F74540">
      <w:r>
        <w:t xml:space="preserve">Osoba, která zprávu schválila: </w:t>
      </w:r>
    </w:p>
    <w:p w:rsidR="000A6C30" w:rsidRDefault="00F74540" w:rsidP="000A6C30">
      <w:r>
        <w:t>Ing. Helena Rögnerová, ředitelka odboru dohledu nad zdravotním pojištěním</w:t>
      </w:r>
    </w:p>
    <w:p w:rsidR="00142701" w:rsidRDefault="00142701" w:rsidP="000A6C30"/>
    <w:p w:rsidR="00142701" w:rsidRDefault="00142701" w:rsidP="000A6C30"/>
    <w:p w:rsidR="00142701" w:rsidRDefault="00142701" w:rsidP="000A6C30"/>
    <w:p w:rsidR="00142701" w:rsidRDefault="00142701" w:rsidP="000A6C30"/>
    <w:p w:rsidR="00142701" w:rsidRPr="000F63C1" w:rsidRDefault="00142701" w:rsidP="000A6C30"/>
    <w:p w:rsidR="00BB78D5" w:rsidRDefault="00BB78D5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:rsidR="00BB78D5" w:rsidRPr="009A7763" w:rsidRDefault="00BB78D5" w:rsidP="00BB78D5">
      <w:pPr>
        <w:pStyle w:val="Nzev"/>
        <w:pageBreakBefore/>
        <w:spacing w:line="360" w:lineRule="auto"/>
        <w:outlineLvl w:val="0"/>
        <w:rPr>
          <w:rFonts w:ascii="Times New Roman" w:hAnsi="Times New Roman" w:cs="Times New Roman"/>
          <w:caps/>
          <w:sz w:val="26"/>
          <w:szCs w:val="26"/>
        </w:rPr>
      </w:pPr>
      <w:r w:rsidRPr="009A7763">
        <w:rPr>
          <w:rFonts w:ascii="Times New Roman" w:hAnsi="Times New Roman" w:cs="Times New Roman"/>
          <w:sz w:val="26"/>
          <w:szCs w:val="26"/>
        </w:rPr>
        <w:lastRenderedPageBreak/>
        <w:t>ODŮVODNĚNÍ</w:t>
      </w:r>
    </w:p>
    <w:p w:rsidR="00BB78D5" w:rsidRPr="009A7763" w:rsidRDefault="00BB78D5" w:rsidP="00BB78D5">
      <w:pPr>
        <w:outlineLvl w:val="0"/>
        <w:rPr>
          <w:b/>
          <w:u w:val="single"/>
        </w:rPr>
      </w:pPr>
      <w:r w:rsidRPr="009A7763">
        <w:rPr>
          <w:b/>
          <w:u w:val="single"/>
        </w:rPr>
        <w:t>I. OBECNÁ ČÁST</w:t>
      </w:r>
    </w:p>
    <w:p w:rsidR="00BB78D5" w:rsidRDefault="00BB78D5" w:rsidP="00BB78D5">
      <w:pPr>
        <w:outlineLvl w:val="0"/>
        <w:rPr>
          <w:b/>
        </w:rPr>
      </w:pPr>
    </w:p>
    <w:p w:rsidR="00BB78D5" w:rsidRDefault="00BB78D5" w:rsidP="007C32E5">
      <w:pPr>
        <w:spacing w:after="120"/>
        <w:rPr>
          <w:b/>
        </w:rPr>
      </w:pPr>
      <w:r w:rsidRPr="00BC5B22">
        <w:rPr>
          <w:b/>
        </w:rPr>
        <w:t>1.</w:t>
      </w:r>
      <w:r w:rsidRPr="00BC5B22">
        <w:t xml:space="preserve"> </w:t>
      </w:r>
      <w:r w:rsidR="00DE305E" w:rsidRPr="00BC5B22">
        <w:rPr>
          <w:b/>
          <w:caps/>
        </w:rPr>
        <w:t xml:space="preserve">  </w:t>
      </w:r>
      <w:r w:rsidR="00DE305E" w:rsidRPr="00BC5B22">
        <w:rPr>
          <w:b/>
        </w:rPr>
        <w:t>Vysvětlení nezbytnosti navrhované právní úpravy, odůvodnění hlavních principů</w:t>
      </w:r>
    </w:p>
    <w:p w:rsidR="00BB78D5" w:rsidRDefault="00BB78D5" w:rsidP="007C32E5">
      <w:pPr>
        <w:spacing w:after="120"/>
      </w:pPr>
      <w:r w:rsidRPr="00863159">
        <w:t xml:space="preserve">Na základě zmocnění obsaženého v § 17 odst. 5 zákona vydává </w:t>
      </w:r>
      <w:r w:rsidR="000C5F08">
        <w:t>ministerstvo</w:t>
      </w:r>
      <w:r w:rsidR="004E2C48">
        <w:t xml:space="preserve"> vyhlášku o </w:t>
      </w:r>
      <w:r w:rsidRPr="00863159">
        <w:t>stanovení hodnot bodu, výše úhrad hrazenýc</w:t>
      </w:r>
      <w:r>
        <w:t xml:space="preserve">h služeb a regulačních omezení </w:t>
      </w:r>
      <w:r w:rsidRPr="00863159">
        <w:t>vždy pro následující kalendářní rok.</w:t>
      </w:r>
    </w:p>
    <w:p w:rsidR="00BB78D5" w:rsidRDefault="00BB78D5" w:rsidP="007C32E5">
      <w:pPr>
        <w:spacing w:after="120"/>
      </w:pPr>
      <w:r>
        <w:t>M</w:t>
      </w:r>
      <w:r w:rsidRPr="000F63C1">
        <w:t>inisterstvo předkládá návrh vyhlášky, u níž je nutno konstatovat, že se podle § 17 odst. 5 zákona tato vyhláška použije pouze tehdy,</w:t>
      </w:r>
      <w:r w:rsidRPr="000F63C1">
        <w:rPr>
          <w:color w:val="FF0000"/>
        </w:rPr>
        <w:t xml:space="preserve"> </w:t>
      </w:r>
      <w:r w:rsidRPr="000F63C1">
        <w:t>pokud se po</w:t>
      </w:r>
      <w:r w:rsidR="004E2C48">
        <w:t>skytovatel zdravotních služeb a </w:t>
      </w:r>
      <w:r w:rsidRPr="000F63C1">
        <w:t>zdravotní pojišťovna nedohodnou o způsobu úhrady, výši úhrady a regulačních omezeních jinak. Nečinnost ministerstva nepřipadá v tomto případě v úvahu, neboť by šlo o nenaplnění zákonné povinnosti, v jehož důsledku by nebyly hodnoty bodu</w:t>
      </w:r>
      <w:r w:rsidR="004E2C48">
        <w:t>, výše úhrad hrazených služeb a </w:t>
      </w:r>
      <w:r w:rsidRPr="000F63C1">
        <w:t>regulační omezení pro rok 201</w:t>
      </w:r>
      <w:r>
        <w:t>7</w:t>
      </w:r>
      <w:r w:rsidRPr="000F63C1">
        <w:t xml:space="preserve"> vůbec stanoveny, neboť zákon počítá s tím, že se vyhláška vydává pro každý kalendářní rok.</w:t>
      </w:r>
    </w:p>
    <w:p w:rsidR="00BB78D5" w:rsidRDefault="00BB78D5" w:rsidP="00BB78D5">
      <w:pPr>
        <w:outlineLvl w:val="0"/>
        <w:rPr>
          <w:b/>
        </w:rPr>
      </w:pPr>
      <w:r w:rsidRPr="00F007F3">
        <w:t>Cílem navrhované právní úpravy je stanovení hodnot bodu</w:t>
      </w:r>
      <w:r w:rsidR="004E2C48">
        <w:t>, výše úhrad hrazených služeb a </w:t>
      </w:r>
      <w:r w:rsidRPr="00F007F3">
        <w:t xml:space="preserve">regulačních omezení pro rok 2017, které </w:t>
      </w:r>
      <w:r>
        <w:t>umožní podpo</w:t>
      </w:r>
      <w:r w:rsidR="004E2C48">
        <w:t>řit kvalitní a dostupnou péči u </w:t>
      </w:r>
      <w:r>
        <w:t>poskytovatelů akutní lůžkové péče a u poskytovatelů následné a dlouhodobé péče. Umožní navýšení platů a mezd zdravotníků u poskytovatelů lůžkové péče a zároveň vyrovnané hospodaření zdravotních pojišťoven.</w:t>
      </w:r>
    </w:p>
    <w:p w:rsidR="00BB78D5" w:rsidRDefault="00BB78D5" w:rsidP="007C32E5">
      <w:pPr>
        <w:spacing w:after="120" w:line="300" w:lineRule="exact"/>
        <w:outlineLvl w:val="0"/>
        <w:rPr>
          <w:rFonts w:cs="Arial"/>
        </w:rPr>
      </w:pPr>
    </w:p>
    <w:p w:rsidR="00374FA2" w:rsidRPr="007C32E5" w:rsidRDefault="00BB78D5" w:rsidP="007C32E5">
      <w:pPr>
        <w:spacing w:after="120"/>
        <w:outlineLvl w:val="0"/>
        <w:rPr>
          <w:b/>
        </w:rPr>
      </w:pPr>
      <w:r w:rsidRPr="00BC5B22">
        <w:rPr>
          <w:rFonts w:cs="Arial"/>
          <w:b/>
        </w:rPr>
        <w:t>2</w:t>
      </w:r>
      <w:r w:rsidR="00374FA2" w:rsidRPr="00BC5B22">
        <w:rPr>
          <w:rFonts w:cs="Arial"/>
          <w:b/>
        </w:rPr>
        <w:t xml:space="preserve">. </w:t>
      </w:r>
      <w:r w:rsidR="00DE305E" w:rsidRPr="00BC5B22">
        <w:rPr>
          <w:rFonts w:cs="Arial"/>
          <w:b/>
        </w:rPr>
        <w:t xml:space="preserve"> </w:t>
      </w:r>
      <w:r w:rsidR="00DE305E" w:rsidRPr="00BC5B22">
        <w:rPr>
          <w:b/>
        </w:rPr>
        <w:t>Zhodnocení souladu navrhované právní úpravy se zákonem, k jehož provedení je vyhláška navržena, včetně souladu se zákonným zmocněním k jejímu vydání</w:t>
      </w:r>
    </w:p>
    <w:p w:rsidR="006E60A2" w:rsidRPr="000F63C1" w:rsidRDefault="004B50DA" w:rsidP="00374FA2">
      <w:r w:rsidRPr="000F63C1">
        <w:t>Navrhovaná právní úprava je v souladu se zákonem</w:t>
      </w:r>
      <w:r w:rsidR="00F74540">
        <w:t xml:space="preserve">, </w:t>
      </w:r>
      <w:r w:rsidRPr="000F63C1">
        <w:t>k jehož provedení je navržena, a se zákonným zmocněním k jejímu vydání</w:t>
      </w:r>
      <w:r w:rsidR="000D6988" w:rsidRPr="000F63C1">
        <w:t xml:space="preserve"> (§ 17 odst. 5)</w:t>
      </w:r>
      <w:r w:rsidRPr="000F63C1">
        <w:t>.</w:t>
      </w:r>
    </w:p>
    <w:p w:rsidR="00DE305E" w:rsidRDefault="00DE305E" w:rsidP="00374FA2"/>
    <w:p w:rsidR="00DE305E" w:rsidRPr="00BC5B22" w:rsidRDefault="00DE305E" w:rsidP="00DE305E">
      <w:pPr>
        <w:spacing w:before="120" w:after="120"/>
        <w:rPr>
          <w:b/>
        </w:rPr>
      </w:pPr>
      <w:r w:rsidRPr="00BC5B22">
        <w:rPr>
          <w:b/>
        </w:rPr>
        <w:t>3. Zhodnocení souladu navrhované právní úpravy s předpisy Evropské unie, judikaturou soudních orgánů Evropské unie a obecnými právními zásadami práva Evropské unie</w:t>
      </w:r>
    </w:p>
    <w:p w:rsidR="006E60A2" w:rsidRPr="00BC5B22" w:rsidRDefault="004B50DA" w:rsidP="00374FA2">
      <w:r w:rsidRPr="00BC5B22">
        <w:t>Návrhem vyhlášky není do právního řádu České republiky implementováno právo Evropské unie a návrh není s právem Evropské unie v rozporu. Upra</w:t>
      </w:r>
      <w:r w:rsidR="004E2C48">
        <w:t>vovaná problematika je plně v </w:t>
      </w:r>
      <w:r w:rsidRPr="00BC5B22">
        <w:t>kompetenci členských států Evropské unie.</w:t>
      </w:r>
    </w:p>
    <w:p w:rsidR="00450716" w:rsidRPr="00BC5B22" w:rsidRDefault="00450716" w:rsidP="006E60A2">
      <w:pPr>
        <w:spacing w:line="360" w:lineRule="auto"/>
      </w:pPr>
    </w:p>
    <w:p w:rsidR="00113E90" w:rsidRPr="00AC4253" w:rsidRDefault="00113E90" w:rsidP="007C32E5">
      <w:pPr>
        <w:keepNext/>
        <w:spacing w:after="120"/>
        <w:outlineLvl w:val="0"/>
        <w:rPr>
          <w:b/>
        </w:rPr>
      </w:pPr>
      <w:r w:rsidRPr="00BC5B22">
        <w:rPr>
          <w:b/>
        </w:rPr>
        <w:t>4. Předpokládaný hospodářský a finanční dopad navrhované právní úpravy na státní rozpočet, ostatní veřejné rozpočty, na podnikatelské prostředí České republiky, dále sociální dopady, včetně dopadů na rodiny a</w:t>
      </w:r>
      <w:r w:rsidRPr="00BC5B22">
        <w:rPr>
          <w:b/>
          <w:color w:val="FF0000"/>
        </w:rPr>
        <w:t xml:space="preserve"> </w:t>
      </w:r>
      <w:r w:rsidRPr="00BC5B22">
        <w:rPr>
          <w:b/>
        </w:rPr>
        <w:t>dopadů na specifické skupiny obyvatel, zejména osoby sociálně slabé, osoby se zdravotním post</w:t>
      </w:r>
      <w:r w:rsidR="004E2C48">
        <w:rPr>
          <w:b/>
        </w:rPr>
        <w:t>ižením a národnostní menšiny, a </w:t>
      </w:r>
      <w:r w:rsidRPr="00BC5B22">
        <w:rPr>
          <w:b/>
        </w:rPr>
        <w:t>dopady na životní prostředí</w:t>
      </w:r>
    </w:p>
    <w:p w:rsidR="000D6988" w:rsidRDefault="000D6988" w:rsidP="00374FA2">
      <w:r w:rsidRPr="004014AE">
        <w:t xml:space="preserve">Dopad na státní rozpočet </w:t>
      </w:r>
      <w:r w:rsidR="00CB7C24" w:rsidRPr="004014AE">
        <w:t>z tohoto návrhu přímo nevyplývá.</w:t>
      </w:r>
      <w:r w:rsidRPr="006636F8">
        <w:t xml:space="preserve"> Reálný celkový dopad </w:t>
      </w:r>
      <w:r w:rsidR="002442FA">
        <w:t xml:space="preserve">na veřejné zdravotní pojištění </w:t>
      </w:r>
      <w:r w:rsidRPr="006636F8">
        <w:t>není možné exaktně vyčíslit</w:t>
      </w:r>
      <w:r w:rsidR="00374FA2" w:rsidRPr="004014AE">
        <w:t>, především z toho důvodu, že v</w:t>
      </w:r>
      <w:r w:rsidRPr="004014AE">
        <w:t xml:space="preserve">yhláška je pro poskytovatele a </w:t>
      </w:r>
      <w:r w:rsidR="002442FA">
        <w:t xml:space="preserve">zdravotní pojišťovny </w:t>
      </w:r>
      <w:r w:rsidRPr="004014AE">
        <w:t>vodítkem jen </w:t>
      </w:r>
      <w:r w:rsidR="002442FA">
        <w:t>tehdy</w:t>
      </w:r>
      <w:r w:rsidR="002442FA" w:rsidRPr="000F63C1">
        <w:t>,</w:t>
      </w:r>
      <w:r w:rsidR="002442FA" w:rsidRPr="000F63C1">
        <w:rPr>
          <w:color w:val="FF0000"/>
        </w:rPr>
        <w:t xml:space="preserve"> </w:t>
      </w:r>
      <w:r w:rsidR="002442FA" w:rsidRPr="000F63C1">
        <w:t xml:space="preserve">pokud se poskytovatel zdravotních </w:t>
      </w:r>
      <w:r w:rsidR="002442FA" w:rsidRPr="000F63C1">
        <w:lastRenderedPageBreak/>
        <w:t>služeb a zdravotní pojišťovna nedohodnou o způsobu úhrady, výši úhrady a regulačních omezeních jinak.</w:t>
      </w:r>
    </w:p>
    <w:p w:rsidR="004014AE" w:rsidRDefault="004014AE" w:rsidP="00374FA2"/>
    <w:p w:rsidR="00DE05FF" w:rsidRPr="00BC5B22" w:rsidRDefault="00DE05FF" w:rsidP="00DE05FF">
      <w:r w:rsidRPr="00BC5B22">
        <w:t>V segmentu ambulantní péče předpokládáme nárůst</w:t>
      </w:r>
      <w:r w:rsidR="00303386">
        <w:t xml:space="preserve"> nákladů přibližně o 2,</w:t>
      </w:r>
      <w:r w:rsidR="008D1904">
        <w:t>3</w:t>
      </w:r>
      <w:r w:rsidRPr="00BC5B22">
        <w:t xml:space="preserve"> mld. Kč, který je způsobený převážně přirozeným růstem </w:t>
      </w:r>
      <w:r w:rsidR="00142701" w:rsidRPr="00BC5B22">
        <w:t>segmentu a nárůstem objemu péče.</w:t>
      </w:r>
      <w:r w:rsidR="00CE12E8" w:rsidRPr="00BC5B22">
        <w:t xml:space="preserve"> </w:t>
      </w:r>
      <w:r w:rsidRPr="00BC5B22">
        <w:t>V segmentu lůžkové péče předpo</w:t>
      </w:r>
      <w:r w:rsidR="00142701" w:rsidRPr="00BC5B22">
        <w:t>kl</w:t>
      </w:r>
      <w:r w:rsidR="00303386">
        <w:t>ádáme nárůst nákladů téměř o 9,</w:t>
      </w:r>
      <w:r w:rsidR="008D1904">
        <w:t>2</w:t>
      </w:r>
      <w:r w:rsidRPr="00BC5B22">
        <w:t xml:space="preserve"> mld. Kč. Z toho 1</w:t>
      </w:r>
      <w:r w:rsidR="00303386">
        <w:t>,4</w:t>
      </w:r>
      <w:r w:rsidRPr="00BC5B22">
        <w:t xml:space="preserve"> mld. Kč náleží přirozeném</w:t>
      </w:r>
      <w:r w:rsidR="00142701" w:rsidRPr="00BC5B22">
        <w:t xml:space="preserve">u růstu </w:t>
      </w:r>
      <w:r w:rsidR="00591734" w:rsidRPr="00BC5B22">
        <w:t xml:space="preserve">nákladů na centrové léky </w:t>
      </w:r>
      <w:r w:rsidR="00303386">
        <w:t xml:space="preserve">a zbylé </w:t>
      </w:r>
      <w:r w:rsidR="008D1904">
        <w:t>7</w:t>
      </w:r>
      <w:r w:rsidR="00303386">
        <w:t>,</w:t>
      </w:r>
      <w:r w:rsidR="008D1904">
        <w:t>8</w:t>
      </w:r>
      <w:r w:rsidRPr="00BC5B22">
        <w:t xml:space="preserve"> mld. Kč připadají na nárůst úhrad </w:t>
      </w:r>
      <w:r w:rsidR="007016BB" w:rsidRPr="00BC5B22">
        <w:t>poskytovatelům</w:t>
      </w:r>
      <w:r w:rsidRPr="00BC5B22">
        <w:t xml:space="preserve"> lůžkové péče, který bude kompenzovat očekávané navýšení platů a zároveň pokryje nárůst produkce u převážně specializovaných pracovišť.</w:t>
      </w:r>
    </w:p>
    <w:p w:rsidR="00CE12E8" w:rsidRPr="00BC5B22" w:rsidRDefault="00CE12E8" w:rsidP="00DE05FF"/>
    <w:p w:rsidR="00DE05FF" w:rsidRPr="00BC5B22" w:rsidRDefault="00DE05FF" w:rsidP="00DE05FF">
      <w:r w:rsidRPr="00BC5B22">
        <w:t>Celkový nárůst nákladů za všechny</w:t>
      </w:r>
      <w:r w:rsidR="00142701" w:rsidRPr="00BC5B22">
        <w:t xml:space="preserve"> segmenty potom činí cca 13</w:t>
      </w:r>
      <w:r w:rsidR="008D1904">
        <w:t>,3</w:t>
      </w:r>
      <w:r w:rsidRPr="00BC5B22">
        <w:t xml:space="preserve"> mld. Kč. Dopady jsou modelovány na základě produkčních a úhradových dat za rok 201</w:t>
      </w:r>
      <w:r w:rsidR="00142701" w:rsidRPr="00BC5B22">
        <w:t>5</w:t>
      </w:r>
      <w:r w:rsidRPr="00BC5B22">
        <w:t xml:space="preserve"> od zdravotních pojišťoven, p</w:t>
      </w:r>
      <w:r w:rsidR="00142701" w:rsidRPr="00BC5B22">
        <w:t>ololetních ukazatelů za rok 2016</w:t>
      </w:r>
      <w:r w:rsidR="00CE12E8" w:rsidRPr="00BC5B22">
        <w:t xml:space="preserve"> a z</w:t>
      </w:r>
      <w:r w:rsidRPr="00BC5B22">
        <w:t>dravot</w:t>
      </w:r>
      <w:r w:rsidR="00142701" w:rsidRPr="00BC5B22">
        <w:t>ně pojistných plánů pro rok 2016</w:t>
      </w:r>
      <w:r w:rsidRPr="00BC5B22">
        <w:t>.</w:t>
      </w:r>
    </w:p>
    <w:p w:rsidR="00DE05FF" w:rsidRPr="00BC5B22" w:rsidRDefault="00DE05FF" w:rsidP="00DE05FF">
      <w:r w:rsidRPr="00BC5B22">
        <w:t>Na příjmové stránce se očeká</w:t>
      </w:r>
      <w:r w:rsidR="00142701" w:rsidRPr="00BC5B22">
        <w:t>vá růst výběru pojistného o 4,9</w:t>
      </w:r>
      <w:r w:rsidRPr="00BC5B22">
        <w:t xml:space="preserve"> %, způsobený predikovaným růstem mezd o 4</w:t>
      </w:r>
      <w:r w:rsidR="00AA5098" w:rsidRPr="00BC5B22">
        <w:t>,7 %, zaměstnanosti o 0,1</w:t>
      </w:r>
      <w:r w:rsidRPr="00BC5B22">
        <w:t xml:space="preserve"> % a zvýšením pl</w:t>
      </w:r>
      <w:r w:rsidR="00142701" w:rsidRPr="00BC5B22">
        <w:t>atby za státní pojištěnce na 920</w:t>
      </w:r>
      <w:r w:rsidR="00C24AAD">
        <w:t> </w:t>
      </w:r>
      <w:r w:rsidRPr="00BC5B22">
        <w:t xml:space="preserve">Kč. </w:t>
      </w:r>
    </w:p>
    <w:p w:rsidR="00CE12E8" w:rsidRPr="00BC5B22" w:rsidRDefault="00CE12E8" w:rsidP="00DE05FF"/>
    <w:p w:rsidR="00CE12E8" w:rsidRPr="00BC5B22" w:rsidRDefault="00CE12E8" w:rsidP="00DE05FF">
      <w:r w:rsidRPr="00BC5B22">
        <w:t>Tabulka: Náklady na zdravotní služby v roce 2017</w:t>
      </w:r>
    </w:p>
    <w:tbl>
      <w:tblPr>
        <w:tblW w:w="8804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2567"/>
        <w:gridCol w:w="1417"/>
        <w:gridCol w:w="1418"/>
        <w:gridCol w:w="1417"/>
        <w:gridCol w:w="1985"/>
      </w:tblGrid>
      <w:tr w:rsidR="00DE05FF" w:rsidRPr="00060779" w:rsidTr="00AA5098">
        <w:trPr>
          <w:trHeight w:val="30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5FF" w:rsidRPr="00BC5B22" w:rsidRDefault="00DE05FF" w:rsidP="00D00B1A">
            <w:pPr>
              <w:spacing w:line="240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BC5B22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5FF" w:rsidRPr="00BC5B22" w:rsidRDefault="00DE05FF" w:rsidP="00D00B1A">
            <w:pPr>
              <w:spacing w:line="240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BC5B22">
              <w:rPr>
                <w:color w:val="000000"/>
              </w:rPr>
              <w:t>VZP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5FF" w:rsidRPr="00BC5B22" w:rsidRDefault="00DE05FF" w:rsidP="00D00B1A">
            <w:pPr>
              <w:spacing w:line="240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BC5B22">
              <w:rPr>
                <w:color w:val="000000"/>
              </w:rPr>
              <w:t>ZZP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5FF" w:rsidRPr="00BC5B22" w:rsidRDefault="00DE05FF" w:rsidP="00D00B1A">
            <w:pPr>
              <w:spacing w:line="240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BC5B22">
              <w:rPr>
                <w:color w:val="000000"/>
              </w:rPr>
              <w:t>Celkem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05FF" w:rsidRPr="00BC5B22" w:rsidRDefault="00DE05FF" w:rsidP="00DF5306">
            <w:pPr>
              <w:spacing w:line="240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BC5B22">
              <w:rPr>
                <w:color w:val="000000"/>
              </w:rPr>
              <w:t xml:space="preserve">Rozdíl oproti </w:t>
            </w:r>
            <w:r w:rsidR="00DF5306" w:rsidRPr="00BC5B22">
              <w:rPr>
                <w:color w:val="000000"/>
              </w:rPr>
              <w:t>2016</w:t>
            </w:r>
          </w:p>
        </w:tc>
      </w:tr>
      <w:tr w:rsidR="00CE12E8" w:rsidRPr="00060779" w:rsidTr="00E9791D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12E8" w:rsidRPr="00BC5B22" w:rsidRDefault="00CE12E8" w:rsidP="00D00B1A">
            <w:pPr>
              <w:spacing w:line="240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BC5B22">
              <w:rPr>
                <w:color w:val="000000"/>
              </w:rPr>
              <w:t>celkem na zdravotní péči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12E8" w:rsidRPr="00BC5B22" w:rsidRDefault="008D1904" w:rsidP="00CE12E8">
            <w:pPr>
              <w:jc w:val="right"/>
            </w:pPr>
            <w:r w:rsidRPr="008D1904">
              <w:t>160 230 242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12E8" w:rsidRPr="00BC5B22" w:rsidRDefault="008D1904" w:rsidP="00CE12E8">
            <w:pPr>
              <w:jc w:val="right"/>
            </w:pPr>
            <w:r w:rsidRPr="008D1904">
              <w:t>106 411 494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12E8" w:rsidRPr="00BC5B22" w:rsidRDefault="008D1904" w:rsidP="00CE12E8">
            <w:pPr>
              <w:jc w:val="right"/>
            </w:pPr>
            <w:r w:rsidRPr="008D1904">
              <w:t>266 641 736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12E8" w:rsidRPr="00BC5B22" w:rsidRDefault="008D1904" w:rsidP="00CE12E8">
            <w:pPr>
              <w:jc w:val="right"/>
            </w:pPr>
            <w:r w:rsidRPr="008D1904">
              <w:t>13 322 734</w:t>
            </w:r>
          </w:p>
        </w:tc>
      </w:tr>
      <w:tr w:rsidR="00CE12E8" w:rsidRPr="00060779" w:rsidTr="00E9791D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12E8" w:rsidRPr="00BC5B22" w:rsidRDefault="00CE12E8" w:rsidP="00D00B1A">
            <w:pPr>
              <w:spacing w:line="240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BC5B22">
              <w:rPr>
                <w:color w:val="000000"/>
              </w:rPr>
              <w:t>na ambulantní péči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12E8" w:rsidRPr="00BC5B22" w:rsidRDefault="008D1904" w:rsidP="00CE12E8">
            <w:pPr>
              <w:jc w:val="right"/>
            </w:pPr>
            <w:r w:rsidRPr="008D1904">
              <w:t>38 966 496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12E8" w:rsidRPr="00BC5B22" w:rsidRDefault="008D1904" w:rsidP="00CE12E8">
            <w:pPr>
              <w:jc w:val="right"/>
            </w:pPr>
            <w:r w:rsidRPr="008D1904">
              <w:t>31 083 242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12E8" w:rsidRPr="00BC5B22" w:rsidRDefault="008D1904" w:rsidP="00CE12E8">
            <w:pPr>
              <w:jc w:val="right"/>
            </w:pPr>
            <w:r w:rsidRPr="008D1904">
              <w:t>70 049 738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12E8" w:rsidRPr="00BC5B22" w:rsidRDefault="008D1904" w:rsidP="00CE12E8">
            <w:pPr>
              <w:jc w:val="right"/>
            </w:pPr>
            <w:r w:rsidRPr="008D1904">
              <w:t>2 273 491</w:t>
            </w:r>
          </w:p>
        </w:tc>
      </w:tr>
      <w:tr w:rsidR="00AA5098" w:rsidRPr="00060779" w:rsidTr="00AA5098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5098" w:rsidRPr="00BC5B22" w:rsidRDefault="00AA5098" w:rsidP="00D00B1A">
            <w:pPr>
              <w:spacing w:line="240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BC5B22">
              <w:rPr>
                <w:color w:val="000000"/>
              </w:rPr>
              <w:t xml:space="preserve">na lůžkovou péči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5098" w:rsidRPr="00BC5B22" w:rsidRDefault="008D1904" w:rsidP="00CE12E8">
            <w:pPr>
              <w:jc w:val="right"/>
            </w:pPr>
            <w:r w:rsidRPr="008D1904">
              <w:t>88 884 876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5098" w:rsidRPr="00BC5B22" w:rsidRDefault="008D1904" w:rsidP="00CE12E8">
            <w:pPr>
              <w:jc w:val="right"/>
            </w:pPr>
            <w:r w:rsidRPr="008D1904">
              <w:t>54 039 275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A5098" w:rsidRPr="00BC5B22" w:rsidRDefault="008D1904" w:rsidP="00CE12E8">
            <w:pPr>
              <w:jc w:val="right"/>
            </w:pPr>
            <w:r w:rsidRPr="008D1904">
              <w:t>142 924 151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A5098" w:rsidRPr="00BC5B22" w:rsidRDefault="008D1904" w:rsidP="00CE12E8">
            <w:pPr>
              <w:jc w:val="right"/>
            </w:pPr>
            <w:r w:rsidRPr="008D1904">
              <w:t>9 207 589</w:t>
            </w:r>
          </w:p>
        </w:tc>
      </w:tr>
      <w:tr w:rsidR="00CE12E8" w:rsidRPr="0093083F" w:rsidTr="00AA5098">
        <w:trPr>
          <w:trHeight w:val="30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12E8" w:rsidRPr="00BC5B22" w:rsidRDefault="00CE12E8" w:rsidP="00450716">
            <w:pPr>
              <w:spacing w:line="240" w:lineRule="auto"/>
              <w:jc w:val="lef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BC5B22">
              <w:rPr>
                <w:color w:val="000000"/>
              </w:rPr>
              <w:t>z toho náklady na centrové léky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12E8" w:rsidRPr="00BC5B22" w:rsidRDefault="00303386" w:rsidP="00CE12E8">
            <w:pPr>
              <w:jc w:val="right"/>
            </w:pPr>
            <w:r w:rsidRPr="00303386">
              <w:t>9 110 526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12E8" w:rsidRPr="00BC5B22" w:rsidRDefault="00303386" w:rsidP="00CE12E8">
            <w:pPr>
              <w:jc w:val="right"/>
            </w:pPr>
            <w:r w:rsidRPr="00303386">
              <w:t>6 058 246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12E8" w:rsidRPr="00BC5B22" w:rsidRDefault="00303386" w:rsidP="00CE12E8">
            <w:pPr>
              <w:jc w:val="right"/>
            </w:pPr>
            <w:r w:rsidRPr="00303386">
              <w:t>15 168 772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12E8" w:rsidRDefault="00303386" w:rsidP="00CE12E8">
            <w:pPr>
              <w:jc w:val="right"/>
            </w:pPr>
            <w:r w:rsidRPr="00303386">
              <w:t>1 378 345</w:t>
            </w:r>
          </w:p>
        </w:tc>
      </w:tr>
    </w:tbl>
    <w:p w:rsidR="006E60A2" w:rsidRPr="000F63C1" w:rsidRDefault="006E60A2" w:rsidP="00CA185A"/>
    <w:p w:rsidR="00060779" w:rsidRPr="00FA0005" w:rsidRDefault="00060779" w:rsidP="00060779">
      <w:pPr>
        <w:spacing w:line="300" w:lineRule="exact"/>
        <w:contextualSpacing/>
      </w:pPr>
      <w:r w:rsidRPr="00FA0005">
        <w:t xml:space="preserve">Navrhovaná vyhláška </w:t>
      </w:r>
      <w:r>
        <w:t>bude mít pozitivní dopady na podni</w:t>
      </w:r>
      <w:r w:rsidR="004E2C48">
        <w:t>katelské prostředí, pokud jde o </w:t>
      </w:r>
      <w:r>
        <w:t>poskytovatele zdravotních služeb</w:t>
      </w:r>
      <w:r w:rsidR="00157D75">
        <w:t>.</w:t>
      </w:r>
      <w:r>
        <w:t xml:space="preserve"> Navrhovaná vyhláška </w:t>
      </w:r>
      <w:r w:rsidRPr="00FA0005">
        <w:t xml:space="preserve">nepředpokládá žádné sociální dopady, včetně dopadů na rodiny a dopadů na specifické skupiny obyvatel, zejména osoby sociálně slabé, osoby se zdravotním </w:t>
      </w:r>
      <w:r>
        <w:t>postižením a národnostní menšiny. Rovněž se nepředpokládá žádný dopad na životní prostředí.</w:t>
      </w:r>
      <w:r w:rsidRPr="00FA0005">
        <w:t xml:space="preserve"> </w:t>
      </w:r>
    </w:p>
    <w:p w:rsidR="00060779" w:rsidRPr="00FA0005" w:rsidRDefault="00060779" w:rsidP="00060779">
      <w:pPr>
        <w:spacing w:line="300" w:lineRule="exact"/>
        <w:contextualSpacing/>
      </w:pPr>
    </w:p>
    <w:p w:rsidR="007C32E5" w:rsidRPr="007C32E5" w:rsidRDefault="007C32E5" w:rsidP="007C32E5">
      <w:r w:rsidRPr="0056559A">
        <w:t>Následující tabulka shrnuje dopady na jednotlivé zdravotní pojišťovny: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894"/>
        <w:gridCol w:w="895"/>
        <w:gridCol w:w="895"/>
        <w:gridCol w:w="895"/>
        <w:gridCol w:w="894"/>
        <w:gridCol w:w="895"/>
        <w:gridCol w:w="895"/>
        <w:gridCol w:w="895"/>
      </w:tblGrid>
      <w:tr w:rsidR="007C32E5" w:rsidRPr="0056559A" w:rsidTr="004E2C48">
        <w:trPr>
          <w:trHeight w:val="300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C32E5" w:rsidRPr="00837018" w:rsidRDefault="007C32E5" w:rsidP="00157D75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837018">
              <w:rPr>
                <w:color w:val="000000"/>
                <w:sz w:val="22"/>
                <w:szCs w:val="22"/>
              </w:rPr>
              <w:t>Bilance roku 2017 (údaje v mil. Kč)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7C32E5" w:rsidRPr="00837018" w:rsidRDefault="007C32E5" w:rsidP="00837018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837018">
              <w:rPr>
                <w:b/>
                <w:color w:val="000000"/>
                <w:sz w:val="22"/>
                <w:szCs w:val="22"/>
              </w:rPr>
              <w:t>VZP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7C32E5" w:rsidRPr="00837018" w:rsidRDefault="007C32E5" w:rsidP="00837018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837018">
              <w:rPr>
                <w:b/>
                <w:color w:val="000000"/>
                <w:sz w:val="22"/>
                <w:szCs w:val="22"/>
              </w:rPr>
              <w:t>VoZP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7C32E5" w:rsidRPr="00837018" w:rsidRDefault="007C32E5" w:rsidP="00837018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837018">
              <w:rPr>
                <w:b/>
                <w:color w:val="000000"/>
                <w:sz w:val="22"/>
                <w:szCs w:val="22"/>
              </w:rPr>
              <w:t>ČPZP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7C32E5" w:rsidRPr="00837018" w:rsidRDefault="007C32E5" w:rsidP="00837018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837018">
              <w:rPr>
                <w:b/>
                <w:color w:val="000000"/>
                <w:sz w:val="22"/>
                <w:szCs w:val="22"/>
              </w:rPr>
              <w:t>OZP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7C32E5" w:rsidRPr="00837018" w:rsidRDefault="007C32E5" w:rsidP="00837018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837018">
              <w:rPr>
                <w:b/>
                <w:color w:val="000000"/>
                <w:sz w:val="22"/>
                <w:szCs w:val="22"/>
              </w:rPr>
              <w:t>ZPŠ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7C32E5" w:rsidRPr="00837018" w:rsidRDefault="007C32E5" w:rsidP="00837018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837018">
              <w:rPr>
                <w:b/>
                <w:color w:val="000000"/>
                <w:sz w:val="22"/>
                <w:szCs w:val="22"/>
              </w:rPr>
              <w:t>ZPMV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7C32E5" w:rsidRPr="00837018" w:rsidRDefault="007C32E5" w:rsidP="00837018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837018">
              <w:rPr>
                <w:b/>
                <w:color w:val="000000"/>
                <w:sz w:val="22"/>
                <w:szCs w:val="22"/>
              </w:rPr>
              <w:t>RBP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7C32E5" w:rsidRPr="00837018" w:rsidRDefault="007C32E5" w:rsidP="00837018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837018">
              <w:rPr>
                <w:b/>
                <w:color w:val="000000"/>
                <w:sz w:val="22"/>
                <w:szCs w:val="22"/>
              </w:rPr>
              <w:t>Celkem</w:t>
            </w:r>
          </w:p>
        </w:tc>
      </w:tr>
      <w:tr w:rsidR="007C32E5" w:rsidRPr="0056559A" w:rsidTr="004E2C48">
        <w:trPr>
          <w:trHeight w:val="300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C32E5" w:rsidRPr="00837018" w:rsidRDefault="007C32E5" w:rsidP="00157D75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837018">
              <w:rPr>
                <w:color w:val="000000"/>
                <w:sz w:val="22"/>
                <w:szCs w:val="22"/>
              </w:rPr>
              <w:t>Příjmy v roce 2017 po přerozdělení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7C32E5" w:rsidRPr="00837018" w:rsidRDefault="007C32E5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color w:val="000000" w:themeColor="text1"/>
                <w:sz w:val="22"/>
                <w:szCs w:val="22"/>
              </w:rPr>
              <w:t>164 479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7C32E5" w:rsidRPr="00837018" w:rsidRDefault="007C32E5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color w:val="000000" w:themeColor="text1"/>
                <w:sz w:val="22"/>
                <w:szCs w:val="22"/>
              </w:rPr>
              <w:t>17 163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7C32E5" w:rsidRPr="00837018" w:rsidRDefault="007C32E5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color w:val="000000" w:themeColor="text1"/>
                <w:sz w:val="22"/>
                <w:szCs w:val="22"/>
              </w:rPr>
              <w:t>29 406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7C32E5" w:rsidRPr="00837018" w:rsidRDefault="007C32E5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color w:val="000000" w:themeColor="text1"/>
                <w:sz w:val="22"/>
                <w:szCs w:val="22"/>
              </w:rPr>
              <w:t>17 379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7C32E5" w:rsidRPr="00837018" w:rsidRDefault="007C32E5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color w:val="000000" w:themeColor="text1"/>
                <w:sz w:val="22"/>
                <w:szCs w:val="22"/>
              </w:rPr>
              <w:t>3 597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7C32E5" w:rsidRPr="00837018" w:rsidRDefault="007C32E5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color w:val="000000" w:themeColor="text1"/>
                <w:sz w:val="22"/>
                <w:szCs w:val="22"/>
              </w:rPr>
              <w:t>31 946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7C32E5" w:rsidRPr="00837018" w:rsidRDefault="007C32E5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color w:val="000000" w:themeColor="text1"/>
                <w:sz w:val="22"/>
                <w:szCs w:val="22"/>
              </w:rPr>
              <w:t>10 233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7C32E5" w:rsidRPr="00837018" w:rsidRDefault="007C32E5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color w:val="000000" w:themeColor="text1"/>
                <w:sz w:val="22"/>
                <w:szCs w:val="22"/>
              </w:rPr>
              <w:t>274 204</w:t>
            </w:r>
          </w:p>
        </w:tc>
      </w:tr>
      <w:tr w:rsidR="007C32E5" w:rsidRPr="0056559A" w:rsidTr="004E2C48">
        <w:trPr>
          <w:trHeight w:val="300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C32E5" w:rsidRPr="00837018" w:rsidRDefault="007C32E5" w:rsidP="00157D75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837018">
              <w:rPr>
                <w:color w:val="000000"/>
                <w:sz w:val="22"/>
                <w:szCs w:val="22"/>
              </w:rPr>
              <w:t>Disponibilní zdroje roku 2017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7C32E5" w:rsidRPr="00837018" w:rsidRDefault="007C32E5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color w:val="000000" w:themeColor="text1"/>
                <w:sz w:val="22"/>
                <w:szCs w:val="22"/>
              </w:rPr>
              <w:t>160 350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7C32E5" w:rsidRPr="00837018" w:rsidRDefault="007C32E5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color w:val="000000" w:themeColor="text1"/>
                <w:sz w:val="22"/>
                <w:szCs w:val="22"/>
              </w:rPr>
              <w:t>16 695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7C32E5" w:rsidRPr="00837018" w:rsidRDefault="007C32E5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color w:val="000000" w:themeColor="text1"/>
                <w:sz w:val="22"/>
                <w:szCs w:val="22"/>
              </w:rPr>
              <w:t>28 472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7C32E5" w:rsidRPr="00837018" w:rsidRDefault="007C32E5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color w:val="000000" w:themeColor="text1"/>
                <w:sz w:val="22"/>
                <w:szCs w:val="22"/>
              </w:rPr>
              <w:t>16 822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7C32E5" w:rsidRPr="00837018" w:rsidRDefault="007C32E5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color w:val="000000" w:themeColor="text1"/>
                <w:sz w:val="22"/>
                <w:szCs w:val="22"/>
              </w:rPr>
              <w:t>3 482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7C32E5" w:rsidRPr="00837018" w:rsidRDefault="007C32E5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color w:val="000000" w:themeColor="text1"/>
                <w:sz w:val="22"/>
                <w:szCs w:val="22"/>
              </w:rPr>
              <w:t>31 003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7C32E5" w:rsidRPr="00837018" w:rsidRDefault="007C32E5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color w:val="000000" w:themeColor="text1"/>
                <w:sz w:val="22"/>
                <w:szCs w:val="22"/>
              </w:rPr>
              <w:t>9 939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7C32E5" w:rsidRPr="00837018" w:rsidRDefault="007C32E5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color w:val="000000" w:themeColor="text1"/>
                <w:sz w:val="22"/>
                <w:szCs w:val="22"/>
              </w:rPr>
              <w:t>266 763</w:t>
            </w:r>
          </w:p>
        </w:tc>
      </w:tr>
      <w:tr w:rsidR="00AA74D8" w:rsidRPr="0056559A" w:rsidTr="004E2C48">
        <w:trPr>
          <w:trHeight w:val="300"/>
        </w:trPr>
        <w:tc>
          <w:tcPr>
            <w:tcW w:w="1984" w:type="dxa"/>
            <w:shd w:val="clear" w:color="auto" w:fill="auto"/>
            <w:noWrap/>
            <w:vAlign w:val="bottom"/>
          </w:tcPr>
          <w:p w:rsidR="00AA74D8" w:rsidRPr="00837018" w:rsidRDefault="00AA74D8" w:rsidP="00157D75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837018">
              <w:rPr>
                <w:color w:val="000000"/>
                <w:sz w:val="22"/>
                <w:szCs w:val="22"/>
              </w:rPr>
              <w:t>Výdaje roku 2017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AA74D8" w:rsidRPr="00837018" w:rsidRDefault="008D1904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sz w:val="22"/>
                <w:szCs w:val="22"/>
              </w:rPr>
              <w:t>160 230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AA74D8" w:rsidRPr="00837018" w:rsidRDefault="00AA74D8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sz w:val="22"/>
                <w:szCs w:val="22"/>
              </w:rPr>
              <w:t>16 6</w:t>
            </w:r>
            <w:r w:rsidR="008D1904" w:rsidRPr="00837018"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AA74D8" w:rsidRPr="00837018" w:rsidRDefault="00AA74D8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sz w:val="22"/>
                <w:szCs w:val="22"/>
              </w:rPr>
              <w:t>28 4</w:t>
            </w:r>
            <w:r w:rsidR="008D1904" w:rsidRPr="00837018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AA74D8" w:rsidRPr="00837018" w:rsidRDefault="00AA74D8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sz w:val="22"/>
                <w:szCs w:val="22"/>
              </w:rPr>
              <w:t>16 5</w:t>
            </w:r>
            <w:r w:rsidR="008D1904" w:rsidRPr="00837018">
              <w:rPr>
                <w:bCs/>
                <w:sz w:val="22"/>
                <w:szCs w:val="22"/>
              </w:rPr>
              <w:t>97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AA74D8" w:rsidRPr="00837018" w:rsidRDefault="00AA74D8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sz w:val="22"/>
                <w:szCs w:val="22"/>
              </w:rPr>
              <w:t>3 5</w:t>
            </w:r>
            <w:r w:rsidR="008D1904" w:rsidRPr="00837018"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AA74D8" w:rsidRPr="00837018" w:rsidRDefault="00AA74D8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sz w:val="22"/>
                <w:szCs w:val="22"/>
              </w:rPr>
              <w:t>31 0</w:t>
            </w:r>
            <w:r w:rsidR="008D1904" w:rsidRPr="00837018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AA74D8" w:rsidRPr="00837018" w:rsidRDefault="00AA74D8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sz w:val="22"/>
                <w:szCs w:val="22"/>
              </w:rPr>
              <w:t>10 01</w:t>
            </w:r>
            <w:r w:rsidR="008D1904" w:rsidRPr="0083701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AA74D8" w:rsidRPr="00837018" w:rsidRDefault="00AA74D8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sz w:val="22"/>
                <w:szCs w:val="22"/>
              </w:rPr>
              <w:t xml:space="preserve">266 </w:t>
            </w:r>
            <w:r w:rsidR="008D1904" w:rsidRPr="00837018">
              <w:rPr>
                <w:bCs/>
                <w:sz w:val="22"/>
                <w:szCs w:val="22"/>
              </w:rPr>
              <w:t>642</w:t>
            </w:r>
          </w:p>
        </w:tc>
      </w:tr>
      <w:tr w:rsidR="00AA74D8" w:rsidRPr="0056559A" w:rsidTr="004E2C48">
        <w:trPr>
          <w:trHeight w:val="300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AA74D8" w:rsidRPr="00837018" w:rsidRDefault="00AA74D8" w:rsidP="00157D75">
            <w:pPr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837018">
              <w:rPr>
                <w:b/>
                <w:color w:val="000000"/>
                <w:sz w:val="22"/>
                <w:szCs w:val="22"/>
              </w:rPr>
              <w:t>SALDO roku 2017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AA74D8" w:rsidRPr="00837018" w:rsidRDefault="008D1904" w:rsidP="00837018">
            <w:pPr>
              <w:spacing w:line="240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837018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AA74D8" w:rsidRPr="00837018" w:rsidRDefault="008D1904" w:rsidP="00837018">
            <w:pPr>
              <w:spacing w:line="240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837018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AA74D8" w:rsidRPr="00837018" w:rsidRDefault="008D1904" w:rsidP="00837018">
            <w:pPr>
              <w:spacing w:line="240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83701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AA74D8" w:rsidRPr="00837018" w:rsidRDefault="00AA74D8" w:rsidP="00837018">
            <w:pPr>
              <w:spacing w:line="240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837018">
              <w:rPr>
                <w:b/>
                <w:bCs/>
                <w:sz w:val="22"/>
                <w:szCs w:val="22"/>
              </w:rPr>
              <w:t>2</w:t>
            </w:r>
            <w:r w:rsidR="008D1904" w:rsidRPr="00837018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AA74D8" w:rsidRPr="00837018" w:rsidRDefault="00AA74D8" w:rsidP="00837018">
            <w:pPr>
              <w:spacing w:line="240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837018">
              <w:rPr>
                <w:b/>
                <w:bCs/>
                <w:color w:val="FF0000"/>
                <w:sz w:val="22"/>
                <w:szCs w:val="22"/>
              </w:rPr>
              <w:t>-1</w:t>
            </w:r>
            <w:r w:rsidR="008D1904" w:rsidRPr="00837018">
              <w:rPr>
                <w:b/>
                <w:bCs/>
                <w:color w:val="FF0000"/>
                <w:sz w:val="22"/>
                <w:szCs w:val="22"/>
              </w:rPr>
              <w:t>10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AA74D8" w:rsidRPr="00837018" w:rsidRDefault="00AA74D8" w:rsidP="00837018">
            <w:pPr>
              <w:spacing w:line="240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837018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="008D1904" w:rsidRPr="00837018">
              <w:rPr>
                <w:b/>
                <w:bCs/>
                <w:color w:val="FF0000"/>
                <w:sz w:val="22"/>
                <w:szCs w:val="22"/>
              </w:rPr>
              <w:t>67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AA74D8" w:rsidRPr="00837018" w:rsidRDefault="00AA74D8" w:rsidP="00837018">
            <w:pPr>
              <w:spacing w:line="240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837018">
              <w:rPr>
                <w:b/>
                <w:bCs/>
                <w:color w:val="FF0000"/>
                <w:sz w:val="22"/>
                <w:szCs w:val="22"/>
              </w:rPr>
              <w:t>-7</w:t>
            </w:r>
            <w:r w:rsidR="008D1904" w:rsidRPr="00837018">
              <w:rPr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AA74D8" w:rsidRPr="00837018" w:rsidRDefault="008D1904" w:rsidP="00837018">
            <w:pPr>
              <w:spacing w:line="240" w:lineRule="auto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837018">
              <w:rPr>
                <w:b/>
                <w:bCs/>
                <w:sz w:val="22"/>
                <w:szCs w:val="22"/>
              </w:rPr>
              <w:t>121</w:t>
            </w:r>
          </w:p>
        </w:tc>
      </w:tr>
      <w:tr w:rsidR="00417DA0" w:rsidRPr="0056559A" w:rsidTr="004E2C48">
        <w:trPr>
          <w:trHeight w:val="544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17DA0" w:rsidRPr="00837018" w:rsidRDefault="00417DA0" w:rsidP="00157D75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837018">
              <w:rPr>
                <w:color w:val="000000"/>
                <w:sz w:val="22"/>
                <w:szCs w:val="22"/>
              </w:rPr>
              <w:t>Zůstatek na ZF k 31. 12. 2016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417DA0" w:rsidRPr="00837018" w:rsidRDefault="00417DA0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color w:val="000000" w:themeColor="text1"/>
                <w:sz w:val="22"/>
                <w:szCs w:val="22"/>
              </w:rPr>
              <w:t>1 670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417DA0" w:rsidRPr="00837018" w:rsidRDefault="00417DA0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color w:val="000000" w:themeColor="text1"/>
                <w:sz w:val="22"/>
                <w:szCs w:val="22"/>
              </w:rPr>
              <w:t>573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417DA0" w:rsidRPr="00837018" w:rsidRDefault="00417DA0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color w:val="000000" w:themeColor="text1"/>
                <w:sz w:val="22"/>
                <w:szCs w:val="22"/>
              </w:rPr>
              <w:t>1 819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417DA0" w:rsidRPr="00837018" w:rsidRDefault="00417DA0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color w:val="000000" w:themeColor="text1"/>
                <w:sz w:val="22"/>
                <w:szCs w:val="22"/>
              </w:rPr>
              <w:t>999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417DA0" w:rsidRPr="00837018" w:rsidRDefault="00417DA0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color w:val="000000" w:themeColor="text1"/>
                <w:sz w:val="22"/>
                <w:szCs w:val="22"/>
              </w:rPr>
              <w:t>242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417DA0" w:rsidRPr="00837018" w:rsidRDefault="00417DA0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color w:val="000000" w:themeColor="text1"/>
                <w:sz w:val="22"/>
                <w:szCs w:val="22"/>
              </w:rPr>
              <w:t>1 116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417DA0" w:rsidRPr="00837018" w:rsidRDefault="00417DA0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color w:val="000000" w:themeColor="text1"/>
                <w:sz w:val="22"/>
                <w:szCs w:val="22"/>
              </w:rPr>
              <w:t>988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417DA0" w:rsidRPr="00837018" w:rsidRDefault="00417DA0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color w:val="000000" w:themeColor="text1"/>
                <w:sz w:val="22"/>
                <w:szCs w:val="22"/>
              </w:rPr>
              <w:t>7 407</w:t>
            </w:r>
          </w:p>
        </w:tc>
      </w:tr>
      <w:tr w:rsidR="00417DA0" w:rsidRPr="0056559A" w:rsidTr="004E2C48">
        <w:trPr>
          <w:trHeight w:val="300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17DA0" w:rsidRPr="00837018" w:rsidRDefault="00417DA0" w:rsidP="00157D75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837018">
              <w:rPr>
                <w:color w:val="000000"/>
                <w:sz w:val="22"/>
                <w:szCs w:val="22"/>
              </w:rPr>
              <w:t>Zůstatek na ZF k 31. 12. 2017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417DA0" w:rsidRPr="00837018" w:rsidRDefault="00417DA0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color w:val="000000" w:themeColor="text1"/>
                <w:sz w:val="22"/>
                <w:szCs w:val="22"/>
              </w:rPr>
              <w:t>1 790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417DA0" w:rsidRPr="00837018" w:rsidRDefault="00417DA0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color w:val="000000" w:themeColor="text1"/>
                <w:sz w:val="22"/>
                <w:szCs w:val="22"/>
              </w:rPr>
              <w:t>599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417DA0" w:rsidRPr="00837018" w:rsidRDefault="00417DA0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color w:val="000000" w:themeColor="text1"/>
                <w:sz w:val="22"/>
                <w:szCs w:val="22"/>
              </w:rPr>
              <w:t>1 823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417DA0" w:rsidRPr="00837018" w:rsidRDefault="00417DA0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color w:val="000000" w:themeColor="text1"/>
                <w:sz w:val="22"/>
                <w:szCs w:val="22"/>
              </w:rPr>
              <w:t>1 224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417DA0" w:rsidRPr="00837018" w:rsidRDefault="00417DA0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color w:val="000000" w:themeColor="text1"/>
                <w:sz w:val="22"/>
                <w:szCs w:val="22"/>
              </w:rPr>
              <w:t>132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417DA0" w:rsidRPr="00837018" w:rsidRDefault="00417DA0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color w:val="000000" w:themeColor="text1"/>
                <w:sz w:val="22"/>
                <w:szCs w:val="22"/>
              </w:rPr>
              <w:t>1 049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417DA0" w:rsidRPr="00837018" w:rsidRDefault="00417DA0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color w:val="000000" w:themeColor="text1"/>
                <w:sz w:val="22"/>
                <w:szCs w:val="22"/>
              </w:rPr>
              <w:t>912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417DA0" w:rsidRPr="00837018" w:rsidRDefault="00417DA0" w:rsidP="00837018">
            <w:pPr>
              <w:spacing w:line="240" w:lineRule="auto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837018">
              <w:rPr>
                <w:bCs/>
                <w:color w:val="000000" w:themeColor="text1"/>
                <w:sz w:val="22"/>
                <w:szCs w:val="22"/>
              </w:rPr>
              <w:t>7 528</w:t>
            </w:r>
          </w:p>
        </w:tc>
      </w:tr>
      <w:tr w:rsidR="00417DA0" w:rsidRPr="0056559A" w:rsidTr="004E2C48">
        <w:trPr>
          <w:trHeight w:val="300"/>
        </w:trPr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17DA0" w:rsidRPr="00837018" w:rsidRDefault="00417DA0" w:rsidP="00157D75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837018">
              <w:rPr>
                <w:color w:val="000000"/>
                <w:sz w:val="22"/>
                <w:szCs w:val="22"/>
              </w:rPr>
              <w:t>Saldo/příjmy 2017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417DA0" w:rsidRPr="00837018" w:rsidRDefault="00417DA0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sz w:val="22"/>
                <w:szCs w:val="22"/>
              </w:rPr>
              <w:t>0,07%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417DA0" w:rsidRPr="00837018" w:rsidRDefault="00417DA0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sz w:val="22"/>
                <w:szCs w:val="22"/>
              </w:rPr>
              <w:t>0,15%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417DA0" w:rsidRPr="00837018" w:rsidRDefault="00417DA0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sz w:val="22"/>
                <w:szCs w:val="22"/>
              </w:rPr>
              <w:t>0,01%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417DA0" w:rsidRPr="00837018" w:rsidRDefault="00417DA0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sz w:val="22"/>
                <w:szCs w:val="22"/>
              </w:rPr>
              <w:t>1,29%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417DA0" w:rsidRPr="00837018" w:rsidRDefault="00417DA0" w:rsidP="00837018">
            <w:pPr>
              <w:spacing w:line="240" w:lineRule="auto"/>
              <w:jc w:val="right"/>
              <w:rPr>
                <w:color w:val="FF0000"/>
                <w:sz w:val="22"/>
                <w:szCs w:val="22"/>
              </w:rPr>
            </w:pPr>
            <w:r w:rsidRPr="00837018">
              <w:rPr>
                <w:color w:val="FF0000"/>
                <w:sz w:val="22"/>
                <w:szCs w:val="22"/>
              </w:rPr>
              <w:t>-3,07%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417DA0" w:rsidRPr="00837018" w:rsidRDefault="00417DA0" w:rsidP="00837018">
            <w:pPr>
              <w:spacing w:line="240" w:lineRule="auto"/>
              <w:jc w:val="right"/>
              <w:rPr>
                <w:color w:val="FF0000"/>
                <w:sz w:val="22"/>
                <w:szCs w:val="22"/>
              </w:rPr>
            </w:pPr>
            <w:r w:rsidRPr="00837018">
              <w:rPr>
                <w:color w:val="FF0000"/>
                <w:sz w:val="22"/>
                <w:szCs w:val="22"/>
              </w:rPr>
              <w:t>-0,21%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417DA0" w:rsidRPr="00837018" w:rsidRDefault="00417DA0" w:rsidP="00837018">
            <w:pPr>
              <w:spacing w:line="240" w:lineRule="auto"/>
              <w:jc w:val="right"/>
              <w:rPr>
                <w:color w:val="FF0000"/>
                <w:sz w:val="22"/>
                <w:szCs w:val="22"/>
              </w:rPr>
            </w:pPr>
            <w:r w:rsidRPr="00837018">
              <w:rPr>
                <w:color w:val="FF0000"/>
                <w:sz w:val="22"/>
                <w:szCs w:val="22"/>
              </w:rPr>
              <w:t>-0,74%</w:t>
            </w: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417DA0" w:rsidRPr="00837018" w:rsidRDefault="00417DA0" w:rsidP="00837018">
            <w:pPr>
              <w:spacing w:line="240" w:lineRule="auto"/>
              <w:jc w:val="right"/>
              <w:rPr>
                <w:color w:val="000000" w:themeColor="text1"/>
                <w:sz w:val="22"/>
                <w:szCs w:val="22"/>
              </w:rPr>
            </w:pPr>
            <w:r w:rsidRPr="00837018">
              <w:rPr>
                <w:sz w:val="22"/>
                <w:szCs w:val="22"/>
              </w:rPr>
              <w:t>0,04%</w:t>
            </w:r>
          </w:p>
        </w:tc>
      </w:tr>
    </w:tbl>
    <w:p w:rsidR="007C32E5" w:rsidRPr="0056559A" w:rsidRDefault="007C32E5" w:rsidP="007C32E5"/>
    <w:p w:rsidR="002442FA" w:rsidRPr="004E2C48" w:rsidRDefault="007C32E5" w:rsidP="00CA185A">
      <w:r>
        <w:lastRenderedPageBreak/>
        <w:t>Celkové saldo roku 2017</w:t>
      </w:r>
      <w:r w:rsidR="00C05544">
        <w:t xml:space="preserve"> všech zdravotních pojišťoven </w:t>
      </w:r>
      <w:r>
        <w:t>je +</w:t>
      </w:r>
      <w:r w:rsidR="00417DA0">
        <w:t>121</w:t>
      </w:r>
      <w:r w:rsidRPr="0056559A">
        <w:t xml:space="preserve"> mil. Kč. Salda jednotlivých </w:t>
      </w:r>
      <w:r w:rsidR="00C05544">
        <w:t xml:space="preserve">zdravotních </w:t>
      </w:r>
      <w:r w:rsidRPr="0056559A">
        <w:t xml:space="preserve">pojišťoven s výjimkou </w:t>
      </w:r>
      <w:r w:rsidR="00C05544">
        <w:t>Zdravotní pojišťovny Škoda</w:t>
      </w:r>
      <w:r w:rsidRPr="0056559A">
        <w:t xml:space="preserve"> se v ab</w:t>
      </w:r>
      <w:r>
        <w:t xml:space="preserve">solutní hodnotě pohybují pod </w:t>
      </w:r>
      <w:r w:rsidR="00AA74D8">
        <w:t>0,8</w:t>
      </w:r>
      <w:r w:rsidRPr="0056559A">
        <w:t> % z příjmů po přerozdělení, tudíž dopad úhradové vyhlášky lze považovat za hospodářsky vyrovnaný. Z</w:t>
      </w:r>
      <w:r w:rsidR="00822910">
        <w:t>dravotní pojišťovna Škoda</w:t>
      </w:r>
      <w:r w:rsidRPr="0056559A">
        <w:t xml:space="preserve"> jakožto nejmenší </w:t>
      </w:r>
      <w:r w:rsidR="00C05544">
        <w:t xml:space="preserve">zdravotní </w:t>
      </w:r>
      <w:r w:rsidRPr="0056559A">
        <w:t>pojišťovna se v mnoha segmentech úhrad neřídí touto vyh</w:t>
      </w:r>
      <w:r>
        <w:t xml:space="preserve">láškou, tudíž dopady </w:t>
      </w:r>
      <w:r w:rsidR="00C05544">
        <w:t xml:space="preserve">na tuto zdravotní pojišťovnu </w:t>
      </w:r>
      <w:r>
        <w:t>v roce 2017</w:t>
      </w:r>
      <w:r w:rsidRPr="0056559A">
        <w:t xml:space="preserve"> jsou těžko predikovatelné a lze předpokládat, </w:t>
      </w:r>
      <w:r>
        <w:t xml:space="preserve">že díky individuálním dohodám </w:t>
      </w:r>
      <w:r w:rsidR="00C05544">
        <w:t xml:space="preserve">o způsobu úhrady, výši úhrady a regulačních omezeních </w:t>
      </w:r>
      <w:r>
        <w:t>bu</w:t>
      </w:r>
      <w:r w:rsidRPr="0056559A">
        <w:t xml:space="preserve">de dopad </w:t>
      </w:r>
      <w:r w:rsidR="00822354">
        <w:t>i</w:t>
      </w:r>
      <w:r w:rsidR="00822910">
        <w:t> </w:t>
      </w:r>
      <w:r w:rsidR="00822354">
        <w:t xml:space="preserve">na tuto </w:t>
      </w:r>
      <w:r w:rsidR="00E22BF0">
        <w:t xml:space="preserve">zdravotní </w:t>
      </w:r>
      <w:r w:rsidR="00822354">
        <w:t>pojišťovnu vyrovnaný.</w:t>
      </w:r>
    </w:p>
    <w:p w:rsidR="002442FA" w:rsidRDefault="002442FA" w:rsidP="004E2C48">
      <w:pPr>
        <w:spacing w:after="120"/>
        <w:rPr>
          <w:b/>
        </w:rPr>
      </w:pPr>
    </w:p>
    <w:p w:rsidR="006E60A2" w:rsidRPr="00BC5B22" w:rsidRDefault="00060779" w:rsidP="007C32E5">
      <w:pPr>
        <w:keepNext/>
        <w:outlineLvl w:val="0"/>
        <w:rPr>
          <w:b/>
        </w:rPr>
      </w:pPr>
      <w:r w:rsidRPr="00BC5B22">
        <w:rPr>
          <w:b/>
        </w:rPr>
        <w:t>5</w:t>
      </w:r>
      <w:r w:rsidR="006E60A2" w:rsidRPr="00BC5B22">
        <w:rPr>
          <w:b/>
        </w:rPr>
        <w:t xml:space="preserve">. </w:t>
      </w:r>
      <w:r w:rsidRPr="00BC5B22">
        <w:rPr>
          <w:b/>
        </w:rPr>
        <w:t>Zhodnocení současného stavu a dopadů navrhovaného řešení ve vztahu k zákazu diskriminace a ve vztahu k rovnosti mužů a žen</w:t>
      </w:r>
    </w:p>
    <w:p w:rsidR="00CA185A" w:rsidRPr="00BC5B22" w:rsidRDefault="00E54BB1" w:rsidP="00CA185A">
      <w:r w:rsidRPr="00BC5B22">
        <w:t>Navrhovaná právní úprava nezasahuje do zásad zákazu diskriminace a nebude mít dopady na rovnost mužů a žen.</w:t>
      </w:r>
    </w:p>
    <w:p w:rsidR="006E60A2" w:rsidRPr="00BC5B22" w:rsidRDefault="006E60A2" w:rsidP="006E60A2">
      <w:pPr>
        <w:spacing w:line="360" w:lineRule="auto"/>
      </w:pPr>
    </w:p>
    <w:p w:rsidR="0018215A" w:rsidRPr="00BC5B22" w:rsidRDefault="00C02C61" w:rsidP="00CA185A">
      <w:pPr>
        <w:rPr>
          <w:b/>
        </w:rPr>
      </w:pPr>
      <w:r w:rsidRPr="00BC5B22">
        <w:rPr>
          <w:b/>
        </w:rPr>
        <w:t>6</w:t>
      </w:r>
      <w:r w:rsidR="0018215A" w:rsidRPr="00BC5B22">
        <w:rPr>
          <w:b/>
        </w:rPr>
        <w:t xml:space="preserve">. </w:t>
      </w:r>
      <w:r w:rsidR="00060779" w:rsidRPr="00BC5B22">
        <w:rPr>
          <w:b/>
        </w:rPr>
        <w:t>Zhodnocení dopadů navrhovaného řešení ve vztahu k ochraně soukromí a osobních údajů</w:t>
      </w:r>
    </w:p>
    <w:p w:rsidR="0018215A" w:rsidRPr="00BC5B22" w:rsidRDefault="0018215A" w:rsidP="00CA185A">
      <w:r w:rsidRPr="00BC5B22">
        <w:t>Návrh neupravuje oblast ochrany soukromí a nakládání s osobními údaji. Navrhované změny se nijak nedotknou ochrany osobních údajů dotčených subjektů.</w:t>
      </w:r>
    </w:p>
    <w:p w:rsidR="0018215A" w:rsidRPr="00BC5B22" w:rsidRDefault="0018215A" w:rsidP="0018215A">
      <w:pPr>
        <w:spacing w:after="120"/>
        <w:outlineLvl w:val="0"/>
      </w:pPr>
    </w:p>
    <w:p w:rsidR="0018215A" w:rsidRPr="00BC5B22" w:rsidRDefault="00C02C61" w:rsidP="00CA185A">
      <w:pPr>
        <w:rPr>
          <w:b/>
        </w:rPr>
      </w:pPr>
      <w:r w:rsidRPr="00BC5B22">
        <w:rPr>
          <w:b/>
        </w:rPr>
        <w:t>7</w:t>
      </w:r>
      <w:r w:rsidR="0018215A" w:rsidRPr="00BC5B22">
        <w:rPr>
          <w:b/>
        </w:rPr>
        <w:t>.</w:t>
      </w:r>
      <w:r w:rsidR="001C322B" w:rsidRPr="00BC5B22">
        <w:rPr>
          <w:b/>
        </w:rPr>
        <w:t xml:space="preserve">  Zhodnocení korupčních rizik</w:t>
      </w:r>
    </w:p>
    <w:p w:rsidR="00C02C61" w:rsidRPr="00BC5B22" w:rsidRDefault="0018215A" w:rsidP="00AC4253">
      <w:pPr>
        <w:rPr>
          <w:sz w:val="22"/>
          <w:szCs w:val="22"/>
        </w:rPr>
      </w:pPr>
      <w:r w:rsidRPr="00BC5B22">
        <w:t>Nepředpokládá se zvýšení korupčních rizik, neboť</w:t>
      </w:r>
      <w:r w:rsidR="0031010C" w:rsidRPr="004E2C48">
        <w:t xml:space="preserve"> navrhovaná právní úprava žádným způsobem nemění vztahy mezi jednotlivými osobami, které se na regulaci podílí nebo na něž regulace dopadá.</w:t>
      </w:r>
    </w:p>
    <w:p w:rsidR="00C02C61" w:rsidRPr="00BC5B22" w:rsidRDefault="00C02C61" w:rsidP="00C02C61">
      <w:pPr>
        <w:rPr>
          <w:b/>
        </w:rPr>
      </w:pPr>
    </w:p>
    <w:p w:rsidR="00C02C61" w:rsidRPr="00BC5B22" w:rsidRDefault="00357D4E" w:rsidP="00C02C61">
      <w:pPr>
        <w:rPr>
          <w:b/>
        </w:rPr>
      </w:pPr>
      <w:r w:rsidRPr="00BC5B22">
        <w:rPr>
          <w:b/>
        </w:rPr>
        <w:t>8</w:t>
      </w:r>
      <w:r w:rsidR="00C02C61" w:rsidRPr="00BC5B22">
        <w:rPr>
          <w:b/>
        </w:rPr>
        <w:t xml:space="preserve">. </w:t>
      </w:r>
      <w:r w:rsidR="001C322B" w:rsidRPr="00BC5B22">
        <w:rPr>
          <w:b/>
        </w:rPr>
        <w:t xml:space="preserve"> Zhodnocení dopadů na výkon státní statistické služby</w:t>
      </w:r>
    </w:p>
    <w:p w:rsidR="00C02C61" w:rsidRPr="004E2C48" w:rsidRDefault="00C02C61" w:rsidP="00C02C61">
      <w:r w:rsidRPr="004E2C48">
        <w:t>Nepředpokládá se dopad návrhu na výkon státní statistické služby. Nedojde k narušení objektivity statistických informací či k omezení a zkreslení zveřejňovaných údajů.</w:t>
      </w:r>
    </w:p>
    <w:p w:rsidR="00C02C61" w:rsidRPr="00BC5B22" w:rsidRDefault="00C02C61" w:rsidP="00C02C61"/>
    <w:p w:rsidR="00C02C61" w:rsidRDefault="00357D4E" w:rsidP="00C02C61">
      <w:pPr>
        <w:rPr>
          <w:b/>
        </w:rPr>
      </w:pPr>
      <w:r w:rsidRPr="00BC5B22">
        <w:rPr>
          <w:b/>
        </w:rPr>
        <w:t>9</w:t>
      </w:r>
      <w:r w:rsidR="00C02C61" w:rsidRPr="00BC5B22">
        <w:rPr>
          <w:b/>
        </w:rPr>
        <w:t xml:space="preserve">. </w:t>
      </w:r>
      <w:r w:rsidR="001C322B" w:rsidRPr="00BC5B22">
        <w:rPr>
          <w:b/>
        </w:rPr>
        <w:t xml:space="preserve">  Zhodnocení dopadů na bezpečnost nebo obranu státu</w:t>
      </w:r>
    </w:p>
    <w:p w:rsidR="00C02C61" w:rsidRPr="00212E16" w:rsidRDefault="001C322B" w:rsidP="00C02C61">
      <w:pPr>
        <w:rPr>
          <w:sz w:val="22"/>
          <w:szCs w:val="22"/>
        </w:rPr>
      </w:pPr>
      <w:r w:rsidRPr="004E2C48">
        <w:t>Navrhovaná vyhláška nebude mít d</w:t>
      </w:r>
      <w:r w:rsidR="00C02C61" w:rsidRPr="004E2C48">
        <w:t>opad na bezpečnost nebo obranu státu.</w:t>
      </w:r>
    </w:p>
    <w:p w:rsidR="006E60A2" w:rsidRPr="000F63C1" w:rsidRDefault="005B5973" w:rsidP="006E60A2">
      <w:pPr>
        <w:spacing w:line="360" w:lineRule="auto"/>
        <w:rPr>
          <w:b/>
        </w:rPr>
      </w:pPr>
      <w:r w:rsidRPr="000F63C1">
        <w:rPr>
          <w:b/>
        </w:rPr>
        <w:br w:type="page"/>
      </w:r>
      <w:r w:rsidR="006E60A2" w:rsidRPr="000F63C1">
        <w:rPr>
          <w:b/>
        </w:rPr>
        <w:lastRenderedPageBreak/>
        <w:t>II. ZVLÁŠTNÍ ČÁST</w:t>
      </w:r>
    </w:p>
    <w:p w:rsidR="005B6C55" w:rsidRDefault="005B6C55" w:rsidP="005B6C55">
      <w:r w:rsidRPr="000F63C1">
        <w:t>Předkládaný návrh vyhlášky stanoví hodnotu bodu, výše úhrad hrazených služeb a regulační omezení pro jednotlivé segmenty</w:t>
      </w:r>
      <w:r>
        <w:t xml:space="preserve">. </w:t>
      </w:r>
    </w:p>
    <w:p w:rsidR="00A60D00" w:rsidRDefault="00A60D00" w:rsidP="005B6C55"/>
    <w:p w:rsidR="00A60D00" w:rsidRDefault="00A60D00" w:rsidP="005B6C55">
      <w:r>
        <w:t xml:space="preserve">Ve vyhlášce se objevuje několik principů, které se </w:t>
      </w:r>
      <w:r w:rsidR="00B17E4E">
        <w:t>uplatňují</w:t>
      </w:r>
      <w:r>
        <w:t xml:space="preserve"> ve všech relevantních částech vyhlášky. Pro přehlednost je uvádíme zvlášť, abychom předešli nutnosti je opakovat pro každý segment znovu.</w:t>
      </w:r>
    </w:p>
    <w:p w:rsidR="00773A28" w:rsidRDefault="00773A28" w:rsidP="005B6C55"/>
    <w:p w:rsidR="00A60D00" w:rsidRPr="00847B2F" w:rsidRDefault="00A60D00" w:rsidP="005B6C55">
      <w:pPr>
        <w:rPr>
          <w:u w:val="single"/>
        </w:rPr>
      </w:pPr>
      <w:r w:rsidRPr="00847B2F">
        <w:rPr>
          <w:u w:val="single"/>
        </w:rPr>
        <w:t>Regulační omezení</w:t>
      </w:r>
    </w:p>
    <w:p w:rsidR="00B07614" w:rsidRDefault="00B07614" w:rsidP="005B6C55">
      <w:r>
        <w:t>Pro většinu odborností je dán limit na úhradu preskripce léčivých přípravků a zdravotn</w:t>
      </w:r>
      <w:r w:rsidR="00CF7766">
        <w:t>ických</w:t>
      </w:r>
      <w:r>
        <w:t xml:space="preserve"> prostředků, na úhradu vyžádané péče a na úhradu zvlášť účtovaných položek. Tento limit je dán průměrnou úhradou na jednoho unikátního pojištěnce v referenčním období. </w:t>
      </w:r>
    </w:p>
    <w:p w:rsidR="00B07614" w:rsidRDefault="00B07614" w:rsidP="00B07614">
      <w:r>
        <w:t xml:space="preserve">Při překročení definovaného limitu uplatní </w:t>
      </w:r>
      <w:r w:rsidR="00091570">
        <w:t xml:space="preserve">zdravotní </w:t>
      </w:r>
      <w:r>
        <w:t>pojišťovna regulační omezení až do určité maximální výše (obvykle do výše 40</w:t>
      </w:r>
      <w:r w:rsidR="00DF5306">
        <w:t xml:space="preserve"> </w:t>
      </w:r>
      <w:r>
        <w:t>% z tohoto překročení). Výše regulačního omezení je přesně dána, a to progresivně ve vztahu k míře překročení. Za každé započaté 0,5</w:t>
      </w:r>
      <w:r w:rsidR="00C24AAD">
        <w:t> </w:t>
      </w:r>
      <w:r w:rsidR="00091570">
        <w:t>%</w:t>
      </w:r>
      <w:r>
        <w:t xml:space="preserve"> překročení sníží </w:t>
      </w:r>
      <w:r w:rsidR="00E22BF0">
        <w:t xml:space="preserve">zdravotní </w:t>
      </w:r>
      <w:r>
        <w:t>pojišťovna poskytovateli celkovou úhradu o částku odpovídající součinu 2,5</w:t>
      </w:r>
      <w:r w:rsidR="00500544">
        <w:t> </w:t>
      </w:r>
      <w:r>
        <w:t xml:space="preserve">% z překročení a počtu unikátních pojištěnců v hodnoceném období. </w:t>
      </w:r>
      <w:r w:rsidR="00F63F7D" w:rsidRPr="00BE0EFE">
        <w:t>Regulační omezení na zvláš</w:t>
      </w:r>
      <w:r w:rsidR="00F63F7D" w:rsidRPr="00607791">
        <w:t>ť účtované léčivé přípravky, zvlášť účtovaný materiál, předepsané léčivé přípravky a zdravotnické prostředky se u poskytovatelů poskytujících hrazené služby v</w:t>
      </w:r>
      <w:r w:rsidR="00F63F7D" w:rsidRPr="0020157B">
        <w:t> </w:t>
      </w:r>
      <w:r w:rsidR="00F63F7D" w:rsidRPr="008236C1">
        <w:t>odb</w:t>
      </w:r>
      <w:r w:rsidR="00F63F7D" w:rsidRPr="00BE0EFE">
        <w:t>ornosti 305</w:t>
      </w:r>
      <w:r w:rsidR="00E53EF5">
        <w:t xml:space="preserve"> (psychiatrie)</w:t>
      </w:r>
      <w:r w:rsidR="00F63F7D" w:rsidRPr="00BE0EFE">
        <w:t>, 306</w:t>
      </w:r>
      <w:r w:rsidR="00E53EF5">
        <w:t xml:space="preserve"> (dětská a dorostová psychiatrie)</w:t>
      </w:r>
      <w:r w:rsidR="00F63F7D" w:rsidRPr="00BE0EFE">
        <w:t xml:space="preserve">, 308 </w:t>
      </w:r>
      <w:r w:rsidR="00E53EF5">
        <w:t xml:space="preserve">(návykové nemoci) </w:t>
      </w:r>
      <w:r w:rsidR="00F63F7D" w:rsidRPr="00BE0EFE">
        <w:t xml:space="preserve">nebo 309 </w:t>
      </w:r>
      <w:r w:rsidR="00E53EF5">
        <w:t xml:space="preserve">(sexuologie) </w:t>
      </w:r>
      <w:r w:rsidR="00F63F7D" w:rsidRPr="00BE0EFE">
        <w:t>nepoužijí</w:t>
      </w:r>
      <w:r w:rsidR="006176B8">
        <w:t xml:space="preserve">, </w:t>
      </w:r>
      <w:r w:rsidR="006448B9">
        <w:t xml:space="preserve">zejména z důvodů podpory podávání depotních léků </w:t>
      </w:r>
      <w:r w:rsidR="00E53EF5">
        <w:t xml:space="preserve">(léčivé přípravky s pomalým vstřebáváním) </w:t>
      </w:r>
      <w:r w:rsidR="006448B9">
        <w:t>pacientům s psychickými nemocemi. Depotní léky snižují</w:t>
      </w:r>
      <w:r w:rsidR="006448B9" w:rsidRPr="006448B9">
        <w:t xml:space="preserve"> </w:t>
      </w:r>
      <w:r w:rsidR="00BC5B22">
        <w:t>pravděpodobnost návratu onemocnění a opakovaných hospitalizací</w:t>
      </w:r>
      <w:r w:rsidR="006448B9">
        <w:t>, tedy i snižují náklady na případnou lůžkovou péči</w:t>
      </w:r>
      <w:r w:rsidR="002C6937">
        <w:t>.</w:t>
      </w:r>
    </w:p>
    <w:p w:rsidR="006D56C3" w:rsidRDefault="006D56C3" w:rsidP="005B6C55"/>
    <w:p w:rsidR="006D56C3" w:rsidRPr="00847B2F" w:rsidRDefault="006D56C3" w:rsidP="005B6C55">
      <w:pPr>
        <w:rPr>
          <w:u w:val="single"/>
        </w:rPr>
      </w:pPr>
      <w:r w:rsidRPr="00847B2F">
        <w:rPr>
          <w:u w:val="single"/>
        </w:rPr>
        <w:t>Kompenzace zrušeného regulačního poplatku 30 Kč za klinické vyšetření (ambulantní péče)</w:t>
      </w:r>
    </w:p>
    <w:p w:rsidR="006D56C3" w:rsidRDefault="006D56C3" w:rsidP="005B6C55">
      <w:r w:rsidRPr="006D56C3">
        <w:t xml:space="preserve">Kompenzace poplatku je i nadále řešena signálním výkonem v seznamu výkonů. Za každý tento vykázaný výkon v hodnoceném období náleží poskytovateli úhrada ve výši 30 Kč, a to až do výše objemu vybraných (a vykázaných) regulačních poplatků tohoto typu v roce </w:t>
      </w:r>
      <w:r w:rsidRPr="002C6937">
        <w:t>2014</w:t>
      </w:r>
      <w:r w:rsidR="00017E6B">
        <w:t>. J</w:t>
      </w:r>
      <w:r w:rsidR="007918DF">
        <w:t xml:space="preserve">elikož </w:t>
      </w:r>
      <w:r w:rsidR="00017E6B">
        <w:t>je poskytovateli</w:t>
      </w:r>
      <w:r w:rsidR="007918DF">
        <w:t xml:space="preserve"> kompenzován výpadek příjmů ze zrušených regulačních poplatků, nikoli hrazen každý vykázaný signální výkon</w:t>
      </w:r>
      <w:r w:rsidR="00017E6B">
        <w:t>, byl zvolen limit podle roku 2014</w:t>
      </w:r>
      <w:r w:rsidR="00345E6C">
        <w:t>, ve kterém byly regulační poplatky naposledy vybírány</w:t>
      </w:r>
      <w:r w:rsidR="00157D75">
        <w:t>.</w:t>
      </w:r>
    </w:p>
    <w:p w:rsidR="006D56C3" w:rsidRDefault="006D56C3" w:rsidP="006D56C3"/>
    <w:p w:rsidR="006D56C3" w:rsidRPr="00847B2F" w:rsidRDefault="006D56C3" w:rsidP="006D56C3">
      <w:pPr>
        <w:rPr>
          <w:u w:val="single"/>
        </w:rPr>
      </w:pPr>
      <w:r w:rsidRPr="00847B2F">
        <w:rPr>
          <w:u w:val="single"/>
        </w:rPr>
        <w:t>Kompenzace zrušeného regulačního poplatku 100 Kč za každý den lůžkové péče</w:t>
      </w:r>
    </w:p>
    <w:p w:rsidR="006D56C3" w:rsidRPr="002C6937" w:rsidRDefault="006D56C3" w:rsidP="006D56C3">
      <w:r w:rsidRPr="002C6937">
        <w:t>Kompenzace poplatku je v lůžkové péči promítnuta do paušální úhrady roku 2015, ze které se vychází při výpočtu úhrady na rok 201</w:t>
      </w:r>
      <w:r w:rsidR="002C6937" w:rsidRPr="00847B2F">
        <w:t>7</w:t>
      </w:r>
      <w:r w:rsidRPr="002C6937">
        <w:t>.</w:t>
      </w:r>
    </w:p>
    <w:p w:rsidR="006D56C3" w:rsidRDefault="006D56C3" w:rsidP="006D56C3">
      <w:r w:rsidRPr="002C6937">
        <w:t xml:space="preserve">Kompenzace poplatku v lázeňské péči a v následné a dlouhodobé lůžkové péči je </w:t>
      </w:r>
      <w:r w:rsidR="002C6937" w:rsidRPr="00847B2F">
        <w:t xml:space="preserve">již </w:t>
      </w:r>
      <w:r w:rsidRPr="002C6937">
        <w:t xml:space="preserve">promítnuta </w:t>
      </w:r>
      <w:r w:rsidR="002C6937" w:rsidRPr="002C6937">
        <w:t>v</w:t>
      </w:r>
      <w:r w:rsidR="000D5173">
        <w:t xml:space="preserve"> úhradě </w:t>
      </w:r>
      <w:r w:rsidR="00017E6B">
        <w:t>roku 2016</w:t>
      </w:r>
      <w:r w:rsidR="002C6937" w:rsidRPr="002C6937">
        <w:t>.</w:t>
      </w:r>
    </w:p>
    <w:p w:rsidR="00345E6C" w:rsidRDefault="00345E6C" w:rsidP="006D56C3"/>
    <w:p w:rsidR="00345E6C" w:rsidRPr="00847B2F" w:rsidRDefault="00345E6C" w:rsidP="00345E6C">
      <w:pPr>
        <w:rPr>
          <w:u w:val="single"/>
        </w:rPr>
      </w:pPr>
      <w:r w:rsidRPr="00847B2F">
        <w:rPr>
          <w:u w:val="single"/>
        </w:rPr>
        <w:t>Kompenzace zrušeného poplatku za výdej léčivého přípravku na recept</w:t>
      </w:r>
    </w:p>
    <w:p w:rsidR="00345E6C" w:rsidRDefault="00345E6C" w:rsidP="00345E6C">
      <w:r w:rsidRPr="002C6937">
        <w:t>Analogicky s výše uvedenými je v seznamu výkonů signální výkon výdeje léčivého přípravku na recept. Za každý tento výkon náleží poskyto</w:t>
      </w:r>
      <w:r w:rsidRPr="0000721B">
        <w:t xml:space="preserve">vateli lékárenské péče úhrada </w:t>
      </w:r>
      <w:r w:rsidRPr="00E4237A">
        <w:t xml:space="preserve">13 Kč. Tento </w:t>
      </w:r>
      <w:r w:rsidRPr="00E4237A">
        <w:lastRenderedPageBreak/>
        <w:t>výkon může zdravotní pojišťovně vykázat nejvýše tolikrát, kolik receptů přijal v</w:t>
      </w:r>
      <w:r w:rsidRPr="00CC6FFF">
        <w:t> </w:t>
      </w:r>
      <w:r w:rsidRPr="00847B2F">
        <w:t>roce 2014</w:t>
      </w:r>
      <w:r w:rsidRPr="002C6937">
        <w:t xml:space="preserve"> od jejích pojištěnců.</w:t>
      </w:r>
    </w:p>
    <w:p w:rsidR="006D56C3" w:rsidRDefault="006D56C3" w:rsidP="006D56C3"/>
    <w:p w:rsidR="006D56C3" w:rsidRPr="00847B2F" w:rsidRDefault="006D56C3" w:rsidP="006D56C3">
      <w:pPr>
        <w:rPr>
          <w:u w:val="single"/>
        </w:rPr>
      </w:pPr>
      <w:r w:rsidRPr="00847B2F">
        <w:rPr>
          <w:u w:val="single"/>
        </w:rPr>
        <w:t>Pojem srovnatelného poskytovatele</w:t>
      </w:r>
    </w:p>
    <w:p w:rsidR="006D56C3" w:rsidRDefault="006D56C3" w:rsidP="006D56C3">
      <w:r>
        <w:t>V několika segmentech úhradové vyhlášky se používá pojem srovnatelného poskytovatele pro stanovení úhrady v případě, že poskytovatel v referenčním období neexistoval, případně ošetřil malé množství pojištěnců. Srovnatelného poskytovatele nelze definovat obecně vzhledem ke specifikům jednotlivých segmentů. Srovnatelným poskytovatelem je však myšlen takový poskytovatel, který poskytuje zdravotní služby v obdobném celkovém rozsahu a struktuře jako poskytovatel, pro kterého se ustanovení o srovnatelném poskytovateli používá.</w:t>
      </w:r>
    </w:p>
    <w:p w:rsidR="00AA72D1" w:rsidRDefault="00AA72D1" w:rsidP="006D56C3"/>
    <w:p w:rsidR="00AA72D1" w:rsidRPr="00AA72D1" w:rsidRDefault="00AA72D1" w:rsidP="006D56C3">
      <w:pPr>
        <w:rPr>
          <w:u w:val="single"/>
        </w:rPr>
      </w:pPr>
      <w:r w:rsidRPr="00AA72D1">
        <w:rPr>
          <w:u w:val="single"/>
        </w:rPr>
        <w:t>Převzetí praxe</w:t>
      </w:r>
    </w:p>
    <w:p w:rsidR="00AA72D1" w:rsidRPr="00345E6C" w:rsidRDefault="00AA72D1" w:rsidP="00BC5B22">
      <w:pPr>
        <w:pStyle w:val="Textkomente"/>
      </w:pPr>
      <w:r w:rsidRPr="00943F74">
        <w:rPr>
          <w:rFonts w:ascii="Times New Roman" w:hAnsi="Times New Roman"/>
          <w:sz w:val="24"/>
          <w:szCs w:val="24"/>
        </w:rPr>
        <w:t xml:space="preserve">Nově je blíže specifikován </w:t>
      </w:r>
      <w:r w:rsidRPr="00345E6C">
        <w:rPr>
          <w:rFonts w:ascii="Times New Roman" w:hAnsi="Times New Roman"/>
          <w:sz w:val="24"/>
          <w:szCs w:val="24"/>
        </w:rPr>
        <w:t>případ</w:t>
      </w:r>
      <w:r w:rsidR="00943F74">
        <w:rPr>
          <w:rFonts w:ascii="Times New Roman" w:hAnsi="Times New Roman"/>
          <w:sz w:val="24"/>
          <w:szCs w:val="24"/>
        </w:rPr>
        <w:t>,</w:t>
      </w:r>
      <w:r w:rsidR="00345E6C" w:rsidRPr="00345E6C">
        <w:rPr>
          <w:rFonts w:ascii="Times New Roman" w:hAnsi="Times New Roman"/>
          <w:sz w:val="24"/>
          <w:szCs w:val="24"/>
        </w:rPr>
        <w:t xml:space="preserve"> kdy v souladu s § 17 odst. 8 zákona došlo k převodu majetkových práv vztahujících se k posky</w:t>
      </w:r>
      <w:r w:rsidR="00943F74">
        <w:rPr>
          <w:rFonts w:ascii="Times New Roman" w:hAnsi="Times New Roman"/>
          <w:sz w:val="24"/>
          <w:szCs w:val="24"/>
        </w:rPr>
        <w:t>t</w:t>
      </w:r>
      <w:r w:rsidR="00345E6C" w:rsidRPr="00345E6C">
        <w:rPr>
          <w:rFonts w:ascii="Times New Roman" w:hAnsi="Times New Roman"/>
          <w:sz w:val="24"/>
          <w:szCs w:val="24"/>
        </w:rPr>
        <w:t xml:space="preserve">ování zdravotních služeb na jiného poskytovatele (dále jen </w:t>
      </w:r>
      <w:r w:rsidR="00345E6C">
        <w:rPr>
          <w:rFonts w:ascii="Times New Roman" w:hAnsi="Times New Roman"/>
          <w:sz w:val="24"/>
          <w:szCs w:val="24"/>
        </w:rPr>
        <w:t>„</w:t>
      </w:r>
      <w:r w:rsidRPr="00943F74">
        <w:rPr>
          <w:rFonts w:ascii="Times New Roman" w:hAnsi="Times New Roman"/>
          <w:sz w:val="24"/>
          <w:szCs w:val="24"/>
        </w:rPr>
        <w:t>převzetí praxe</w:t>
      </w:r>
      <w:r w:rsidR="00943F74">
        <w:rPr>
          <w:rFonts w:ascii="Times New Roman" w:hAnsi="Times New Roman"/>
          <w:sz w:val="24"/>
          <w:szCs w:val="24"/>
        </w:rPr>
        <w:t>“)</w:t>
      </w:r>
      <w:r w:rsidRPr="00943F74">
        <w:rPr>
          <w:rFonts w:ascii="Times New Roman" w:hAnsi="Times New Roman"/>
          <w:sz w:val="24"/>
          <w:szCs w:val="24"/>
        </w:rPr>
        <w:t xml:space="preserve"> a určení referenční úhrady. V případě, že poskytovatel převzal praxi, použijí se pro účely výpočtu celkové výše úhrady referenční hodnoty srovnatelných poskytovatelů. V praxi se stává, že lékař po převzetí praxe od staršího kolegy převezme i jeho</w:t>
      </w:r>
      <w:r w:rsidR="00891A01" w:rsidRPr="00943F74">
        <w:rPr>
          <w:rFonts w:ascii="Times New Roman" w:hAnsi="Times New Roman"/>
          <w:sz w:val="24"/>
          <w:szCs w:val="24"/>
        </w:rPr>
        <w:t xml:space="preserve"> referenční hodnoty, které </w:t>
      </w:r>
      <w:r w:rsidRPr="00943F74">
        <w:rPr>
          <w:rFonts w:ascii="Times New Roman" w:hAnsi="Times New Roman"/>
          <w:sz w:val="24"/>
          <w:szCs w:val="24"/>
        </w:rPr>
        <w:t xml:space="preserve">v mnohých případech nezohledňují strukturu a rozsah péče nového poskytovatele. Proto je v takových případech žádoucí nastavit referenční hodnoty podle srovnatelných poskytovatelů. </w:t>
      </w:r>
    </w:p>
    <w:p w:rsidR="005B6C55" w:rsidRDefault="005B6C55" w:rsidP="005B6C55"/>
    <w:p w:rsidR="005B6C55" w:rsidRPr="009B1180" w:rsidRDefault="005B6C55" w:rsidP="005B6C55">
      <w:pPr>
        <w:rPr>
          <w:u w:val="single"/>
        </w:rPr>
      </w:pPr>
      <w:r w:rsidRPr="009B1180">
        <w:rPr>
          <w:u w:val="single"/>
        </w:rPr>
        <w:t>K § 1</w:t>
      </w:r>
    </w:p>
    <w:p w:rsidR="005B6C55" w:rsidRDefault="005B6C55" w:rsidP="005B6C55">
      <w:r>
        <w:t xml:space="preserve">Definuje se okruh poskytovatelů, pro něž se vyhláškou stanoví hodnota bodu, výše úhrad  </w:t>
      </w:r>
      <w:r>
        <w:br/>
        <w:t xml:space="preserve">a regulační omezení. </w:t>
      </w:r>
    </w:p>
    <w:p w:rsidR="005B6C55" w:rsidRPr="000F63C1" w:rsidRDefault="005B6C55" w:rsidP="005B6C55"/>
    <w:p w:rsidR="005B6C55" w:rsidRPr="009B1180" w:rsidRDefault="005B6C55" w:rsidP="005B6C55">
      <w:pPr>
        <w:rPr>
          <w:u w:val="single"/>
        </w:rPr>
      </w:pPr>
      <w:r w:rsidRPr="009B1180">
        <w:rPr>
          <w:u w:val="single"/>
        </w:rPr>
        <w:t>K § 2</w:t>
      </w:r>
    </w:p>
    <w:p w:rsidR="005B6C55" w:rsidRDefault="005B6C55" w:rsidP="005B6C55">
      <w:r>
        <w:t xml:space="preserve">Definují se základní pojmy. </w:t>
      </w:r>
    </w:p>
    <w:p w:rsidR="00764DDB" w:rsidRDefault="00764DDB" w:rsidP="005B6C55"/>
    <w:p w:rsidR="005B6C55" w:rsidRDefault="005B6C55" w:rsidP="005B6C55">
      <w:r>
        <w:t xml:space="preserve">Referenčním obdobím se pro účely </w:t>
      </w:r>
      <w:r w:rsidR="00764DDB">
        <w:t>této</w:t>
      </w:r>
      <w:r w:rsidRPr="008C3CA5">
        <w:t xml:space="preserve"> vyhlášky</w:t>
      </w:r>
      <w:r>
        <w:t xml:space="preserve"> rozumí rok 201</w:t>
      </w:r>
      <w:r w:rsidR="00764DDB">
        <w:t>5, pokud není explicitně uvedeno jinak</w:t>
      </w:r>
      <w:r>
        <w:t>. Rok 201</w:t>
      </w:r>
      <w:r w:rsidR="00764DDB">
        <w:t>5</w:t>
      </w:r>
      <w:r>
        <w:t xml:space="preserve"> se stanoví z toho důvodu, že je to nejméně vzdálené období v minulosti, </w:t>
      </w:r>
      <w:r w:rsidR="00CB7093">
        <w:t xml:space="preserve">za něž </w:t>
      </w:r>
      <w:r w:rsidR="002C6937">
        <w:t xml:space="preserve">již </w:t>
      </w:r>
      <w:r>
        <w:t xml:space="preserve">proběhlo vykázání a vyúčtování poskytnutých hrazených služeb. </w:t>
      </w:r>
    </w:p>
    <w:p w:rsidR="00764DDB" w:rsidRDefault="005B6C55" w:rsidP="005B6C55">
      <w:r>
        <w:t>Hodnoceným obdobím se rozumí rok 201</w:t>
      </w:r>
      <w:r w:rsidR="00764DDB">
        <w:t>7</w:t>
      </w:r>
      <w:r>
        <w:t xml:space="preserve">. </w:t>
      </w:r>
    </w:p>
    <w:p w:rsidR="00764DDB" w:rsidRDefault="00764DDB" w:rsidP="005B6C55"/>
    <w:p w:rsidR="00764DDB" w:rsidRDefault="005B6C55" w:rsidP="005B6C55">
      <w:r>
        <w:t>Unikátním pojištěncem se rozumí pojištěnec ošetřený poskytovatelem alespoň jednou</w:t>
      </w:r>
      <w:r w:rsidR="00764DDB">
        <w:t>, a to zvlášť v každé odbornosti (jeden pacient ošetřený ve dvou odbornostech stejného poskytovatele se do počtu unikátních pojištěnců zahrne dvakrát)</w:t>
      </w:r>
      <w:r>
        <w:t>.</w:t>
      </w:r>
    </w:p>
    <w:p w:rsidR="00764BB3" w:rsidRDefault="00764BB3" w:rsidP="005B6C55"/>
    <w:p w:rsidR="00764DDB" w:rsidRDefault="00764DDB" w:rsidP="005B6C55">
      <w:r>
        <w:t>Globálním unikátním pojištěncem se rozumí pojištěnec ošetřený poskytovatelem alespoň jednou, a to v libovolné odbornosti (jeden pacient ošetřený ve dvou odbornostech stejného poskytovatele se do počtu globálních unikátních pojištěnců zahrne jednou).</w:t>
      </w:r>
    </w:p>
    <w:p w:rsidR="005B6C55" w:rsidRDefault="005B6C55" w:rsidP="005B6C55"/>
    <w:p w:rsidR="005B6C55" w:rsidRDefault="00CB7093" w:rsidP="005B6C55">
      <w:r>
        <w:t xml:space="preserve">Produkce referenčního období </w:t>
      </w:r>
      <w:r w:rsidR="002C6937">
        <w:t xml:space="preserve">v příloze č. 1, 3, 5 a 8 </w:t>
      </w:r>
      <w:r>
        <w:t>se přepoč</w:t>
      </w:r>
      <w:r w:rsidR="007E13F6">
        <w:t>ítá</w:t>
      </w:r>
      <w:r>
        <w:t xml:space="preserve"> podle </w:t>
      </w:r>
      <w:r w:rsidR="00BA2ACC">
        <w:t>s</w:t>
      </w:r>
      <w:r w:rsidR="00E43095">
        <w:t xml:space="preserve">eznamu </w:t>
      </w:r>
      <w:r>
        <w:t>výkonů platného k 1.</w:t>
      </w:r>
      <w:r w:rsidR="00692101">
        <w:t> </w:t>
      </w:r>
      <w:r w:rsidR="007F553E">
        <w:t>lednu</w:t>
      </w:r>
      <w:r>
        <w:t xml:space="preserve"> 201</w:t>
      </w:r>
      <w:r w:rsidR="00764DDB">
        <w:t>7</w:t>
      </w:r>
      <w:r w:rsidR="007F553E">
        <w:t>.</w:t>
      </w:r>
    </w:p>
    <w:p w:rsidR="005B6C55" w:rsidRPr="009B1180" w:rsidRDefault="005B6C55" w:rsidP="005B6C55">
      <w:pPr>
        <w:rPr>
          <w:u w:val="single"/>
        </w:rPr>
      </w:pPr>
      <w:r w:rsidRPr="009B1180">
        <w:rPr>
          <w:u w:val="single"/>
        </w:rPr>
        <w:lastRenderedPageBreak/>
        <w:t>K § 3</w:t>
      </w:r>
    </w:p>
    <w:p w:rsidR="005B6C55" w:rsidRDefault="005B6C55" w:rsidP="00E94093">
      <w:r>
        <w:t>Pro hrazené služby poskytované zahraničním pojištěncům</w:t>
      </w:r>
      <w:r w:rsidR="00905397">
        <w:t xml:space="preserve"> je úhrada stanovena ve stejné výši, </w:t>
      </w:r>
      <w:r w:rsidR="00E94093">
        <w:t xml:space="preserve">jako pro české pojištěnce ve smyslu </w:t>
      </w:r>
      <w:r w:rsidR="00E94093" w:rsidRPr="009F79DD">
        <w:t>§ 2 odst. 1 zákona č. 48/1997 Sb.</w:t>
      </w:r>
      <w:r w:rsidR="00E94093">
        <w:t xml:space="preserve"> Toto ustanovení vychází z </w:t>
      </w:r>
      <w:r w:rsidR="00E94093" w:rsidRPr="00F07982">
        <w:t xml:space="preserve">Nařízení Evropského parlamentu a Rady (ES) č. 883/2004, o koordinaci systémů sociálního zabezpečení, </w:t>
      </w:r>
      <w:r w:rsidR="00692101">
        <w:t>v platném znění</w:t>
      </w:r>
      <w:r w:rsidR="00905397">
        <w:t>, podle něhož musí být</w:t>
      </w:r>
      <w:r w:rsidR="00E94093">
        <w:t xml:space="preserve"> při poskytování hrazených služeb zahraničním pojištěncům </w:t>
      </w:r>
      <w:r w:rsidR="00905397">
        <w:t xml:space="preserve">stanoveny </w:t>
      </w:r>
      <w:r w:rsidR="00E94093">
        <w:t>stejné podmínky</w:t>
      </w:r>
      <w:r w:rsidR="00905397">
        <w:t>,</w:t>
      </w:r>
      <w:r w:rsidR="00E94093">
        <w:t xml:space="preserve"> jako tuzemským pojištěncům. </w:t>
      </w:r>
    </w:p>
    <w:p w:rsidR="005B6C55" w:rsidRDefault="005B6C55" w:rsidP="005B6C55"/>
    <w:p w:rsidR="005B6C55" w:rsidRPr="009B1180" w:rsidRDefault="005B6C55" w:rsidP="005B6C55">
      <w:pPr>
        <w:rPr>
          <w:u w:val="single"/>
        </w:rPr>
      </w:pPr>
      <w:r w:rsidRPr="009B1180">
        <w:rPr>
          <w:u w:val="single"/>
        </w:rPr>
        <w:t>K § 4 a příloze 1</w:t>
      </w:r>
    </w:p>
    <w:p w:rsidR="005B6C55" w:rsidRDefault="005B6C55" w:rsidP="005B6C55">
      <w:r>
        <w:t>S</w:t>
      </w:r>
      <w:r w:rsidRPr="000F63C1">
        <w:t xml:space="preserve">tanoví </w:t>
      </w:r>
      <w:r>
        <w:t xml:space="preserve">se </w:t>
      </w:r>
      <w:r w:rsidRPr="000F63C1">
        <w:t xml:space="preserve">hodnota bodu, výše úhrad hrazených služeb a regulační omezení pro hrazené služby poskytované poskytovateli </w:t>
      </w:r>
      <w:r>
        <w:t xml:space="preserve">lůžkové péče, </w:t>
      </w:r>
      <w:r w:rsidRPr="000F63C1">
        <w:t>následné lůžkové péče, dlouhodobé lůžkové péče a zvláštní lůžkové péče</w:t>
      </w:r>
      <w:r>
        <w:t>.</w:t>
      </w:r>
    </w:p>
    <w:p w:rsidR="005B6C55" w:rsidRDefault="005B6C55" w:rsidP="005B6C55"/>
    <w:p w:rsidR="005B6C55" w:rsidRPr="003A5DAE" w:rsidRDefault="005B6C55" w:rsidP="002205AC">
      <w:pPr>
        <w:rPr>
          <w:u w:val="single"/>
        </w:rPr>
      </w:pPr>
      <w:r w:rsidRPr="003A5DAE">
        <w:rPr>
          <w:u w:val="single"/>
        </w:rPr>
        <w:t>K </w:t>
      </w:r>
      <w:r w:rsidRPr="009B1180">
        <w:rPr>
          <w:u w:val="single"/>
        </w:rPr>
        <w:t xml:space="preserve">§ 4 a </w:t>
      </w:r>
      <w:r w:rsidRPr="003A5DAE">
        <w:rPr>
          <w:u w:val="single"/>
        </w:rPr>
        <w:t>příloze 1, písmenu A, bodu 2</w:t>
      </w:r>
      <w:r w:rsidR="00C05544">
        <w:rPr>
          <w:u w:val="single"/>
        </w:rPr>
        <w:t xml:space="preserve"> a příloze 9</w:t>
      </w:r>
    </w:p>
    <w:p w:rsidR="005B6C55" w:rsidRDefault="005B6C55" w:rsidP="00847B2F">
      <w:r>
        <w:t>Individuálně smluvně sjednaná složka úhrady sestává z</w:t>
      </w:r>
      <w:r w:rsidR="003517E3">
        <w:t xml:space="preserve"> individuálně </w:t>
      </w:r>
      <w:r w:rsidR="001D67DB">
        <w:t xml:space="preserve">nasmlouvané úhrady některých DRG </w:t>
      </w:r>
      <w:r w:rsidR="00C678DE" w:rsidRPr="003A6BFC">
        <w:t>(Diagnos</w:t>
      </w:r>
      <w:r w:rsidR="00C678DE" w:rsidRPr="004C2ABD">
        <w:t>is-</w:t>
      </w:r>
      <w:r w:rsidR="00C678DE" w:rsidRPr="00552CFF">
        <w:t>Related Groups</w:t>
      </w:r>
      <w:r w:rsidR="00C678DE">
        <w:t xml:space="preserve">) </w:t>
      </w:r>
      <w:r w:rsidR="001D67DB">
        <w:t>bazí</w:t>
      </w:r>
      <w:r w:rsidR="00EB300C">
        <w:t xml:space="preserve"> - </w:t>
      </w:r>
      <w:r w:rsidR="00536B03">
        <w:t>střední úroveň</w:t>
      </w:r>
      <w:r w:rsidR="001D67DB" w:rsidRPr="001D67DB">
        <w:t xml:space="preserve"> v klasifikaci DRG</w:t>
      </w:r>
      <w:r w:rsidR="00536B03" w:rsidRPr="00536B03">
        <w:t xml:space="preserve">, která </w:t>
      </w:r>
      <w:r w:rsidR="00EB300C">
        <w:t>je složena z případů</w:t>
      </w:r>
      <w:r w:rsidR="00536B03" w:rsidRPr="00536B03">
        <w:t xml:space="preserve"> s podobnými příznaky, postupy a výsledky léčby</w:t>
      </w:r>
      <w:r w:rsidR="00EB300C">
        <w:t xml:space="preserve"> -</w:t>
      </w:r>
      <w:r w:rsidR="00536B03">
        <w:t xml:space="preserve"> </w:t>
      </w:r>
      <w:r w:rsidR="00C37781">
        <w:t>(dále jen</w:t>
      </w:r>
      <w:r>
        <w:t xml:space="preserve"> „balíčk</w:t>
      </w:r>
      <w:r w:rsidR="003517E3">
        <w:t>y</w:t>
      </w:r>
      <w:r>
        <w:t>“</w:t>
      </w:r>
      <w:r w:rsidR="00C37781">
        <w:t>)</w:t>
      </w:r>
      <w:r>
        <w:t xml:space="preserve"> a z úhrady </w:t>
      </w:r>
      <w:r w:rsidR="003517E3">
        <w:t>léčivých přípravků a potravin</w:t>
      </w:r>
      <w:r w:rsidR="003517E3" w:rsidRPr="007E13F6">
        <w:t xml:space="preserve"> pro zvláštní lékařské účely označen</w:t>
      </w:r>
      <w:r w:rsidR="00C37781">
        <w:t>ých</w:t>
      </w:r>
      <w:r w:rsidR="003517E3" w:rsidRPr="007E13F6">
        <w:t xml:space="preserve"> symbolem „S“</w:t>
      </w:r>
      <w:r w:rsidR="00C678DE">
        <w:t xml:space="preserve"> </w:t>
      </w:r>
      <w:r w:rsidR="00C37781">
        <w:t>(použití při poskytování zdravotní péče na specializovaných pracovištích)</w:t>
      </w:r>
      <w:r w:rsidR="008F68B4">
        <w:t xml:space="preserve">, </w:t>
      </w:r>
      <w:r w:rsidR="003517E3" w:rsidRPr="007E13F6">
        <w:t>podle § 39 odst. 1 vyhlášky č. 376/2011 Sb., kterou se provádějí některá ustanovení zákona o veřejném zdravotním pojištění</w:t>
      </w:r>
      <w:r w:rsidR="003517E3">
        <w:t xml:space="preserve"> </w:t>
      </w:r>
      <w:r w:rsidR="00C37781">
        <w:t>(dále jen</w:t>
      </w:r>
      <w:r>
        <w:t xml:space="preserve"> „centrov</w:t>
      </w:r>
      <w:r w:rsidR="003517E3">
        <w:t>é</w:t>
      </w:r>
      <w:r>
        <w:t xml:space="preserve"> lék</w:t>
      </w:r>
      <w:r w:rsidR="003517E3">
        <w:t>y</w:t>
      </w:r>
      <w:r>
        <w:t>“</w:t>
      </w:r>
      <w:r w:rsidR="00C37781">
        <w:t>).</w:t>
      </w:r>
      <w:r w:rsidR="006E5881">
        <w:t xml:space="preserve"> </w:t>
      </w:r>
    </w:p>
    <w:p w:rsidR="005B6C55" w:rsidRDefault="005B6C55" w:rsidP="005B6C55">
      <w:pPr>
        <w:rPr>
          <w:u w:val="single"/>
        </w:rPr>
      </w:pPr>
    </w:p>
    <w:p w:rsidR="005B6C55" w:rsidRPr="003A5DAE" w:rsidRDefault="005B6C55" w:rsidP="00847B2F">
      <w:pPr>
        <w:rPr>
          <w:u w:val="single"/>
        </w:rPr>
      </w:pPr>
      <w:r>
        <w:rPr>
          <w:u w:val="single"/>
        </w:rPr>
        <w:t>K bodu 2.1 - b</w:t>
      </w:r>
      <w:r w:rsidRPr="003A5DAE">
        <w:rPr>
          <w:u w:val="single"/>
        </w:rPr>
        <w:t>alíčky</w:t>
      </w:r>
    </w:p>
    <w:p w:rsidR="00E67813" w:rsidRDefault="0000721B" w:rsidP="00847B2F">
      <w:r>
        <w:t>Balíčky pro rok 2017 budou zahrnovat implantace a výměny kardioverterů, kardiostimulátorů a stenty</w:t>
      </w:r>
      <w:r w:rsidR="00536B03">
        <w:t xml:space="preserve"> a dále některé další níže uvedené zdravotní služby, </w:t>
      </w:r>
      <w:r w:rsidR="004E2C48">
        <w:t>pokud se na nich poskytovatel a </w:t>
      </w:r>
      <w:r w:rsidR="00536B03">
        <w:t>zdravotní pojišťovna dohodnou</w:t>
      </w:r>
      <w:r>
        <w:t xml:space="preserve">. O výši úhrady a případně o počtu </w:t>
      </w:r>
      <w:r w:rsidR="00536B03">
        <w:t>implantací a výměn kardioverterů, kardiostimulátorů a stentů</w:t>
      </w:r>
      <w:r>
        <w:t xml:space="preserve"> se dohodne poskytovatel a zdravotní pojišťovna individuálně. Pokud mezi nimi nedojde k dohodě, stanoví vyhláška, že zdravotní pojišťovna p</w:t>
      </w:r>
      <w:r w:rsidR="007E13F6">
        <w:t>oskytne poskytovateli za každý</w:t>
      </w:r>
      <w:r>
        <w:t xml:space="preserve"> </w:t>
      </w:r>
      <w:r w:rsidR="007E13F6">
        <w:t>případ</w:t>
      </w:r>
      <w:r>
        <w:t xml:space="preserve"> úhradu ve výši průměrné úhrady </w:t>
      </w:r>
      <w:r w:rsidR="007E13F6">
        <w:t>za jeden případ</w:t>
      </w:r>
      <w:r w:rsidR="004E2C48">
        <w:t xml:space="preserve"> v </w:t>
      </w:r>
      <w:r>
        <w:t xml:space="preserve">roce 2016 násobené </w:t>
      </w:r>
      <w:r w:rsidR="000D5D93">
        <w:t xml:space="preserve">změnovým indexem </w:t>
      </w:r>
      <w:r>
        <w:t>podle poklesu/růstu ceny materiálu a podle potřebného navýšení k pokrytí rostoucích osobních nákladů.</w:t>
      </w:r>
    </w:p>
    <w:p w:rsidR="00E67813" w:rsidRDefault="00E67813" w:rsidP="00847B2F"/>
    <w:p w:rsidR="0000721B" w:rsidRDefault="00E67813" w:rsidP="00847B2F">
      <w:r>
        <w:t>V případě kardiostimulátorů a kardiovertrů je tento index nastaven ve výši 1,03 a v případě stentů na 0,99</w:t>
      </w:r>
      <w:r w:rsidR="000D5D93">
        <w:t xml:space="preserve">. Maximální úhrada, kterou </w:t>
      </w:r>
      <w:r w:rsidR="00E22BF0">
        <w:t xml:space="preserve">zdravotní </w:t>
      </w:r>
      <w:r w:rsidRPr="00C74564">
        <w:t xml:space="preserve">pojišťovna poskytovateli </w:t>
      </w:r>
      <w:r>
        <w:t>uhradí</w:t>
      </w:r>
      <w:r w:rsidRPr="00C74564">
        <w:t xml:space="preserve">, se </w:t>
      </w:r>
      <w:r>
        <w:t xml:space="preserve">v případě kardioverterů a kardiostimulátorů vypočte jako 103 % úhrady dané skupině v roce 2015 a v případě </w:t>
      </w:r>
      <w:r>
        <w:rPr>
          <w:rFonts w:eastAsia="Calibri"/>
          <w:lang w:eastAsia="en-US"/>
        </w:rPr>
        <w:t xml:space="preserve">stentů se </w:t>
      </w:r>
      <w:r w:rsidRPr="00C74564">
        <w:t xml:space="preserve">vypočte jako </w:t>
      </w:r>
      <w:r>
        <w:t>99</w:t>
      </w:r>
      <w:r w:rsidRPr="00C74564">
        <w:t xml:space="preserve"> %</w:t>
      </w:r>
      <w:r>
        <w:t xml:space="preserve"> úhrady dané skupině v roce 2015</w:t>
      </w:r>
      <w:r w:rsidRPr="00C74564">
        <w:t>.</w:t>
      </w:r>
      <w:r>
        <w:t xml:space="preserve"> Ke stanovení této výše úhrady přistupuje ministerstvo s ohledem na navýšení finančních prostředků v souvislosti se zvyšováním tarifních platů zdravotníků o 10 %, ale zároveň také s ohledem na snižování cen materiálů používaných v souvislosti s</w:t>
      </w:r>
      <w:r w:rsidR="00536B03">
        <w:t xml:space="preserve"> poskytováním těchto zdravotních služeb.</w:t>
      </w:r>
      <w:r w:rsidR="008F68B4">
        <w:t> </w:t>
      </w:r>
    </w:p>
    <w:p w:rsidR="007E13F6" w:rsidRDefault="007E13F6" w:rsidP="00847B2F"/>
    <w:p w:rsidR="002D4E28" w:rsidRDefault="00407B8A" w:rsidP="00847B2F">
      <w:r>
        <w:t>Dále individuálně smluvně sjednaná složka úhrady může zahrnovat další zdravotní služby</w:t>
      </w:r>
      <w:r w:rsidR="0000721B">
        <w:t xml:space="preserve">, které mají vyšší náklady z důvodu </w:t>
      </w:r>
      <w:r w:rsidR="0000721B" w:rsidRPr="00150C09">
        <w:t>nízké schopnosti relativních vah predikovat náklady</w:t>
      </w:r>
      <w:r w:rsidR="007E13F6">
        <w:t xml:space="preserve">. </w:t>
      </w:r>
      <w:r w:rsidR="00095822">
        <w:t>Pokud se zdravotní pojiš</w:t>
      </w:r>
      <w:r w:rsidR="008A4537">
        <w:t>ťovna s poskytovatelem nedohodnou</w:t>
      </w:r>
      <w:r w:rsidR="00095822">
        <w:t xml:space="preserve"> na výši úhrady níže zmíněných zdravotních služeb, budou tyto případy zahrnuty v úhradě formou případového paušálu.</w:t>
      </w:r>
    </w:p>
    <w:p w:rsidR="002D4E28" w:rsidRDefault="002D4E28" w:rsidP="002D4E28">
      <w:pPr>
        <w:pStyle w:val="Odstavecseseznamem"/>
        <w:numPr>
          <w:ilvl w:val="0"/>
          <w:numId w:val="41"/>
        </w:numPr>
      </w:pPr>
      <w:r w:rsidRPr="00400F2C">
        <w:lastRenderedPageBreak/>
        <w:t xml:space="preserve">Jedná se </w:t>
      </w:r>
      <w:r w:rsidR="00E67813" w:rsidRPr="00400F2C">
        <w:t xml:space="preserve">o </w:t>
      </w:r>
      <w:r w:rsidRPr="00400F2C">
        <w:t xml:space="preserve">hrazené služby zařazené podle </w:t>
      </w:r>
      <w:r w:rsidR="009D07FC">
        <w:t>Klasifikace hospitalizovaných</w:t>
      </w:r>
      <w:r w:rsidR="00EB300C">
        <w:t xml:space="preserve"> pacientů dle sdělení ČSÚ č. </w:t>
      </w:r>
      <w:r w:rsidR="00861CB0">
        <w:t>313/</w:t>
      </w:r>
      <w:r w:rsidR="00EB300C">
        <w:t xml:space="preserve">2016 Sb. </w:t>
      </w:r>
      <w:r w:rsidR="009D07FC">
        <w:t>(dále jen „</w:t>
      </w:r>
      <w:r w:rsidRPr="00400F2C">
        <w:t>Klasifikace</w:t>
      </w:r>
      <w:r w:rsidR="009D07FC">
        <w:t>“)</w:t>
      </w:r>
      <w:r w:rsidR="00400F2C">
        <w:t xml:space="preserve"> </w:t>
      </w:r>
      <w:r w:rsidRPr="00594808">
        <w:t xml:space="preserve">do </w:t>
      </w:r>
      <w:r w:rsidR="000D5D93">
        <w:t xml:space="preserve">DRG </w:t>
      </w:r>
      <w:r w:rsidRPr="00594808">
        <w:t>bazí č. 0001, 0002, 0003, 0014</w:t>
      </w:r>
      <w:r>
        <w:t xml:space="preserve">, 0204, 0802, 0804, 0818 a 1101, tzn. </w:t>
      </w:r>
      <w:r w:rsidR="000D5D93">
        <w:t xml:space="preserve">DRG </w:t>
      </w:r>
      <w:r>
        <w:t xml:space="preserve">baze, které byly </w:t>
      </w:r>
      <w:r w:rsidR="00E67813">
        <w:t>zařazeny do individuálně sjednané složky úhrady</w:t>
      </w:r>
      <w:r w:rsidR="0097096B">
        <w:t xml:space="preserve"> v roce 2016</w:t>
      </w:r>
      <w:r w:rsidR="00CF517E">
        <w:t>.</w:t>
      </w:r>
    </w:p>
    <w:tbl>
      <w:tblPr>
        <w:tblW w:w="8447" w:type="dxa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7171"/>
      </w:tblGrid>
      <w:tr w:rsidR="0097096B" w:rsidRPr="00896083" w:rsidTr="00AC4253">
        <w:trPr>
          <w:trHeight w:val="57"/>
        </w:trPr>
        <w:tc>
          <w:tcPr>
            <w:tcW w:w="1276" w:type="dxa"/>
            <w:shd w:val="clear" w:color="auto" w:fill="auto"/>
            <w:vAlign w:val="center"/>
            <w:hideMark/>
          </w:tcPr>
          <w:p w:rsidR="0097096B" w:rsidRPr="00896083" w:rsidRDefault="0097096B" w:rsidP="0086315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</w:rPr>
              <w:t>DRG baze</w:t>
            </w:r>
          </w:p>
        </w:tc>
        <w:tc>
          <w:tcPr>
            <w:tcW w:w="7171" w:type="dxa"/>
            <w:shd w:val="clear" w:color="auto" w:fill="auto"/>
            <w:vAlign w:val="center"/>
            <w:hideMark/>
          </w:tcPr>
          <w:p w:rsidR="0097096B" w:rsidRPr="00896083" w:rsidRDefault="0097096B" w:rsidP="0086315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896083">
              <w:rPr>
                <w:b/>
                <w:bCs/>
                <w:color w:val="000000"/>
                <w:sz w:val="22"/>
              </w:rPr>
              <w:t>Název</w:t>
            </w:r>
          </w:p>
        </w:tc>
      </w:tr>
      <w:tr w:rsidR="0097096B" w:rsidRPr="005F3B12" w:rsidTr="00AC4253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97096B" w:rsidRPr="00896083" w:rsidRDefault="0097096B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0001</w:t>
            </w:r>
          </w:p>
        </w:tc>
        <w:tc>
          <w:tcPr>
            <w:tcW w:w="7171" w:type="dxa"/>
            <w:shd w:val="clear" w:color="auto" w:fill="auto"/>
            <w:noWrap/>
            <w:vAlign w:val="center"/>
          </w:tcPr>
          <w:p w:rsidR="0097096B" w:rsidRPr="00896083" w:rsidRDefault="0097096B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TRANSPLANTACE SRDCE A/NEBO PLIC</w:t>
            </w:r>
          </w:p>
        </w:tc>
      </w:tr>
      <w:tr w:rsidR="0097096B" w:rsidRPr="005F3B12" w:rsidTr="00AC4253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97096B" w:rsidRPr="00896083" w:rsidRDefault="0097096B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0002</w:t>
            </w:r>
          </w:p>
        </w:tc>
        <w:tc>
          <w:tcPr>
            <w:tcW w:w="7171" w:type="dxa"/>
            <w:shd w:val="clear" w:color="auto" w:fill="auto"/>
            <w:noWrap/>
            <w:vAlign w:val="center"/>
          </w:tcPr>
          <w:p w:rsidR="0097096B" w:rsidRPr="00896083" w:rsidRDefault="0097096B" w:rsidP="008631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TRANSPLANTACE JATER</w:t>
            </w:r>
          </w:p>
        </w:tc>
      </w:tr>
      <w:tr w:rsidR="0097096B" w:rsidRPr="005F3B12" w:rsidTr="00AC4253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97096B" w:rsidRPr="00896083" w:rsidRDefault="0097096B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0014</w:t>
            </w:r>
          </w:p>
        </w:tc>
        <w:tc>
          <w:tcPr>
            <w:tcW w:w="7171" w:type="dxa"/>
            <w:shd w:val="clear" w:color="auto" w:fill="auto"/>
            <w:noWrap/>
            <w:vAlign w:val="center"/>
          </w:tcPr>
          <w:p w:rsidR="0097096B" w:rsidRPr="00896083" w:rsidRDefault="0097096B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AUTOLOGNÍ TRANSPLANTACE KOSTNÍ DŘENĚ</w:t>
            </w:r>
          </w:p>
        </w:tc>
      </w:tr>
      <w:tr w:rsidR="0097096B" w:rsidRPr="005F3B12" w:rsidTr="00AC4253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97096B" w:rsidRPr="00896083" w:rsidRDefault="0097096B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0204</w:t>
            </w:r>
          </w:p>
        </w:tc>
        <w:tc>
          <w:tcPr>
            <w:tcW w:w="7171" w:type="dxa"/>
            <w:shd w:val="clear" w:color="auto" w:fill="auto"/>
            <w:noWrap/>
            <w:vAlign w:val="center"/>
          </w:tcPr>
          <w:p w:rsidR="0097096B" w:rsidRPr="00896083" w:rsidRDefault="0097096B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VÝKONY NA ČOČCE S NEBO BEZ VITREKTOMIE</w:t>
            </w:r>
          </w:p>
        </w:tc>
      </w:tr>
      <w:tr w:rsidR="0097096B" w:rsidRPr="005F3B12" w:rsidTr="00AC4253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97096B" w:rsidRPr="00896083" w:rsidRDefault="0097096B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0802</w:t>
            </w:r>
          </w:p>
        </w:tc>
        <w:tc>
          <w:tcPr>
            <w:tcW w:w="7171" w:type="dxa"/>
            <w:shd w:val="clear" w:color="auto" w:fill="auto"/>
            <w:noWrap/>
            <w:vAlign w:val="center"/>
          </w:tcPr>
          <w:p w:rsidR="0097096B" w:rsidRPr="00896083" w:rsidRDefault="0097096B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BILATERÁLNÍ A VÍCENÁSOBNÉ VELKÉ VÝKONY NA KLOUBECH DOLNÍCH KONČETIN</w:t>
            </w:r>
          </w:p>
        </w:tc>
      </w:tr>
      <w:tr w:rsidR="0097096B" w:rsidRPr="005F3B12" w:rsidTr="00AC4253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97096B" w:rsidRPr="00896083" w:rsidRDefault="0097096B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0804</w:t>
            </w:r>
          </w:p>
        </w:tc>
        <w:tc>
          <w:tcPr>
            <w:tcW w:w="7171" w:type="dxa"/>
            <w:shd w:val="clear" w:color="auto" w:fill="auto"/>
            <w:noWrap/>
            <w:vAlign w:val="center"/>
          </w:tcPr>
          <w:p w:rsidR="0097096B" w:rsidRPr="00896083" w:rsidRDefault="0097096B" w:rsidP="00863159">
            <w:pPr>
              <w:jc w:val="left"/>
              <w:rPr>
                <w:sz w:val="22"/>
                <w:szCs w:val="22"/>
              </w:rPr>
            </w:pPr>
            <w:r w:rsidRPr="00142C96">
              <w:rPr>
                <w:sz w:val="22"/>
                <w:szCs w:val="22"/>
              </w:rPr>
              <w:t>TOTÁLNÍ ENDOPROTÉZA KYČLE, LOKTE, ZÁPĚSTÍ, TOTÁLNÍ A REVERZNÍ ENDOPROTÉZA RAMENE</w:t>
            </w:r>
            <w:r w:rsidRPr="00142C96" w:rsidDel="00142C96">
              <w:rPr>
                <w:sz w:val="22"/>
                <w:szCs w:val="22"/>
              </w:rPr>
              <w:t xml:space="preserve"> </w:t>
            </w:r>
            <w:r w:rsidRPr="00896083">
              <w:rPr>
                <w:sz w:val="22"/>
                <w:szCs w:val="22"/>
              </w:rPr>
              <w:t>BEZ CC</w:t>
            </w:r>
          </w:p>
        </w:tc>
      </w:tr>
      <w:tr w:rsidR="0097096B" w:rsidRPr="005F3B12" w:rsidTr="00AC4253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97096B" w:rsidRPr="00896083" w:rsidRDefault="0097096B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0818</w:t>
            </w:r>
          </w:p>
        </w:tc>
        <w:tc>
          <w:tcPr>
            <w:tcW w:w="7171" w:type="dxa"/>
            <w:shd w:val="clear" w:color="auto" w:fill="auto"/>
            <w:noWrap/>
            <w:vAlign w:val="center"/>
          </w:tcPr>
          <w:p w:rsidR="0097096B" w:rsidRPr="00896083" w:rsidRDefault="0097096B" w:rsidP="00863159">
            <w:pPr>
              <w:jc w:val="left"/>
              <w:rPr>
                <w:sz w:val="22"/>
                <w:szCs w:val="22"/>
              </w:rPr>
            </w:pPr>
            <w:r w:rsidRPr="00142C96">
              <w:rPr>
                <w:sz w:val="22"/>
                <w:szCs w:val="22"/>
              </w:rPr>
              <w:t>TOTÁLNÍ ENDOPROTÉZA KOLENA, HLEZNA</w:t>
            </w:r>
            <w:r w:rsidRPr="00142C96" w:rsidDel="00142C96">
              <w:rPr>
                <w:sz w:val="22"/>
                <w:szCs w:val="22"/>
              </w:rPr>
              <w:t xml:space="preserve"> </w:t>
            </w:r>
            <w:r w:rsidRPr="00896083">
              <w:rPr>
                <w:sz w:val="22"/>
                <w:szCs w:val="22"/>
              </w:rPr>
              <w:t>BEZ CC</w:t>
            </w:r>
          </w:p>
        </w:tc>
      </w:tr>
      <w:tr w:rsidR="0097096B" w:rsidRPr="005F3B12" w:rsidTr="00AC4253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97096B" w:rsidRPr="00896083" w:rsidRDefault="0097096B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1101</w:t>
            </w:r>
          </w:p>
        </w:tc>
        <w:tc>
          <w:tcPr>
            <w:tcW w:w="7171" w:type="dxa"/>
            <w:shd w:val="clear" w:color="auto" w:fill="auto"/>
            <w:noWrap/>
            <w:vAlign w:val="center"/>
          </w:tcPr>
          <w:p w:rsidR="0097096B" w:rsidRPr="00896083" w:rsidRDefault="0097096B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TRANSPLANTACE LEDVIN BEZ CC</w:t>
            </w:r>
          </w:p>
        </w:tc>
      </w:tr>
    </w:tbl>
    <w:p w:rsidR="00105B2A" w:rsidRDefault="00105B2A" w:rsidP="00AC4253">
      <w:pPr>
        <w:pStyle w:val="Odstavecseseznamem"/>
        <w:ind w:left="720"/>
      </w:pPr>
    </w:p>
    <w:p w:rsidR="002D4E28" w:rsidRDefault="002D4E28" w:rsidP="002D4E28">
      <w:pPr>
        <w:pStyle w:val="Odstavecseseznamem"/>
        <w:numPr>
          <w:ilvl w:val="0"/>
          <w:numId w:val="41"/>
        </w:numPr>
      </w:pPr>
      <w:r>
        <w:t xml:space="preserve">Zdravotní pojišťovna se dále může dohodnout s poskytovatelem, který má statut centra vysoce specializované péče na rozdílné výši a způsobu úhrady hrazených služeb zařazených podle Klasifikace do </w:t>
      </w:r>
      <w:r w:rsidR="000D5D93">
        <w:t xml:space="preserve">DRG </w:t>
      </w:r>
      <w:r w:rsidR="008A4537">
        <w:t xml:space="preserve">bazí č. 2250 – 2255 </w:t>
      </w:r>
      <w:r w:rsidR="0097096B">
        <w:t>(péče popáleninové medicíny)</w:t>
      </w:r>
      <w:r>
        <w:t xml:space="preserve">. </w:t>
      </w:r>
      <w:r w:rsidRPr="00150C09">
        <w:t xml:space="preserve">Cílem je </w:t>
      </w:r>
      <w:r w:rsidR="00E67813">
        <w:t>možnost navýšit úhradu centrům</w:t>
      </w:r>
      <w:r w:rsidRPr="00150C09">
        <w:t xml:space="preserve"> vysoce specializované péče</w:t>
      </w:r>
      <w:r>
        <w:t>, které mají vyšší náklady, než je zohledněno ve výpočtu relativních vah</w:t>
      </w:r>
      <w:r w:rsidRPr="00150C09">
        <w:t>.</w:t>
      </w:r>
    </w:p>
    <w:p w:rsidR="002D4E28" w:rsidRDefault="002D4E28" w:rsidP="00EB300C">
      <w:pPr>
        <w:pStyle w:val="Odstavecseseznamem"/>
        <w:numPr>
          <w:ilvl w:val="0"/>
          <w:numId w:val="41"/>
        </w:numPr>
      </w:pPr>
      <w:r w:rsidRPr="0056559A">
        <w:t>Obdobně</w:t>
      </w:r>
      <w:r>
        <w:t xml:space="preserve">, </w:t>
      </w:r>
      <w:r w:rsidRPr="0056559A">
        <w:t>zdravotní pojišťovn</w:t>
      </w:r>
      <w:r>
        <w:t>a</w:t>
      </w:r>
      <w:r w:rsidRPr="0056559A">
        <w:t xml:space="preserve"> </w:t>
      </w:r>
      <w:r>
        <w:t>může zohlednit vyšší náklady a</w:t>
      </w:r>
      <w:r w:rsidRPr="0056559A">
        <w:t xml:space="preserve"> </w:t>
      </w:r>
      <w:r>
        <w:t>dohodnout si s</w:t>
      </w:r>
      <w:r w:rsidR="00583CB9">
        <w:t> </w:t>
      </w:r>
      <w:r w:rsidRPr="0056559A">
        <w:t>poskytovatelem rozdíln</w:t>
      </w:r>
      <w:r>
        <w:t>ou</w:t>
      </w:r>
      <w:r w:rsidRPr="0056559A">
        <w:t xml:space="preserve"> výš</w:t>
      </w:r>
      <w:r>
        <w:t>i</w:t>
      </w:r>
      <w:r w:rsidRPr="0056559A">
        <w:t xml:space="preserve"> a způsob úhrady hrazených služeb zařazených podle Klasifikace do </w:t>
      </w:r>
      <w:r w:rsidR="000D5D93">
        <w:t xml:space="preserve">DRG </w:t>
      </w:r>
      <w:r w:rsidRPr="0056559A">
        <w:t xml:space="preserve">bazí č. </w:t>
      </w:r>
      <w:r w:rsidR="00EB300C" w:rsidRPr="00EB300C">
        <w:t>0138 až 0140</w:t>
      </w:r>
      <w:r w:rsidR="00EB300C">
        <w:t xml:space="preserve">, </w:t>
      </w:r>
      <w:r w:rsidR="00EB300C" w:rsidRPr="00EB300C">
        <w:t>0638,</w:t>
      </w:r>
      <w:r w:rsidR="00EB300C">
        <w:t xml:space="preserve"> </w:t>
      </w:r>
      <w:r w:rsidR="00EB300C" w:rsidRPr="00EB300C">
        <w:t>0733</w:t>
      </w:r>
      <w:r w:rsidR="00EB300C">
        <w:t xml:space="preserve">, </w:t>
      </w:r>
      <w:r w:rsidR="00EB300C" w:rsidRPr="0056559A">
        <w:t>1801 až 1834</w:t>
      </w:r>
      <w:r w:rsidR="00EB300C" w:rsidRPr="00EB300C">
        <w:t xml:space="preserve">, </w:t>
      </w:r>
      <w:r w:rsidR="00EB300C" w:rsidRPr="0056559A">
        <w:t>2401 až 2435</w:t>
      </w:r>
      <w:r w:rsidR="00EB300C">
        <w:t>.</w:t>
      </w:r>
      <w:r w:rsidRPr="0056559A">
        <w:t xml:space="preserve"> Cílem tohoto opatření je </w:t>
      </w:r>
      <w:r w:rsidR="00E67813">
        <w:t xml:space="preserve">umožnit </w:t>
      </w:r>
      <w:r w:rsidRPr="0056559A">
        <w:t>zlepš</w:t>
      </w:r>
      <w:r w:rsidR="008A4537">
        <w:t>ení</w:t>
      </w:r>
      <w:r w:rsidRPr="0056559A">
        <w:t xml:space="preserve"> zajištění péče o infekční pacienty a </w:t>
      </w:r>
      <w:r w:rsidR="00E67813">
        <w:t>lépe řešit</w:t>
      </w:r>
      <w:r w:rsidR="008A4537">
        <w:t xml:space="preserve"> mimořádné</w:t>
      </w:r>
      <w:r w:rsidR="00095822">
        <w:t xml:space="preserve"> situace</w:t>
      </w:r>
      <w:r w:rsidRPr="0056559A">
        <w:t xml:space="preserve"> včetně připravenosti na ně</w:t>
      </w:r>
      <w:r w:rsidR="008A4537">
        <w:t>, tedy zohlednit vyšší fixní náklady</w:t>
      </w:r>
      <w:r w:rsidRPr="0056559A">
        <w:t>.</w:t>
      </w:r>
    </w:p>
    <w:tbl>
      <w:tblPr>
        <w:tblW w:w="8363" w:type="dxa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7087"/>
      </w:tblGrid>
      <w:tr w:rsidR="006330FB" w:rsidRPr="008A7DFD" w:rsidTr="00A22A6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</w:rPr>
              <w:t>DRG baze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b/>
                <w:bCs/>
                <w:color w:val="000000"/>
                <w:sz w:val="22"/>
              </w:rPr>
              <w:t>Název</w:t>
            </w:r>
          </w:p>
        </w:tc>
      </w:tr>
      <w:tr w:rsidR="00E43095" w:rsidRPr="008A7DFD" w:rsidTr="00A22A6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E43095" w:rsidRPr="00896083" w:rsidRDefault="00E43095" w:rsidP="008631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0138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E43095" w:rsidRPr="00896083" w:rsidRDefault="00E43095" w:rsidP="00583CB9">
            <w:pPr>
              <w:jc w:val="left"/>
              <w:rPr>
                <w:sz w:val="22"/>
                <w:szCs w:val="22"/>
              </w:rPr>
            </w:pPr>
            <w:r w:rsidRPr="00E43095">
              <w:rPr>
                <w:sz w:val="22"/>
                <w:szCs w:val="22"/>
              </w:rPr>
              <w:t>BAKTERIÁLNÍ A TUBERKULÓZNÍ INFEKCE NERVOVÉHO SYSTÉMU</w:t>
            </w:r>
          </w:p>
        </w:tc>
      </w:tr>
      <w:tr w:rsidR="00E43095" w:rsidRPr="008A7DFD" w:rsidTr="00A22A6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E43095" w:rsidRPr="00896083" w:rsidRDefault="00E43095" w:rsidP="008631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0139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E43095" w:rsidRPr="00896083" w:rsidRDefault="00085057" w:rsidP="00583CB9">
            <w:pPr>
              <w:jc w:val="left"/>
              <w:rPr>
                <w:sz w:val="22"/>
                <w:szCs w:val="22"/>
              </w:rPr>
            </w:pPr>
            <w:r w:rsidRPr="00085057">
              <w:rPr>
                <w:sz w:val="22"/>
                <w:szCs w:val="22"/>
              </w:rPr>
              <w:t>NEBAKTERIÁLNÍ INFEKCE NERVOVÉHO SYSTÉMU, KROMĚ VIROVÉ MENINGITIDY</w:t>
            </w:r>
          </w:p>
        </w:tc>
      </w:tr>
      <w:tr w:rsidR="006330FB" w:rsidRPr="008A7DFD" w:rsidTr="00A22A6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0140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A22A6D" w:rsidRPr="00896083" w:rsidRDefault="00A22A6D" w:rsidP="00583CB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VIROVÁ MENINGITIDA</w:t>
            </w:r>
          </w:p>
        </w:tc>
      </w:tr>
      <w:tr w:rsidR="006330FB" w:rsidRPr="008A7DFD" w:rsidTr="00A22A6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A22A6D" w:rsidRPr="00896083" w:rsidRDefault="00E43095" w:rsidP="008631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0638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A22A6D" w:rsidRPr="00896083" w:rsidRDefault="00085057" w:rsidP="00863159">
            <w:pPr>
              <w:jc w:val="left"/>
              <w:rPr>
                <w:sz w:val="22"/>
                <w:szCs w:val="22"/>
              </w:rPr>
            </w:pPr>
            <w:r w:rsidRPr="00085057">
              <w:rPr>
                <w:sz w:val="22"/>
                <w:szCs w:val="22"/>
              </w:rPr>
              <w:t>JINÉ PORUCHY TRÁVICÍHO SYSTÉMU</w:t>
            </w:r>
          </w:p>
        </w:tc>
      </w:tr>
      <w:tr w:rsidR="00E43095" w:rsidRPr="008A7DFD" w:rsidTr="00A22A6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E43095" w:rsidRDefault="00E43095" w:rsidP="008631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0733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E43095" w:rsidRPr="00896083" w:rsidRDefault="00085057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PORUCHY JATER, KROMĚ MALIGNÍ CIRHÓZY A ALKOHOLICKÉ HEPATITIDY</w:t>
            </w:r>
          </w:p>
        </w:tc>
      </w:tr>
      <w:tr w:rsidR="006330FB" w:rsidRPr="008A7DFD" w:rsidTr="00A22A6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1801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VÝKONY PRO INF</w:t>
            </w:r>
            <w:r>
              <w:rPr>
                <w:sz w:val="22"/>
                <w:szCs w:val="22"/>
              </w:rPr>
              <w:t>EKČNÍ A PARAZITÁRNÍ NEMOCI</w:t>
            </w:r>
          </w:p>
        </w:tc>
      </w:tr>
      <w:tr w:rsidR="006330FB" w:rsidRPr="008A7DFD" w:rsidTr="00A22A6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1802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 xml:space="preserve">VÝKONY PRO POOPERAČNÍ A </w:t>
            </w:r>
            <w:r>
              <w:rPr>
                <w:sz w:val="22"/>
                <w:szCs w:val="22"/>
              </w:rPr>
              <w:t>POÚRAZOVÉ INFEKCE</w:t>
            </w:r>
          </w:p>
        </w:tc>
      </w:tr>
      <w:tr w:rsidR="006330FB" w:rsidRPr="008A7DFD" w:rsidTr="00A22A6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1830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SEPTIKÉMIE</w:t>
            </w:r>
          </w:p>
        </w:tc>
      </w:tr>
      <w:tr w:rsidR="006330FB" w:rsidRPr="008A7DFD" w:rsidTr="00A22A6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1831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POOPE</w:t>
            </w:r>
            <w:r>
              <w:rPr>
                <w:sz w:val="22"/>
                <w:szCs w:val="22"/>
              </w:rPr>
              <w:t>RAČNÍ A POÚRAZOVÉ INFEKCE</w:t>
            </w:r>
          </w:p>
        </w:tc>
      </w:tr>
      <w:tr w:rsidR="006330FB" w:rsidRPr="008A7DFD" w:rsidTr="00A22A6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1832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HOREČKA NEZNÁMÉHO PŮVODU</w:t>
            </w:r>
          </w:p>
        </w:tc>
      </w:tr>
      <w:tr w:rsidR="006330FB" w:rsidRPr="008A7DFD" w:rsidTr="00A22A6D">
        <w:trPr>
          <w:trHeight w:val="334"/>
        </w:trPr>
        <w:tc>
          <w:tcPr>
            <w:tcW w:w="1276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1833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VIROVÉ ONEMOCNĚNÍ</w:t>
            </w:r>
          </w:p>
        </w:tc>
      </w:tr>
      <w:tr w:rsidR="006330FB" w:rsidRPr="008A7DFD" w:rsidTr="00A22A6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1834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JINÉ INFE</w:t>
            </w:r>
            <w:r>
              <w:rPr>
                <w:sz w:val="22"/>
                <w:szCs w:val="22"/>
              </w:rPr>
              <w:t>KČNÍ A PARAZITÁRNÍ NEMOCI</w:t>
            </w:r>
          </w:p>
        </w:tc>
      </w:tr>
      <w:tr w:rsidR="006330FB" w:rsidRPr="008A7DFD" w:rsidTr="00A22A6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2401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HIV S VÝKONEM, S NĚKOLIKA ZÁVAŽNÝMI INFEKCEMI SOUVISEJÍCÍMI S HIV</w:t>
            </w:r>
          </w:p>
        </w:tc>
      </w:tr>
      <w:tr w:rsidR="006330FB" w:rsidRPr="008A7DFD" w:rsidTr="00A22A6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2402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HIV S VÝKONEM, S DALŠÍ DIAGNÓZOU SOUVISEJÍCÍ S HIV</w:t>
            </w:r>
          </w:p>
        </w:tc>
      </w:tr>
      <w:tr w:rsidR="006330FB" w:rsidRPr="008A7DFD" w:rsidTr="00A22A6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lastRenderedPageBreak/>
              <w:t>2403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HIV S VÝKONEM, BEZ DALŠÍ D</w:t>
            </w:r>
            <w:r>
              <w:rPr>
                <w:sz w:val="22"/>
                <w:szCs w:val="22"/>
              </w:rPr>
              <w:t>IAGNÓZY SOUVISEJÍCÍ S HIV</w:t>
            </w:r>
          </w:p>
        </w:tc>
      </w:tr>
      <w:tr w:rsidR="006330FB" w:rsidRPr="008A7DFD" w:rsidTr="00A22A6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2430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HIV S VENTILAČ</w:t>
            </w:r>
            <w:r>
              <w:rPr>
                <w:sz w:val="22"/>
                <w:szCs w:val="22"/>
              </w:rPr>
              <w:t>NÍ NEBO NUTRIČNÍ PODPOROU</w:t>
            </w:r>
          </w:p>
        </w:tc>
      </w:tr>
      <w:tr w:rsidR="006330FB" w:rsidRPr="008A7DFD" w:rsidTr="00A22A6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2431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HIV S DALŠÍ DIAGNÓZOU SOUVISEJÍCÍ S HIV, PROPUŠTĚN</w:t>
            </w:r>
            <w:r>
              <w:rPr>
                <w:sz w:val="22"/>
                <w:szCs w:val="22"/>
              </w:rPr>
              <w:t xml:space="preserve"> PŘES LÉKAŘSKÉ DOPORUČENÍ</w:t>
            </w:r>
          </w:p>
        </w:tc>
      </w:tr>
      <w:tr w:rsidR="006330FB" w:rsidRPr="008A7DFD" w:rsidTr="00A22A6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2432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HIV S NĚKOLIKA ZÁVAŽNÝMI INFEKCEMI SOUVISEJÍCÍMI S HIV</w:t>
            </w:r>
          </w:p>
        </w:tc>
      </w:tr>
      <w:tr w:rsidR="006330FB" w:rsidRPr="008A7DFD" w:rsidTr="00A22A6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2433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HIV S DALŠÍ DIAGNÓZOU SOUVISEJÍCÍ S HIV, BEZ NĚKOLIKA ZÁVAŽNÝCH INFEKCÍ SOUVISEJÍC</w:t>
            </w:r>
            <w:r>
              <w:rPr>
                <w:sz w:val="22"/>
                <w:szCs w:val="22"/>
              </w:rPr>
              <w:t>ÍCH S HIV, S TUBERKULÓZOU</w:t>
            </w:r>
          </w:p>
        </w:tc>
      </w:tr>
      <w:tr w:rsidR="006330FB" w:rsidRPr="008A7DFD" w:rsidTr="00A22A6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2434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 xml:space="preserve">HIV S DALŠÍ DIAGNÓZOU SOUVISEJÍCÍ S HIV, BEZ NĚKOLIKA ZÁVAŽNÝCH INFEKCÍ SOUVISEJÍCÍCH S </w:t>
            </w:r>
            <w:r>
              <w:rPr>
                <w:sz w:val="22"/>
                <w:szCs w:val="22"/>
              </w:rPr>
              <w:t>HIV, BEZ TUBERKULÓZY</w:t>
            </w:r>
          </w:p>
        </w:tc>
      </w:tr>
      <w:tr w:rsidR="006330FB" w:rsidRPr="008A7DFD" w:rsidTr="00A22A6D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2435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A22A6D" w:rsidRPr="00896083" w:rsidRDefault="00A22A6D" w:rsidP="00863159">
            <w:pPr>
              <w:jc w:val="left"/>
              <w:rPr>
                <w:sz w:val="22"/>
                <w:szCs w:val="22"/>
              </w:rPr>
            </w:pPr>
            <w:r w:rsidRPr="00896083">
              <w:rPr>
                <w:sz w:val="22"/>
                <w:szCs w:val="22"/>
              </w:rPr>
              <w:t>HIV BEZ DALŠÍ DIAGNÓZY SOUVISEJÍCÍ S HIV</w:t>
            </w:r>
          </w:p>
        </w:tc>
      </w:tr>
    </w:tbl>
    <w:p w:rsidR="00583CB9" w:rsidRDefault="00583CB9" w:rsidP="00AC4253">
      <w:pPr>
        <w:pStyle w:val="Odstavecseseznamem"/>
        <w:ind w:left="720"/>
      </w:pPr>
    </w:p>
    <w:p w:rsidR="00C678DE" w:rsidRDefault="002D4E28" w:rsidP="00C678DE">
      <w:pPr>
        <w:pStyle w:val="Odstavecseseznamem"/>
        <w:numPr>
          <w:ilvl w:val="0"/>
          <w:numId w:val="41"/>
        </w:numPr>
      </w:pPr>
      <w:r>
        <w:t>Dále zdravotní pojišťovna si může s poskytovat</w:t>
      </w:r>
      <w:r w:rsidR="004E2C48">
        <w:t>elem dohodnout rozdílnou výši a </w:t>
      </w:r>
      <w:r>
        <w:t>způsob úhrady hrazených služeb zařazených podle Klasifikace do</w:t>
      </w:r>
      <w:r w:rsidR="000D5D93">
        <w:t xml:space="preserve"> DRG</w:t>
      </w:r>
      <w:r>
        <w:t xml:space="preserve"> baze č. 1105</w:t>
      </w:r>
      <w:r w:rsidRPr="00150C09">
        <w:t xml:space="preserve"> </w:t>
      </w:r>
      <w:r>
        <w:t>(</w:t>
      </w:r>
      <w:r w:rsidRPr="00150C09">
        <w:t>menší výkony na ledvinách, močových cestách a močovém měchýři</w:t>
      </w:r>
      <w:r w:rsidR="004E2C48">
        <w:t>), pokud bude v </w:t>
      </w:r>
      <w:r>
        <w:t xml:space="preserve">rámci této </w:t>
      </w:r>
      <w:r w:rsidR="000D5D93">
        <w:t xml:space="preserve">DRG </w:t>
      </w:r>
      <w:r>
        <w:t xml:space="preserve">baze vykázán výkon č. 76419 </w:t>
      </w:r>
      <w:r w:rsidR="00583CB9">
        <w:t>(</w:t>
      </w:r>
      <w:r w:rsidR="00583CB9" w:rsidRPr="00583CB9">
        <w:t>implantace arteficiálního sfinkter</w:t>
      </w:r>
      <w:r w:rsidR="00583CB9">
        <w:t xml:space="preserve">u) </w:t>
      </w:r>
      <w:r w:rsidRPr="008B5643">
        <w:t>podle seznamu výkonů.</w:t>
      </w:r>
      <w:r>
        <w:t xml:space="preserve"> Cílem tohoto opatření je </w:t>
      </w:r>
      <w:r w:rsidR="00095822">
        <w:t>umožnit navýšit úhradu pro</w:t>
      </w:r>
      <w:r>
        <w:t xml:space="preserve"> případy, kdy </w:t>
      </w:r>
      <w:r w:rsidR="00365C31">
        <w:t xml:space="preserve">je v souvislosti s touto DRG bazí vykázán výše zmíněný výkon, ale </w:t>
      </w:r>
      <w:r>
        <w:t>není ve v</w:t>
      </w:r>
      <w:r w:rsidR="00365C31">
        <w:t>ýpočtu relativních vah zohledněn</w:t>
      </w:r>
      <w:r>
        <w:t xml:space="preserve">, </w:t>
      </w:r>
      <w:r w:rsidR="00365C31">
        <w:t>nicméně</w:t>
      </w:r>
      <w:r>
        <w:t xml:space="preserve"> výrazně zvyšuje náklady na danou </w:t>
      </w:r>
      <w:r w:rsidR="000D5D93">
        <w:t xml:space="preserve">DRG </w:t>
      </w:r>
      <w:r>
        <w:t>bazi.</w:t>
      </w:r>
    </w:p>
    <w:p w:rsidR="00822354" w:rsidRDefault="002D4E28" w:rsidP="00C678DE">
      <w:pPr>
        <w:pStyle w:val="Odstavecseseznamem"/>
        <w:numPr>
          <w:ilvl w:val="0"/>
          <w:numId w:val="41"/>
        </w:numPr>
      </w:pPr>
      <w:r>
        <w:t>Zdravotní pojišťovna si může s poskytovatelem dohodnout rozdílnou vý</w:t>
      </w:r>
      <w:r w:rsidRPr="008B5643">
        <w:t xml:space="preserve">ši a způsob úhrady hrazených služeb zařazených podle Klasifikace do </w:t>
      </w:r>
      <w:r w:rsidR="000D5D93">
        <w:t xml:space="preserve">DRG </w:t>
      </w:r>
      <w:r w:rsidRPr="008B5643">
        <w:t>baze č. 0437</w:t>
      </w:r>
      <w:r w:rsidRPr="007976CE">
        <w:t xml:space="preserve"> (chronická obstruktivní plicní nemoc)</w:t>
      </w:r>
      <w:r w:rsidRPr="009D0A85">
        <w:t xml:space="preserve">, </w:t>
      </w:r>
      <w:r w:rsidRPr="005373EF">
        <w:t xml:space="preserve">pokud bude v rámci této </w:t>
      </w:r>
      <w:r w:rsidR="000D5D93">
        <w:t xml:space="preserve">DRG </w:t>
      </w:r>
      <w:r w:rsidRPr="005373EF">
        <w:t xml:space="preserve">baze vykázán výkon č. 25112 </w:t>
      </w:r>
      <w:r w:rsidR="00583CB9">
        <w:t>(</w:t>
      </w:r>
      <w:r w:rsidR="00583CB9" w:rsidRPr="00583CB9">
        <w:t>endoskopické zavedení endobronchiální chlopně</w:t>
      </w:r>
      <w:r w:rsidR="00583CB9">
        <w:t xml:space="preserve">) </w:t>
      </w:r>
      <w:r w:rsidR="00583CB9" w:rsidRPr="005373EF">
        <w:t xml:space="preserve">nebo 25120 </w:t>
      </w:r>
      <w:r w:rsidR="00583CB9">
        <w:t>(</w:t>
      </w:r>
      <w:r w:rsidR="00583CB9" w:rsidRPr="00583CB9">
        <w:t>stanovení přítomnosti kolaterální ventilace před bronchoskopickou volumredukcí</w:t>
      </w:r>
      <w:r w:rsidR="00583CB9">
        <w:t xml:space="preserve">) </w:t>
      </w:r>
      <w:r w:rsidRPr="005373EF">
        <w:t xml:space="preserve">podle </w:t>
      </w:r>
      <w:r w:rsidRPr="008B5643">
        <w:t>seznamu výkonů.</w:t>
      </w:r>
      <w:r w:rsidRPr="006E0D70">
        <w:t xml:space="preserve"> </w:t>
      </w:r>
      <w:r>
        <w:t xml:space="preserve">Cílem tohoto opatření je navýšit úhradu pro takovéto případy, kdy není ve výpočtu relativních vah zohledněn výkon, který výrazně zvyšuje náklady na danou </w:t>
      </w:r>
      <w:r w:rsidR="000D5D93">
        <w:t xml:space="preserve">DRG </w:t>
      </w:r>
      <w:r>
        <w:t>bazi.</w:t>
      </w:r>
    </w:p>
    <w:p w:rsidR="00095822" w:rsidRDefault="00DE07D7" w:rsidP="00C678DE">
      <w:pPr>
        <w:pStyle w:val="Odstavecseseznamem"/>
        <w:numPr>
          <w:ilvl w:val="0"/>
          <w:numId w:val="41"/>
        </w:numPr>
      </w:pPr>
      <w:r w:rsidRPr="00DE07D7">
        <w:t>Zdravotní pojišťovna a poskytovatel si mohou dohodnout rozdílnou výši a způsob úhrady hrazených služeb zařazených podle Kla</w:t>
      </w:r>
      <w:r w:rsidR="004E2C48">
        <w:t>sifikace do skupin vztažených k </w:t>
      </w:r>
      <w:r w:rsidRPr="00DE07D7">
        <w:t xml:space="preserve">diagnóze uvedených v příloze č. 10 k této vyhlášce, pokud bude v rámci baze vykázán DRG marker č. 07257 </w:t>
      </w:r>
      <w:r>
        <w:t>(</w:t>
      </w:r>
      <w:r w:rsidRPr="0041591D">
        <w:t>Zavedení ECMO</w:t>
      </w:r>
      <w:r w:rsidR="00F329FA">
        <w:t xml:space="preserve"> (extra corporeal membrane oxygenation)</w:t>
      </w:r>
      <w:r w:rsidRPr="0041591D">
        <w:t xml:space="preserve">, centrální kanylace </w:t>
      </w:r>
      <w:r>
        <w:t>–</w:t>
      </w:r>
      <w:r w:rsidRPr="0041591D">
        <w:t xml:space="preserve"> chirurgicky</w:t>
      </w:r>
      <w:r>
        <w:t>) nebo 07258 (</w:t>
      </w:r>
      <w:r w:rsidRPr="0041591D">
        <w:t>Zavedení ECMO, periferní kanylace</w:t>
      </w:r>
      <w:r>
        <w:t>)</w:t>
      </w:r>
      <w:r w:rsidRPr="00DE07D7">
        <w:t>.</w:t>
      </w:r>
      <w:r>
        <w:t xml:space="preserve"> Cílem tohoto opatření je navýšit úhradu pro takovéto případy, kdy není ve výpočtu relativních vah zohledněno použití ECMO přístroje, podpůrného</w:t>
      </w:r>
      <w:r w:rsidRPr="00DE07D7">
        <w:t xml:space="preserve"> systém</w:t>
      </w:r>
      <w:r>
        <w:t>u</w:t>
      </w:r>
      <w:r w:rsidRPr="00DE07D7">
        <w:t xml:space="preserve"> pro</w:t>
      </w:r>
      <w:r>
        <w:t xml:space="preserve"> mimotělní membránovou oxygenaci.</w:t>
      </w:r>
    </w:p>
    <w:p w:rsidR="005B6C55" w:rsidRDefault="005B6C55" w:rsidP="005B6C55"/>
    <w:p w:rsidR="005B6C55" w:rsidRPr="003A5DAE" w:rsidRDefault="005B6C55" w:rsidP="00847B2F">
      <w:pPr>
        <w:rPr>
          <w:u w:val="single"/>
        </w:rPr>
      </w:pPr>
      <w:r w:rsidRPr="003A5DAE">
        <w:rPr>
          <w:u w:val="single"/>
        </w:rPr>
        <w:t>K bodu 2.2 - centrové léky</w:t>
      </w:r>
    </w:p>
    <w:p w:rsidR="00321DAA" w:rsidRDefault="0000721B" w:rsidP="00847B2F">
      <w:r w:rsidRPr="007E13F6">
        <w:t>Maximální</w:t>
      </w:r>
      <w:r>
        <w:t xml:space="preserve"> úhrada centrových léků bude pro rok 2017 stanovena pro všechny skupiny léčivých přípravků dohromady se zohledněním růstu úhrad v jednotlivých skupinách centrových léků</w:t>
      </w:r>
      <w:r w:rsidR="00030101">
        <w:t>, aby byla možnost nevyčerpané finanční prostředky v jedné skupině pře</w:t>
      </w:r>
      <w:r w:rsidR="0060621E">
        <w:t>sunout</w:t>
      </w:r>
      <w:r w:rsidR="00030101">
        <w:t xml:space="preserve"> do přečerpaného limitu v jiné skupině centrových léků</w:t>
      </w:r>
      <w:r>
        <w:t xml:space="preserve">. Celková maximální úhrada je nastavena jako součet maximálních úhrad pro jednotlivé skupiny centrových léků. </w:t>
      </w:r>
      <w:r w:rsidR="00030101">
        <w:t xml:space="preserve">Navýšení pro jednotlivé skupiny bylo vypočteno na základě reálných údajů za náklady na </w:t>
      </w:r>
      <w:r w:rsidR="00030101">
        <w:lastRenderedPageBreak/>
        <w:t>centrové léky v</w:t>
      </w:r>
      <w:r w:rsidR="00861CB0">
        <w:t xml:space="preserve"> roce 2015, </w:t>
      </w:r>
      <w:r w:rsidR="00030101">
        <w:t>1. pololetí roku 2016 a předpokládaného růstu těchto nákladů v roce 2017.</w:t>
      </w:r>
    </w:p>
    <w:p w:rsidR="000400CF" w:rsidRDefault="000400CF" w:rsidP="00847B2F"/>
    <w:p w:rsidR="000400CF" w:rsidRDefault="003F0CB8" w:rsidP="00847B2F">
      <w:r>
        <w:t xml:space="preserve">V bodě 2.2.2 písm. bb) autoinflamatorní onemocnění se jedná </w:t>
      </w:r>
      <w:r w:rsidR="005B2F3E">
        <w:t>zejména o léčivý</w:t>
      </w:r>
      <w:r>
        <w:t xml:space="preserve"> příprav</w:t>
      </w:r>
      <w:r w:rsidR="005B2F3E">
        <w:t xml:space="preserve">ek ILARIS 150 MG. V bodě 2.2.2 písm. kk) nuklearní medicína se jedná zejména o léčivé přípravky THYROGEN 0,9 MG, 223Ra radium-dichlorid inj. a 131I-MIBG terap. inj. </w:t>
      </w:r>
    </w:p>
    <w:p w:rsidR="00321DAA" w:rsidRDefault="00321DAA" w:rsidP="00847B2F"/>
    <w:p w:rsidR="0000721B" w:rsidRDefault="0000721B" w:rsidP="00847B2F">
      <w:r>
        <w:t>Dále dochází ke stanovení referenčního roku 2015, z toho důvodu, že vy</w:t>
      </w:r>
      <w:r w:rsidR="00347BE1">
        <w:t>ú</w:t>
      </w:r>
      <w:r>
        <w:t>čtování tohoto roku je již v roce 2017 uzavřeno, což pomůže poskytovatelům přesně naplánovat péči a zdravotním pojišťovnám lépe odhadnout náklady na centrové léky v zdravotně pojistném plánu na rok 2017.</w:t>
      </w:r>
    </w:p>
    <w:p w:rsidR="00B17E4E" w:rsidRDefault="00B17E4E" w:rsidP="007E13F6"/>
    <w:p w:rsidR="00B17E4E" w:rsidRPr="00905397" w:rsidRDefault="00B17E4E" w:rsidP="002205AC">
      <w:pPr>
        <w:rPr>
          <w:u w:val="single"/>
        </w:rPr>
      </w:pPr>
      <w:r w:rsidRPr="00905397">
        <w:rPr>
          <w:u w:val="single"/>
        </w:rPr>
        <w:t>K bodu 2.2.</w:t>
      </w:r>
      <w:r w:rsidR="0000721B">
        <w:rPr>
          <w:u w:val="single"/>
        </w:rPr>
        <w:t>3</w:t>
      </w:r>
    </w:p>
    <w:p w:rsidR="005B6C55" w:rsidRPr="000F63C1" w:rsidRDefault="00161696" w:rsidP="002205AC">
      <w:r w:rsidRPr="007E13F6">
        <w:t xml:space="preserve">Úhrada </w:t>
      </w:r>
      <w:r w:rsidR="00B17E4E" w:rsidRPr="007E13F6">
        <w:t xml:space="preserve">centrových léků </w:t>
      </w:r>
      <w:r w:rsidRPr="007E13F6">
        <w:t xml:space="preserve">nad výše definovanou maximální úhradu je možná po předchozím schválení </w:t>
      </w:r>
      <w:r w:rsidR="0060621E">
        <w:t xml:space="preserve">zdravotní </w:t>
      </w:r>
      <w:r w:rsidRPr="007E13F6">
        <w:t>pojišťovnou. Není však rozhodné, zda se jedná o nově zahájenou léčbu (tedy léčbu onemocnění, která v referenční</w:t>
      </w:r>
      <w:r w:rsidR="00B17E4E" w:rsidRPr="007E13F6">
        <w:t>m</w:t>
      </w:r>
      <w:r w:rsidRPr="007E13F6">
        <w:t xml:space="preserve"> období poskytovatel neléčil) či o další léčbu stávajících onemocnění.</w:t>
      </w:r>
    </w:p>
    <w:p w:rsidR="00030101" w:rsidRDefault="00030101" w:rsidP="005B6C55"/>
    <w:p w:rsidR="005B6C55" w:rsidRPr="003A5DAE" w:rsidRDefault="005B6C55" w:rsidP="002205AC">
      <w:pPr>
        <w:rPr>
          <w:u w:val="single"/>
        </w:rPr>
      </w:pPr>
      <w:r w:rsidRPr="003A5DAE">
        <w:rPr>
          <w:u w:val="single"/>
        </w:rPr>
        <w:t>K </w:t>
      </w:r>
      <w:r w:rsidRPr="009B1180">
        <w:rPr>
          <w:u w:val="single"/>
        </w:rPr>
        <w:t xml:space="preserve">§ 4 a </w:t>
      </w:r>
      <w:r w:rsidRPr="003A5DAE">
        <w:rPr>
          <w:u w:val="single"/>
        </w:rPr>
        <w:t>příloze 1, písmenu A. bodu 3</w:t>
      </w:r>
      <w:r w:rsidR="00C05544">
        <w:rPr>
          <w:u w:val="single"/>
        </w:rPr>
        <w:t xml:space="preserve"> a příloze 10, 12 a 14</w:t>
      </w:r>
    </w:p>
    <w:p w:rsidR="00D649B8" w:rsidRPr="00847B2F" w:rsidRDefault="00E4237A" w:rsidP="002205AC">
      <w:pPr>
        <w:rPr>
          <w:highlight w:val="yellow"/>
        </w:rPr>
      </w:pPr>
      <w:r w:rsidRPr="00914087">
        <w:t xml:space="preserve">V roce </w:t>
      </w:r>
      <w:r>
        <w:t>2017 bude</w:t>
      </w:r>
      <w:r w:rsidRPr="006D718E">
        <w:t xml:space="preserve"> zachován pro</w:t>
      </w:r>
      <w:r w:rsidRPr="00F87A58">
        <w:t xml:space="preserve"> úhradu </w:t>
      </w:r>
      <w:r>
        <w:t xml:space="preserve">poskytovatelům </w:t>
      </w:r>
      <w:r w:rsidRPr="00914087">
        <w:t xml:space="preserve">akutní lůžkové péče mechanismus </w:t>
      </w:r>
      <w:r w:rsidRPr="00B3010E">
        <w:t>paušální úhrady podmíněné produkcí měřenou DRG</w:t>
      </w:r>
      <w:r w:rsidR="00AB5D40">
        <w:t xml:space="preserve"> </w:t>
      </w:r>
      <w:r>
        <w:t>.</w:t>
      </w:r>
    </w:p>
    <w:p w:rsidR="00E4237A" w:rsidRDefault="00E4237A" w:rsidP="002205AC">
      <w:r w:rsidRPr="00D44D45">
        <w:t>Maximální možn</w:t>
      </w:r>
      <w:r>
        <w:t>ý</w:t>
      </w:r>
      <w:r w:rsidRPr="00B3010E">
        <w:t xml:space="preserve"> nárůst </w:t>
      </w:r>
      <w:r>
        <w:t xml:space="preserve">paušální </w:t>
      </w:r>
      <w:r w:rsidRPr="00B3010E">
        <w:t xml:space="preserve">úhrady vzhledem k růstu disponibilních příjmů v systému veřejného zdravotního pojištění byl nastaven na </w:t>
      </w:r>
      <w:r>
        <w:t>9</w:t>
      </w:r>
      <w:r w:rsidRPr="00B3010E">
        <w:t xml:space="preserve"> % oproti roku 2015. </w:t>
      </w:r>
      <w:r>
        <w:t>Tento růst zajišťuje potřebný růst úhrady k pokrytí navýšení osobních nákladů v souvislosti s růstem tarifní složky platů o 10 % a také zohledňuje přirozený růst nákladů tohoto segmentu.</w:t>
      </w:r>
    </w:p>
    <w:p w:rsidR="00E4237A" w:rsidRDefault="00E4237A" w:rsidP="002205AC"/>
    <w:p w:rsidR="00104700" w:rsidRDefault="00E4237A" w:rsidP="004E2C48">
      <w:r>
        <w:t>Celková úhrada za rok 2017</w:t>
      </w:r>
      <w:r w:rsidRPr="00AF75D2">
        <w:t xml:space="preserve"> je stanovena tím způsobem, že pokud se produkce měřená r</w:t>
      </w:r>
      <w:r>
        <w:t xml:space="preserve">edukovaným casemixem </w:t>
      </w:r>
      <w:r w:rsidR="000D5173">
        <w:t xml:space="preserve">(součtem relativních vah jednotlivých případů zařazených do příslušné skupiny vztažené k diagnóze) </w:t>
      </w:r>
      <w:r>
        <w:t>v roce 2017</w:t>
      </w:r>
      <w:r w:rsidRPr="00AF75D2">
        <w:t xml:space="preserve"> r</w:t>
      </w:r>
      <w:r>
        <w:t>ovná alespoň 97</w:t>
      </w:r>
      <w:r w:rsidRPr="00AF75D2">
        <w:t xml:space="preserve"> % produkce referenčního období (měřené vykázaným</w:t>
      </w:r>
      <w:r>
        <w:t xml:space="preserve">, </w:t>
      </w:r>
      <w:r w:rsidRPr="00AF75D2">
        <w:t xml:space="preserve">uznaným </w:t>
      </w:r>
      <w:r>
        <w:t xml:space="preserve">a zaplaceným </w:t>
      </w:r>
      <w:r w:rsidRPr="00AF75D2">
        <w:t>casemixem roku 2015</w:t>
      </w:r>
      <w:r w:rsidR="00E53EF5">
        <w:t xml:space="preserve">), </w:t>
      </w:r>
      <w:r w:rsidRPr="00AF75D2">
        <w:t xml:space="preserve">obdrží od zdravotní pojišťovny plnou výši individuální paušální úhrady. Dosáhne-li nemocnice poměrně nižší úrovně produkce, bude její individuální paušální úhrada ve </w:t>
      </w:r>
      <w:r w:rsidR="0060621E">
        <w:t xml:space="preserve">stejné </w:t>
      </w:r>
      <w:r w:rsidRPr="00AF75D2">
        <w:t>proporci snížena.</w:t>
      </w:r>
      <w:r w:rsidR="00AB5D40">
        <w:t xml:space="preserve"> </w:t>
      </w:r>
      <w:r w:rsidR="00AB5D40" w:rsidRPr="00AF75D2">
        <w:t>Od celkové úhrady se odečítají náklady za péči vyžádanou u jiných poskytovatelů, jelikož nemocnice dostává za hospitalizovaného pacienta prostředky na jeho vyléčení formou případového paušálu a pokud si takto péči vyžádá, zdravotní pojišťovna ji musí uhradit u toho poskytovatele, kde byla vyžádána, a hradila by ji de facto dvakrát.</w:t>
      </w:r>
      <w:r w:rsidR="00AB5D40">
        <w:t xml:space="preserve"> R</w:t>
      </w:r>
      <w:r w:rsidR="00AB5D40" w:rsidRPr="00AB5D40">
        <w:t>eferenční</w:t>
      </w:r>
      <w:r w:rsidR="0060621E">
        <w:t>m</w:t>
      </w:r>
      <w:r w:rsidR="00AB5D40" w:rsidRPr="00AB5D40">
        <w:t xml:space="preserve"> období</w:t>
      </w:r>
      <w:r w:rsidR="0060621E">
        <w:t>m</w:t>
      </w:r>
      <w:r w:rsidR="00AB5D40" w:rsidRPr="00AB5D40">
        <w:t xml:space="preserve"> </w:t>
      </w:r>
      <w:r w:rsidR="00AB5D40">
        <w:t xml:space="preserve">je stanoven </w:t>
      </w:r>
      <w:r w:rsidR="001738AA">
        <w:t xml:space="preserve">rok </w:t>
      </w:r>
      <w:r w:rsidR="00AB5D40" w:rsidRPr="00AB5D40">
        <w:t>2015</w:t>
      </w:r>
      <w:r w:rsidR="00D8006C">
        <w:t>. Při stanovení referenčního období byly zváženy výhody a nevýhody dvou možností – referenčního období předcházejícího hodnocenému o 1 rok a o 2 roky. Převážily výhody referenčního období předcházejícího o 2 roky</w:t>
      </w:r>
      <w:r w:rsidR="0060621E">
        <w:t>, a to</w:t>
      </w:r>
      <w:r w:rsidR="00E43095">
        <w:t xml:space="preserve"> </w:t>
      </w:r>
      <w:r w:rsidR="00D8006C">
        <w:t xml:space="preserve">především </w:t>
      </w:r>
      <w:r w:rsidR="0060621E">
        <w:t xml:space="preserve">proto, že </w:t>
      </w:r>
      <w:r w:rsidR="00D8006C">
        <w:t xml:space="preserve">v tomto období </w:t>
      </w:r>
      <w:r w:rsidR="0060621E">
        <w:t xml:space="preserve">je </w:t>
      </w:r>
      <w:r w:rsidR="00D8006C">
        <w:t xml:space="preserve">již uzavřeno vykazování a tedy odpadá riziko účelového dovykazování </w:t>
      </w:r>
      <w:r w:rsidR="0060621E">
        <w:t xml:space="preserve">poskytnutých zdravotních služeb </w:t>
      </w:r>
      <w:r w:rsidR="00D8006C">
        <w:t>z</w:t>
      </w:r>
      <w:r w:rsidR="0060621E">
        <w:t>a účelem</w:t>
      </w:r>
      <w:r w:rsidR="00D8006C">
        <w:t xml:space="preserve"> zvýšení úhradového stropu (nebo paušálu) v hodnoceném období.</w:t>
      </w:r>
    </w:p>
    <w:p w:rsidR="00104700" w:rsidRDefault="00104700" w:rsidP="00104700"/>
    <w:p w:rsidR="00104700" w:rsidRDefault="00BB2E73" w:rsidP="00104700">
      <w:r w:rsidRPr="00E4237A">
        <w:lastRenderedPageBreak/>
        <w:t xml:space="preserve">Výpočet maximální možné úhrady zahrnuje ochranu proti účelovému chování poskytovatele (výběru pouze pacientů s vysokou hodnotou casemixu vůči reálným nákladům </w:t>
      </w:r>
      <w:r w:rsidR="00104700">
        <w:t xml:space="preserve">(Cobb_douglasova funkce) </w:t>
      </w:r>
      <w:r w:rsidRPr="00E4237A">
        <w:t>či dokonce přímo účelovému chování (upcoding) a překládání pacientů k poskytovatelům následné péče nebo na oddělení následné péče téhož poskytovatele nebo překládání pacientů k jiným poskytovatelům akut</w:t>
      </w:r>
      <w:r>
        <w:t xml:space="preserve">ní lůžkové péče (unbundling)). </w:t>
      </w:r>
    </w:p>
    <w:p w:rsidR="00104700" w:rsidRDefault="00104700" w:rsidP="00104700"/>
    <w:p w:rsidR="00104700" w:rsidRDefault="00104700" w:rsidP="00104700">
      <w:r>
        <w:t>Cobb-douglasova funkce - Pravidlo je stanoveno tak, že pokud se průměrná obtížnost případu (měřená jako celkový casemix dělený počtem případů) v roce 2017 odlišuje směrem nahoru od této hodnoty v referenčním období o více než 5 %, dostane se poskytovatel do pásma plynulé degrese. V případě, kdy je koeficient poměru počtu pojištěnc</w:t>
      </w:r>
      <w:r w:rsidR="00F537A5">
        <w:t xml:space="preserve">ů dané </w:t>
      </w:r>
      <w:r w:rsidR="00E22BF0">
        <w:t xml:space="preserve">zdravotní </w:t>
      </w:r>
      <w:r w:rsidR="00F537A5">
        <w:t>pojišťovny v daném okrese</w:t>
      </w:r>
      <w:r>
        <w:t xml:space="preserve"> menší nebo roven 0,01, dostane se poskytovatel do plynulé degrese až pokud se celkový casemix dělený počtem případů v roce 2017 odlišuje směrem nahoru od této hodnoty v referenčním období o více než 15 %. Tímto opatřením se zohledňují větší výkyvy casemixu v jednotlivých letech u zdravotních pojišťoven, které mají malé zastoupení pojištěnců v daném okrese, tzn. pár nákladnějších pojištěnců může navýšit významně casemix, aniž by docházelo k účelovému chování.</w:t>
      </w:r>
    </w:p>
    <w:p w:rsidR="00104700" w:rsidRDefault="00104700" w:rsidP="002205AC"/>
    <w:p w:rsidR="00BB2E73" w:rsidRDefault="00104700" w:rsidP="002205AC">
      <w:r>
        <w:t xml:space="preserve">Unbundling - </w:t>
      </w:r>
      <w:r w:rsidR="00BB2E73">
        <w:t>Jelikož u malého počtu překladů</w:t>
      </w:r>
      <w:r w:rsidR="0060621E">
        <w:t xml:space="preserve"> pacientů</w:t>
      </w:r>
      <w:r w:rsidR="00BB2E73">
        <w:t xml:space="preserve"> může vychýlení z referenčních hodnot způsobit velmi výrazné snížení casemixu, aniž by docházelo k účelovému chování (unbundlingu), r</w:t>
      </w:r>
      <w:r w:rsidR="00BB2E73" w:rsidRPr="00E4237A">
        <w:t>e</w:t>
      </w:r>
      <w:r w:rsidR="00BB2E73">
        <w:t xml:space="preserve">gulace za </w:t>
      </w:r>
      <w:r w:rsidR="00AA1576">
        <w:t xml:space="preserve">takové </w:t>
      </w:r>
      <w:r w:rsidR="00BB2E73">
        <w:t xml:space="preserve">překlady se bude nově </w:t>
      </w:r>
      <w:r w:rsidR="00BB2E73" w:rsidRPr="00E4237A">
        <w:t>uplatňovat pouze v případě, že je počet překladů v referenčním nebo hodnoceném období</w:t>
      </w:r>
      <w:r w:rsidR="00BB2E73">
        <w:t xml:space="preserve"> větší než 100 a zároveň pokud je počet případů, které</w:t>
      </w:r>
      <w:r w:rsidR="00BB2E73" w:rsidRPr="00E4237A">
        <w:t xml:space="preserve"> j</w:t>
      </w:r>
      <w:r w:rsidR="00BB2E73">
        <w:t xml:space="preserve">sou překládány, větší nebo roven </w:t>
      </w:r>
      <w:r w:rsidR="00BB2E73" w:rsidRPr="00E4237A">
        <w:t>10 % z celkového počtu případů u dané</w:t>
      </w:r>
      <w:r w:rsidR="00AA1576">
        <w:t xml:space="preserve"> zdravotní</w:t>
      </w:r>
      <w:r w:rsidR="00BB2E73" w:rsidRPr="00E4237A">
        <w:t xml:space="preserve"> pojišťovny.</w:t>
      </w:r>
    </w:p>
    <w:p w:rsidR="00BB2E73" w:rsidRDefault="00BB2E73" w:rsidP="002205AC"/>
    <w:p w:rsidR="00E4237A" w:rsidRDefault="00123B89" w:rsidP="002205AC">
      <w:r>
        <w:t xml:space="preserve">Jak bylo výše zmíněno, v případě nedosažení požadované produkce je individuální paušální úhrada snížena. Na druhé straně, v případě nadprodukce je část produkce uhrazena. </w:t>
      </w:r>
      <w:r w:rsidR="00E4237A">
        <w:t>Dosáhne-li poskytovatel vyšší produkce, bude mu z 85</w:t>
      </w:r>
      <w:r w:rsidR="00E4237A" w:rsidRPr="00E4237A">
        <w:t xml:space="preserve"> % hrazeno pásmo produkce </w:t>
      </w:r>
      <w:r w:rsidR="00E4237A">
        <w:t>od 103 % do 110</w:t>
      </w:r>
      <w:r w:rsidR="00E4237A" w:rsidRPr="00E4237A">
        <w:t xml:space="preserve"> % roku 2015 a z 65 % pásmo produkce od 110 % do 120 % a tato produkce bude poměrně snížena, pokud poskytovatel nedosáhne požadovaného navýšení počtu globálních unikátních pojištěnců.</w:t>
      </w:r>
      <w:r w:rsidR="00AB5D40">
        <w:t xml:space="preserve"> Tímto opatřením dochází k zohlednění výkyvů produkce mezi jednotlivými </w:t>
      </w:r>
      <w:r w:rsidR="00AA1576">
        <w:t xml:space="preserve">zdravotními </w:t>
      </w:r>
      <w:r w:rsidR="00AB5D40">
        <w:t>pojišťovnami a kompenzaci koncentrace nákladů u některých poskytovatelů zdravotních služeb.</w:t>
      </w:r>
      <w:r>
        <w:t xml:space="preserve"> Stanovená pásma produkce </w:t>
      </w:r>
      <w:r w:rsidR="00FF783D">
        <w:t xml:space="preserve">byla vypočtena na základě produkčních dat za roky 2014 a 2015 a dopadů na jednotlivé zdravotní pojišťovny. Nebude uhrazena celá nadprodukce, ale pouze její část (variabilní náklady), z důvodu možného účelového chování poskytovatelů a umělého navyšování objemu produkce. </w:t>
      </w:r>
    </w:p>
    <w:p w:rsidR="00D649B8" w:rsidRPr="00847B2F" w:rsidRDefault="00D649B8" w:rsidP="002205AC">
      <w:pPr>
        <w:rPr>
          <w:highlight w:val="yellow"/>
        </w:rPr>
      </w:pPr>
    </w:p>
    <w:p w:rsidR="00AB5D40" w:rsidRDefault="00CA3AF0" w:rsidP="00847B2F">
      <w:r>
        <w:t xml:space="preserve">Pokud poskytovatel, </w:t>
      </w:r>
      <w:r w:rsidR="00474DBB" w:rsidRPr="00474DBB">
        <w:t xml:space="preserve">který má </w:t>
      </w:r>
      <w:r w:rsidR="00AA1576">
        <w:t xml:space="preserve">současně </w:t>
      </w:r>
      <w:r w:rsidR="00474DBB" w:rsidRPr="00474DBB">
        <w:t>statut centra vysoce specializované onkogynekologické péče</w:t>
      </w:r>
      <w:r w:rsidR="00AA1576">
        <w:t>,</w:t>
      </w:r>
      <w:r w:rsidR="00E43095">
        <w:t xml:space="preserve"> </w:t>
      </w:r>
      <w:r w:rsidR="00474DBB" w:rsidRPr="00474DBB">
        <w:t>statut centra vysoce specializované cerebrovaskulární péče</w:t>
      </w:r>
      <w:r w:rsidR="00AA1576">
        <w:t>,</w:t>
      </w:r>
      <w:r w:rsidR="00E43095">
        <w:t xml:space="preserve"> </w:t>
      </w:r>
      <w:r w:rsidR="00474DBB" w:rsidRPr="00474DBB">
        <w:t>statut centra vysoce specializované kardiovaskulární péče</w:t>
      </w:r>
      <w:r w:rsidR="00AA1576">
        <w:t>,</w:t>
      </w:r>
      <w:r w:rsidR="00474DBB" w:rsidRPr="00474DBB">
        <w:t xml:space="preserve"> statut centra vysoce specializované traumatologické péče</w:t>
      </w:r>
      <w:r w:rsidR="00AA1576">
        <w:t>,</w:t>
      </w:r>
      <w:r w:rsidR="00E43095">
        <w:t xml:space="preserve"> </w:t>
      </w:r>
      <w:r w:rsidR="00474DBB" w:rsidRPr="00474DBB">
        <w:t>statut centra vysoce specializované onkologické péče a statut centra vysoce specializované hematoonkologické péče pro dospělé a děti s transplantační jednotkou</w:t>
      </w:r>
      <w:r w:rsidRPr="00277F2B">
        <w:t xml:space="preserve"> podle § 112 od</w:t>
      </w:r>
      <w:r>
        <w:t>st. 5 zákona č. 372/2011 Sb., o </w:t>
      </w:r>
      <w:r w:rsidRPr="00277F2B">
        <w:t>zdravotních službách a podmínkách jejich poskytování</w:t>
      </w:r>
      <w:r>
        <w:t xml:space="preserve">, má individuální </w:t>
      </w:r>
      <w:r w:rsidR="00516059" w:rsidRPr="00B3010E">
        <w:t xml:space="preserve">základní </w:t>
      </w:r>
      <w:r w:rsidR="00516059">
        <w:t xml:space="preserve">referenční </w:t>
      </w:r>
      <w:r w:rsidR="00516059" w:rsidRPr="00B3010E">
        <w:t xml:space="preserve">sazby </w:t>
      </w:r>
      <w:r>
        <w:t>menší než</w:t>
      </w:r>
      <w:r w:rsidR="00516059" w:rsidRPr="00B3010E">
        <w:t xml:space="preserve"> </w:t>
      </w:r>
      <w:r w:rsidR="007E13F6">
        <w:t>33 5</w:t>
      </w:r>
      <w:r>
        <w:t>00 Kč</w:t>
      </w:r>
      <w:r w:rsidR="00AA1576">
        <w:t xml:space="preserve">, </w:t>
      </w:r>
      <w:r w:rsidR="004E2C48">
        <w:t>nebo u </w:t>
      </w:r>
      <w:r w:rsidR="00516059">
        <w:t xml:space="preserve">ostatních </w:t>
      </w:r>
      <w:r>
        <w:t>poskytovatelů</w:t>
      </w:r>
      <w:r w:rsidR="00AA1576">
        <w:t xml:space="preserve"> menší než 22 500 Kč</w:t>
      </w:r>
      <w:r>
        <w:t>, vypočítá se</w:t>
      </w:r>
      <w:r w:rsidR="00516059">
        <w:t xml:space="preserve"> </w:t>
      </w:r>
      <w:r>
        <w:t xml:space="preserve">referenční úhrada, od které se </w:t>
      </w:r>
      <w:r>
        <w:lastRenderedPageBreak/>
        <w:t>odvíjí paušální úhrada na rok 2017 na základě této</w:t>
      </w:r>
      <w:r w:rsidR="00516059">
        <w:t xml:space="preserve"> min</w:t>
      </w:r>
      <w:r>
        <w:t>imální základní referenční sazby</w:t>
      </w:r>
      <w:r w:rsidR="00516059" w:rsidRPr="00B3010E">
        <w:t>.</w:t>
      </w:r>
      <w:r w:rsidR="00AB5D40">
        <w:t xml:space="preserve"> Pomocí tohoto opatření dojde k částečnému sblížení individuálních základních sazeb.</w:t>
      </w:r>
      <w:r w:rsidR="00FE38DF">
        <w:t xml:space="preserve"> U</w:t>
      </w:r>
      <w:r w:rsidR="004E2C48">
        <w:t> </w:t>
      </w:r>
      <w:r w:rsidR="00FE38DF">
        <w:t xml:space="preserve">poskytovatelů, kteří mají statut většiny </w:t>
      </w:r>
      <w:r w:rsidR="0086488D">
        <w:t xml:space="preserve">druhů </w:t>
      </w:r>
      <w:r w:rsidR="00085057">
        <w:t>center</w:t>
      </w:r>
      <w:r w:rsidR="002B466E">
        <w:t xml:space="preserve"> </w:t>
      </w:r>
      <w:r w:rsidR="00FE38DF">
        <w:t>(s výjimkou popáleninových center, která budou zvýhodněna v rámci individuálně nasmlouvané složky úhrady a iktových center, jelikož jsou zde zařazeni poskytovatelé se statutem cerebrovaskulární</w:t>
      </w:r>
      <w:r w:rsidR="00E53EF5">
        <w:t>ho</w:t>
      </w:r>
      <w:r w:rsidR="00FE38DF">
        <w:t xml:space="preserve"> centra, která představují vyšší stupeň iktových</w:t>
      </w:r>
      <w:r w:rsidR="00E53EF5">
        <w:t xml:space="preserve"> center</w:t>
      </w:r>
      <w:r w:rsidR="00FE38DF">
        <w:t xml:space="preserve">) a poskytují tedy </w:t>
      </w:r>
      <w:r w:rsidR="00E53EF5">
        <w:t xml:space="preserve">vysoce specializovanou, </w:t>
      </w:r>
      <w:r w:rsidR="00FE38DF">
        <w:t>komplexní a</w:t>
      </w:r>
      <w:r w:rsidR="00E53EF5">
        <w:t xml:space="preserve"> velmi </w:t>
      </w:r>
      <w:r w:rsidR="00FE38DF">
        <w:t>nákladnou péči, je cílem zohlednit vyšší nákladovost péče a sblížit úhrady zejména napříč zdravotními pojišťovnami.</w:t>
      </w:r>
    </w:p>
    <w:p w:rsidR="00AB5D40" w:rsidRDefault="00AB5D40" w:rsidP="00847B2F"/>
    <w:p w:rsidR="00105B2A" w:rsidRDefault="00AB5D40" w:rsidP="002205AC">
      <w:r>
        <w:t>Pro výkony č. 00031 a 00032 podle seznamu výkonů</w:t>
      </w:r>
      <w:r w:rsidR="006E1AD4">
        <w:t xml:space="preserve"> (pobyt průvodce pojištěnce)</w:t>
      </w:r>
      <w:r>
        <w:t>, vyjmuté z platby případovým paušálem, se stanoví paušální sazba za ošetřovací den ve výši 40</w:t>
      </w:r>
      <w:r w:rsidR="00550E2B">
        <w:t>6</w:t>
      </w:r>
      <w:r>
        <w:t xml:space="preserve"> Kč oproti stávajícím 375 Kč. Navýšení je shodné s navýšením minimální sazby za tento typ </w:t>
      </w:r>
      <w:r w:rsidR="006E1AD4">
        <w:t xml:space="preserve">ošetřovacího dne </w:t>
      </w:r>
      <w:r>
        <w:t>v následné péči.</w:t>
      </w:r>
    </w:p>
    <w:p w:rsidR="00624FBE" w:rsidRDefault="00624FBE" w:rsidP="00847B2F"/>
    <w:p w:rsidR="001A747D" w:rsidRDefault="00624FBE" w:rsidP="00847B2F">
      <w:pPr>
        <w:rPr>
          <w:u w:val="single"/>
        </w:rPr>
      </w:pPr>
      <w:r w:rsidRPr="00847B2F">
        <w:rPr>
          <w:u w:val="single"/>
        </w:rPr>
        <w:t>K § 4 a příloze č. 1, písmenu A. bodu 4</w:t>
      </w:r>
      <w:r w:rsidR="00C05544">
        <w:rPr>
          <w:u w:val="single"/>
        </w:rPr>
        <w:t xml:space="preserve"> a příloze 13</w:t>
      </w:r>
    </w:p>
    <w:p w:rsidR="00624FBE" w:rsidRPr="007E13F6" w:rsidRDefault="002B466E" w:rsidP="00847B2F">
      <w:r>
        <w:t>Ú</w:t>
      </w:r>
      <w:r w:rsidR="00624FBE" w:rsidRPr="007E13F6">
        <w:t>hrada vyčleněná z úhr</w:t>
      </w:r>
      <w:r>
        <w:t>ady formou případového paušálu</w:t>
      </w:r>
      <w:r w:rsidR="00624FBE" w:rsidRPr="007E13F6">
        <w:t xml:space="preserve"> zahrnuje hrazené služby zařazené podle Klasifikace do </w:t>
      </w:r>
      <w:r w:rsidR="000D5D93">
        <w:t>DRG</w:t>
      </w:r>
      <w:r w:rsidR="0060621E">
        <w:t xml:space="preserve"> </w:t>
      </w:r>
      <w:r w:rsidR="0060621E" w:rsidRPr="003A6BFC">
        <w:t>(Diagnos</w:t>
      </w:r>
      <w:r w:rsidR="0060621E" w:rsidRPr="004C2ABD">
        <w:t>is-</w:t>
      </w:r>
      <w:r w:rsidR="0060621E" w:rsidRPr="00552CFF">
        <w:t>Related Groups</w:t>
      </w:r>
      <w:r w:rsidR="0060621E">
        <w:t>)</w:t>
      </w:r>
      <w:r w:rsidR="000D5D93">
        <w:t xml:space="preserve"> </w:t>
      </w:r>
      <w:r w:rsidR="00624FBE" w:rsidRPr="007E13F6">
        <w:t xml:space="preserve">bazí vztažených k diagnóze uvedených v tabulce níže. Tímto opatřením zohledňujeme přesun nákladů spojený s přesunem pojištěnců mezi </w:t>
      </w:r>
      <w:r w:rsidR="00E22BF0">
        <w:t xml:space="preserve">zdravotními </w:t>
      </w:r>
      <w:r w:rsidR="00624FBE" w:rsidRPr="007E13F6">
        <w:t>pojišťovnami i poskytovateli při absenci koeficientů přechodu pojištěnců.</w:t>
      </w:r>
      <w:r w:rsidR="006330FB">
        <w:t xml:space="preserve"> </w:t>
      </w:r>
      <w:r w:rsidR="006330FB" w:rsidRPr="00B86DDF">
        <w:t xml:space="preserve">Byly </w:t>
      </w:r>
      <w:r w:rsidR="006330FB">
        <w:t xml:space="preserve">zachovány stejné </w:t>
      </w:r>
      <w:r w:rsidR="000D5D93">
        <w:t xml:space="preserve">DRG </w:t>
      </w:r>
      <w:r w:rsidR="006330FB" w:rsidRPr="00B86DDF">
        <w:t>baze</w:t>
      </w:r>
      <w:r w:rsidR="006330FB">
        <w:t xml:space="preserve"> jako pro rok 2016, </w:t>
      </w:r>
      <w:r w:rsidR="006330FB" w:rsidRPr="00B86DDF">
        <w:t>u kterých nehrozí riziko zneužití</w:t>
      </w:r>
      <w:r w:rsidR="00A358AD">
        <w:t xml:space="preserve"> a </w:t>
      </w:r>
      <w:r>
        <w:t>umělé navyšování vykázané</w:t>
      </w:r>
      <w:r w:rsidR="00A358AD">
        <w:t xml:space="preserve"> péče</w:t>
      </w:r>
      <w:r w:rsidR="006330FB" w:rsidRPr="00B86DDF">
        <w:t>.</w:t>
      </w:r>
      <w:r w:rsidR="006330FB">
        <w:t xml:space="preserve"> Dochází pouze k jedné změně, a to k uplatnění minimální základní referenční sazby, která je stanovena na </w:t>
      </w:r>
      <w:r w:rsidR="006330FB" w:rsidRPr="00B3010E">
        <w:t>2</w:t>
      </w:r>
      <w:r w:rsidR="009A612B">
        <w:t>5 0</w:t>
      </w:r>
      <w:r w:rsidR="006330FB" w:rsidRPr="00B3010E">
        <w:t>00</w:t>
      </w:r>
      <w:r w:rsidR="006330FB">
        <w:t xml:space="preserve"> Kč.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7938"/>
      </w:tblGrid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0D5D93" w:rsidP="005A7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DRG b</w:t>
            </w:r>
            <w:r w:rsidR="00624FBE" w:rsidRPr="007E13F6">
              <w:rPr>
                <w:b/>
                <w:sz w:val="22"/>
                <w:szCs w:val="22"/>
              </w:rPr>
              <w:t>aze</w:t>
            </w:r>
          </w:p>
        </w:tc>
        <w:tc>
          <w:tcPr>
            <w:tcW w:w="7938" w:type="dxa"/>
            <w:shd w:val="clear" w:color="auto" w:fill="auto"/>
            <w:noWrap/>
          </w:tcPr>
          <w:p w:rsidR="00624FBE" w:rsidRPr="007E13F6" w:rsidRDefault="00624FBE" w:rsidP="005A75EA">
            <w:pPr>
              <w:jc w:val="left"/>
              <w:rPr>
                <w:b/>
                <w:sz w:val="22"/>
              </w:rPr>
            </w:pPr>
            <w:r w:rsidRPr="007E13F6">
              <w:rPr>
                <w:b/>
                <w:sz w:val="22"/>
                <w:szCs w:val="22"/>
              </w:rPr>
              <w:t>Název skupiny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1460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POROD CÍSAŘSKÝM ŘEZEM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1461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VAGINÁLNÍ POROD SE STERILIZACÍ A/NEBO DILATACÍ A KYRETÁŽÍ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1462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VAGINÁLNÍ POROD S VÝKONEM, KROMĚ STERILIZACE A/NEBO DILATACE A KYRETÁŽE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1463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VAGINÁLNÍ POROD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1561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NOVOROZENEC, S TRANSPLANTACÍ ORGÁNU NEBO MIMOTĚLNÍ MEMBRÁNOVOU OXYGENACÍ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1562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NOVOROZENEC, VÁHA PŘI PORODU &lt;=1000G, SE ZÁKLADNÍM VÝKONEM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1563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NOVOROZENEC, VÁHA PŘI PORODU &lt;=1000G, BEZ ZÁKLADNÍHO VÝKONU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1564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NOVOROZENEC, VÁHA PŘI PORODU 1000-1499G, SE ZÁKLADNÍM VÝKONEM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1565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NOVOROZENEC, VÁHA PŘI PORODU 1000-1499G, BEZ ZÁKLADNÍHO VÝKONU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1566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NOVOROZENEC, VÁHA PŘI PORODU 1500-1999G, SE ZÁKLADNÍM VÝKONEM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1567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NOVOROZENEC, VÁHA PŘI PORODU 1500-1999G, BEZ ZÁKLADNÍHO VÝKONU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1568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NOVOROZENEC, VÁHA PŘI PORODU 2000-2499G, SE ZÁKLADNÍM VÝKONEM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1569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NOVOROZENEC, VÁHA PŘI PORODU 2000-2499G, BEZ ZÁKLADNÍHO VÝKONU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1570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NOVOROZENEC, VÁHA PŘI PORODU &gt;2499G, SE ZÁKLADNÍM VÝKONEM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lastRenderedPageBreak/>
              <w:t>1571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NOVOROZENEC, VÁHA PŘI PORODU &gt;2499G, S VÁŽNOU ANOMÁLIÍ NEBO DĚDIČNÝM STAVEM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1572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NOVOROZENEC, VÁHA PŘI PORODU &gt; 2499G, SE SYNDROMEM DÝCHACÍCH POTÍŽÍ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1573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NOVOROZENEC, VÁHA PŘI PORODU &gt; 2499G, S ASPIRAČNÍM SYNDROMEM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1574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NOVOROZENEC, VÁHA PŘI PORODU &gt; 2499G, S VROZENOU NEBO PERINATÁLNÍ INFEKCÍ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1575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NOVOROZENEC, VÁHA PŘI PORODU &gt; 2499G, BEZ ZÁKLADNÍHO VÝKONU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2401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HIV S VÝKONEM, S NĚKOLIKA ZÁVAŽNÝMI INFEKCEMI SOUVISEJÍCÍMI S HIV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2402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HIV S VÝKONEM, S DALŠÍ DIAGNÓZOU SOUVISEJÍCÍ S HIV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2403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HIV S VÝKONEM, BEZ DALŠÍ DIAGNÓZY SOUVISEJÍCÍ S HIV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2430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HIV S VENTILAČNÍ NEBO NUTRIČNÍ PODPOROU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2431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HIV S DALŠÍ DIAGNÓZOU SOUVISEJÍCÍ S HIV, PROPUŠTĚN PŘES LÉKAŘSKÉ DOPORUČENÍ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2432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HIV S NĚKOLIKA ZÁVAŽNÝMI INFEKCEMI SOUVISEJÍCÍMI S HIV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2433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HIV S DALŠÍ DIAGNÓZOU SOUVISEJÍCÍ S HIV, BEZ NĚKOLIKA ZÁVAŽNÝCH INFEKCÍ SOUVISEJÍCÍCH S HIV, S TUBERKULÓZOU</w:t>
            </w:r>
          </w:p>
        </w:tc>
      </w:tr>
      <w:tr w:rsidR="00624FBE" w:rsidRPr="00847B2F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2434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HIV S DALŠÍ DIAGNÓZOU SOUVISEJÍCÍ S HIV, BEZ NĚKOLIKA ZÁVAŽNÝCH INFEKCÍ SOUVISEJÍCÍCH S HIV, BEZ TUBERKULÓZY</w:t>
            </w:r>
          </w:p>
        </w:tc>
      </w:tr>
      <w:tr w:rsidR="00624FBE" w:rsidRPr="00896083" w:rsidTr="000D5D93">
        <w:trPr>
          <w:trHeight w:val="255"/>
        </w:trPr>
        <w:tc>
          <w:tcPr>
            <w:tcW w:w="1242" w:type="dxa"/>
            <w:shd w:val="clear" w:color="auto" w:fill="auto"/>
            <w:vAlign w:val="center"/>
          </w:tcPr>
          <w:p w:rsidR="00624FBE" w:rsidRPr="007E13F6" w:rsidRDefault="00624FBE" w:rsidP="005A75EA">
            <w:pPr>
              <w:jc w:val="center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2435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624FBE" w:rsidRPr="007E13F6" w:rsidRDefault="00624FBE" w:rsidP="005A75EA">
            <w:pPr>
              <w:spacing w:before="100" w:beforeAutospacing="1" w:after="100" w:afterAutospacing="1"/>
              <w:jc w:val="left"/>
              <w:rPr>
                <w:sz w:val="22"/>
                <w:szCs w:val="22"/>
              </w:rPr>
            </w:pPr>
            <w:r w:rsidRPr="007E13F6">
              <w:rPr>
                <w:sz w:val="22"/>
                <w:szCs w:val="22"/>
              </w:rPr>
              <w:t>HIV BEZ DALŠÍ DIAGNÓZY SOUVISEJÍCÍ S HIV</w:t>
            </w:r>
          </w:p>
        </w:tc>
      </w:tr>
    </w:tbl>
    <w:p w:rsidR="00624FBE" w:rsidRDefault="00624FBE" w:rsidP="00A358AD"/>
    <w:p w:rsidR="00111656" w:rsidRPr="00962F43" w:rsidRDefault="00111656" w:rsidP="00111656">
      <w:pPr>
        <w:rPr>
          <w:u w:val="single"/>
        </w:rPr>
      </w:pPr>
      <w:r w:rsidRPr="00962F43">
        <w:rPr>
          <w:u w:val="single"/>
        </w:rPr>
        <w:t>K § 4 a příloze 1, písmenu A. bodu 5</w:t>
      </w:r>
    </w:p>
    <w:p w:rsidR="00111656" w:rsidRPr="005007C1" w:rsidRDefault="00111656" w:rsidP="00111656">
      <w:r>
        <w:t>V případě poskytnutí zdravotních služeb zahraničním pojištěncům a v případě, že</w:t>
      </w:r>
      <w:r w:rsidRPr="00985DCD">
        <w:t xml:space="preserve"> poskytovatel poskytne v</w:t>
      </w:r>
      <w:r>
        <w:t> referenčním</w:t>
      </w:r>
      <w:r w:rsidRPr="00985DCD">
        <w:t xml:space="preserve"> nebo hodnoceném období hrazené služby 50 a méně pojištěncům příslušné zdravotní pojišťovny, hradí se tyto hrazené služby </w:t>
      </w:r>
      <w:r>
        <w:t xml:space="preserve">výkonově </w:t>
      </w:r>
      <w:r w:rsidRPr="00985DCD">
        <w:t>podle seznamu výkon</w:t>
      </w:r>
      <w:r>
        <w:t>ů a pro rok 2017, se hodnota bodu zvyšuje na 1,12</w:t>
      </w:r>
      <w:r w:rsidRPr="00985DCD">
        <w:t xml:space="preserve"> Kč.</w:t>
      </w:r>
      <w:r>
        <w:t xml:space="preserve"> Jedná se o stejný nárůst od roku 2014 do roku 2017, jako byl nastaven pro paušální úhradu akutní lůžkové péče.</w:t>
      </w:r>
    </w:p>
    <w:p w:rsidR="00111656" w:rsidRDefault="00111656" w:rsidP="00847B2F">
      <w:pPr>
        <w:rPr>
          <w:u w:val="single"/>
        </w:rPr>
      </w:pPr>
    </w:p>
    <w:p w:rsidR="005B6C55" w:rsidRPr="003A5DAE" w:rsidRDefault="005B6C55" w:rsidP="00847B2F">
      <w:pPr>
        <w:rPr>
          <w:u w:val="single"/>
        </w:rPr>
      </w:pPr>
      <w:r w:rsidRPr="003A5DAE">
        <w:rPr>
          <w:u w:val="single"/>
        </w:rPr>
        <w:t>K </w:t>
      </w:r>
      <w:r w:rsidRPr="009B1180">
        <w:rPr>
          <w:u w:val="single"/>
        </w:rPr>
        <w:t xml:space="preserve">§ 4 a </w:t>
      </w:r>
      <w:r w:rsidRPr="003A5DAE">
        <w:rPr>
          <w:u w:val="single"/>
        </w:rPr>
        <w:t xml:space="preserve">příloze 1, písmenu A. bodu </w:t>
      </w:r>
      <w:r w:rsidR="00624FBE">
        <w:rPr>
          <w:u w:val="single"/>
        </w:rPr>
        <w:t>6</w:t>
      </w:r>
    </w:p>
    <w:p w:rsidR="006330FB" w:rsidRDefault="006330FB" w:rsidP="006330FB">
      <w:r w:rsidRPr="00D24851">
        <w:t xml:space="preserve">Úhrada ambulantní péče poskytované poskytovateli lůžkové péče (tzv. ambulantní složka úhrady) bude stanovena </w:t>
      </w:r>
      <w:r>
        <w:t>obdobně</w:t>
      </w:r>
      <w:r w:rsidRPr="00D24851">
        <w:t xml:space="preserve"> jako v </w:t>
      </w:r>
      <w:r>
        <w:t>loňském roce</w:t>
      </w:r>
      <w:r w:rsidRPr="00D24851">
        <w:t>.</w:t>
      </w:r>
      <w:r>
        <w:t xml:space="preserve"> </w:t>
      </w:r>
      <w:r w:rsidR="00624FBE" w:rsidRPr="00325107">
        <w:t>V nemocničních ambulancích se stanoví maximá</w:t>
      </w:r>
      <w:r w:rsidR="00483827">
        <w:t xml:space="preserve">lní strop ambulantní úhrady na </w:t>
      </w:r>
      <w:r w:rsidR="00624FBE" w:rsidRPr="00325107">
        <w:t>10</w:t>
      </w:r>
      <w:r w:rsidR="00483827">
        <w:t>9</w:t>
      </w:r>
      <w:r w:rsidR="00624FBE" w:rsidRPr="00325107">
        <w:t xml:space="preserve"> % roku 201</w:t>
      </w:r>
      <w:r w:rsidR="00325107" w:rsidRPr="00847B2F">
        <w:t>5</w:t>
      </w:r>
      <w:r w:rsidR="00624FBE" w:rsidRPr="00325107">
        <w:t>.</w:t>
      </w:r>
      <w:r>
        <w:t xml:space="preserve"> Tento růst zajišťuje potřebný růst úhrady k pokrytí navýšení osobních nákladů v souvislosti s růstem tarifní složky platů o 10 %.</w:t>
      </w:r>
    </w:p>
    <w:p w:rsidR="006330FB" w:rsidRDefault="006330FB" w:rsidP="002205AC"/>
    <w:p w:rsidR="00325107" w:rsidRDefault="00325107" w:rsidP="002205AC">
      <w:r>
        <w:t>Celková maximální úhrad</w:t>
      </w:r>
      <w:r w:rsidR="00172EBC">
        <w:t>a</w:t>
      </w:r>
      <w:r>
        <w:t xml:space="preserve"> za ambulantní péči je rozdělena na dvě složky, na maximální úhradu laboratorní</w:t>
      </w:r>
      <w:r w:rsidR="00172EBC">
        <w:t>ho</w:t>
      </w:r>
      <w:r>
        <w:t xml:space="preserve"> komplementu a ostatních segmentů ambulantní péče u poskytovatelů akutní lůžkové péče. Maximální úhradu ostatních segmentů ambulantní péče lze navýšit v případě, že poskytovatel v hodnoceném období nedosáhl požadovanou produkci v akutní péči (97 % referenčního casemixu).</w:t>
      </w:r>
      <w:r w:rsidR="006A4E91">
        <w:t xml:space="preserve"> </w:t>
      </w:r>
      <w:r w:rsidR="007C3B59">
        <w:t xml:space="preserve">Tímto opatřením může být umožněno poskytovatelům navýšit maximální úhradu ambulantní péče, pokud dochází k přesunu péče z akutních lůžek do ambulancí, </w:t>
      </w:r>
      <w:r w:rsidR="00D526A0">
        <w:t xml:space="preserve">nicméně je zde ošetřena možnost velmi snadného navýšení produkce v laboratorním komplementu, ke které by mohlo docházet při nedosažení produkce v akutní lůžkové části, v případě </w:t>
      </w:r>
      <w:r w:rsidR="008C55E9">
        <w:t xml:space="preserve">umožnění </w:t>
      </w:r>
      <w:r w:rsidR="00526DAA">
        <w:t>navýšení</w:t>
      </w:r>
      <w:r w:rsidR="008C55E9">
        <w:t xml:space="preserve"> c</w:t>
      </w:r>
      <w:r w:rsidR="00526DAA">
        <w:t>elé ambulantní úhrady</w:t>
      </w:r>
      <w:r w:rsidR="00D526A0">
        <w:t>.</w:t>
      </w:r>
    </w:p>
    <w:p w:rsidR="00325107" w:rsidRDefault="00325107" w:rsidP="002205AC"/>
    <w:p w:rsidR="00325107" w:rsidRDefault="006330FB" w:rsidP="00325107">
      <w:r>
        <w:t>Hodnoty bodu u ambulantní péče poskytované poskytovateli lůžkové péče se stanoví ve stejné výši jako u</w:t>
      </w:r>
      <w:r w:rsidR="007C3B59">
        <w:t xml:space="preserve"> mimo nemocničních ambulancí. N</w:t>
      </w:r>
      <w:r>
        <w:t xml:space="preserve">edochází k uplatnění úhradových mechanismů (maximálního stropu dle průměrné úhrady na unikátního pojištěnce příp. snížené výsledné hodnoty bodu) z jednotlivých příloh. </w:t>
      </w:r>
      <w:r w:rsidR="007C3B59">
        <w:t>Dále z</w:t>
      </w:r>
      <w:r w:rsidR="00F97164">
        <w:t> důvodu podpory nepřetržité péče</w:t>
      </w:r>
      <w:r w:rsidR="006344DB">
        <w:t xml:space="preserve"> a snahy zohlednit vyšší fixní náklady</w:t>
      </w:r>
      <w:r w:rsidR="00F97164">
        <w:t>, bude p</w:t>
      </w:r>
      <w:r w:rsidR="00325107">
        <w:t>oskytovatelům, kteří poskytují nepřetržitou péči alespoň 16 hodin 7 dní v týdnu v laboratoři a na radiodiagnostickém oddělení, nále</w:t>
      </w:r>
      <w:r w:rsidR="00F97164">
        <w:t>žet</w:t>
      </w:r>
      <w:r w:rsidR="00325107">
        <w:t xml:space="preserve"> navýšení úhrady ve výši 0,0</w:t>
      </w:r>
      <w:r w:rsidR="000A37FA">
        <w:t>5</w:t>
      </w:r>
      <w:r w:rsidR="00325107">
        <w:t xml:space="preserve"> Kč za každý vykázaný a zdravotní pojišťovnou uznaný bod.</w:t>
      </w:r>
      <w:r w:rsidR="00943A16">
        <w:t xml:space="preserve"> </w:t>
      </w:r>
    </w:p>
    <w:p w:rsidR="00325107" w:rsidRDefault="00325107" w:rsidP="00325107"/>
    <w:p w:rsidR="00325107" w:rsidRDefault="00325107" w:rsidP="002205AC">
      <w:r>
        <w:t xml:space="preserve">Z důvodu </w:t>
      </w:r>
      <w:r w:rsidR="00F97164">
        <w:t xml:space="preserve">doporučení </w:t>
      </w:r>
      <w:r w:rsidR="000C5F08">
        <w:t>ministerstva</w:t>
      </w:r>
      <w:r w:rsidR="00EE531B">
        <w:t xml:space="preserve"> a v souladu s U</w:t>
      </w:r>
      <w:r w:rsidR="004E2C48">
        <w:t>snesením vlády ČR č. 466/2010 a </w:t>
      </w:r>
      <w:r w:rsidR="00EE531B">
        <w:t>č.</w:t>
      </w:r>
      <w:r w:rsidR="00111656">
        <w:t> </w:t>
      </w:r>
      <w:r w:rsidR="00EE531B">
        <w:t>76/2015</w:t>
      </w:r>
      <w:r w:rsidR="00F97164">
        <w:t xml:space="preserve">, </w:t>
      </w:r>
      <w:r>
        <w:t>aby laboratorní screeningová vyšetření novorozenců byla prováděna u všech novorozenců narozených na území ČR</w:t>
      </w:r>
      <w:r w:rsidR="00F97164">
        <w:t xml:space="preserve"> (Věstníku č. 6/2016) a podpory novorozeneckých laboratorních screeningů jako </w:t>
      </w:r>
      <w:r w:rsidR="00EE531B">
        <w:t>rychlé</w:t>
      </w:r>
      <w:r w:rsidR="00F97164">
        <w:t xml:space="preserve"> diagnostiky </w:t>
      </w:r>
      <w:r w:rsidR="00EE531B">
        <w:t>vzácných onemocnění, která umožňuje včasnou léčbu novorozenců</w:t>
      </w:r>
      <w:r>
        <w:t xml:space="preserve">, </w:t>
      </w:r>
      <w:r w:rsidR="00F97164">
        <w:t xml:space="preserve">se </w:t>
      </w:r>
      <w:r>
        <w:t xml:space="preserve">nezahrne novorozenecký laboratorní screening do </w:t>
      </w:r>
      <w:r w:rsidR="00CC6FFF">
        <w:t>regulace na vyžádanou péči ani maximální úhrady a tyto výkony budou hrazeny dle seznamu výkonů bez limit</w:t>
      </w:r>
      <w:r w:rsidR="00CC6FFF" w:rsidRPr="00223822">
        <w:t>u.</w:t>
      </w:r>
    </w:p>
    <w:p w:rsidR="00EE531B" w:rsidRDefault="00EE531B" w:rsidP="006330FB"/>
    <w:p w:rsidR="006330FB" w:rsidRDefault="006330FB" w:rsidP="006330FB">
      <w:r>
        <w:t xml:space="preserve">Nově bude uplatňována regulace za předepsané léčivé přípravky od překročení 98 % roku 2014, jelikož </w:t>
      </w:r>
      <w:r w:rsidR="00C54069">
        <w:t xml:space="preserve">je snaha regulovat zvýšené náklady za léčivé přípravky, navíc </w:t>
      </w:r>
      <w:r>
        <w:t>v roce 2015 poklesl</w:t>
      </w:r>
      <w:r w:rsidR="0025397F">
        <w:t>a</w:t>
      </w:r>
      <w:r>
        <w:t xml:space="preserve"> DPH, ale v úhradách se tato změna neprojevila a </w:t>
      </w:r>
      <w:r w:rsidR="00E53EF5">
        <w:t>náklady na</w:t>
      </w:r>
      <w:r w:rsidR="00F97164">
        <w:t xml:space="preserve"> předepsan</w:t>
      </w:r>
      <w:r w:rsidR="00E53EF5">
        <w:t>é</w:t>
      </w:r>
      <w:r w:rsidR="00F97164">
        <w:t xml:space="preserve"> l</w:t>
      </w:r>
      <w:r w:rsidR="00C54069">
        <w:t>éčiv</w:t>
      </w:r>
      <w:r w:rsidR="00E53EF5">
        <w:t>é</w:t>
      </w:r>
      <w:r w:rsidR="00C54069">
        <w:t xml:space="preserve"> přípravk</w:t>
      </w:r>
      <w:r w:rsidR="00E53EF5">
        <w:t>y</w:t>
      </w:r>
      <w:r w:rsidR="00C54069">
        <w:t xml:space="preserve"> neustále rostl</w:t>
      </w:r>
      <w:r w:rsidR="00E53EF5">
        <w:t>y</w:t>
      </w:r>
      <w:r w:rsidR="00F97164">
        <w:t>.</w:t>
      </w:r>
    </w:p>
    <w:p w:rsidR="005B6C55" w:rsidRDefault="005B6C55" w:rsidP="005B6C55"/>
    <w:p w:rsidR="005B6C55" w:rsidRPr="003A5DAE" w:rsidRDefault="005B6C55" w:rsidP="00847B2F">
      <w:pPr>
        <w:rPr>
          <w:u w:val="single"/>
        </w:rPr>
      </w:pPr>
      <w:r w:rsidRPr="003A5DAE">
        <w:rPr>
          <w:u w:val="single"/>
        </w:rPr>
        <w:t>K </w:t>
      </w:r>
      <w:r w:rsidRPr="009B1180">
        <w:rPr>
          <w:u w:val="single"/>
        </w:rPr>
        <w:t xml:space="preserve">§ 4 a </w:t>
      </w:r>
      <w:r w:rsidRPr="003A5DAE">
        <w:rPr>
          <w:u w:val="single"/>
        </w:rPr>
        <w:t>příloze 1, písmenu B</w:t>
      </w:r>
    </w:p>
    <w:p w:rsidR="00624FBE" w:rsidRPr="00847B2F" w:rsidRDefault="00624FBE" w:rsidP="00624FBE">
      <w:r w:rsidRPr="00A40FB0">
        <w:t xml:space="preserve">Následná lůžková zdravotní péče (odborné léčebné ústavy, léčebny dlouhodobě nemocných, ošetřovatelská lůžka) bude v roce </w:t>
      </w:r>
      <w:r w:rsidR="004F3FDA" w:rsidRPr="00A40FB0">
        <w:t>201</w:t>
      </w:r>
      <w:r w:rsidR="004F3FDA">
        <w:t>7</w:t>
      </w:r>
      <w:r w:rsidR="004F3FDA" w:rsidRPr="00A40FB0">
        <w:t xml:space="preserve"> </w:t>
      </w:r>
      <w:r w:rsidRPr="00A40FB0">
        <w:t>hrazena paušální sazbou za jeden den hospitalizace. Paušální sazba v roce 201</w:t>
      </w:r>
      <w:r w:rsidR="00A40FB0" w:rsidRPr="00847B2F">
        <w:t>7</w:t>
      </w:r>
      <w:r w:rsidRPr="00847B2F">
        <w:t xml:space="preserve"> bude stanovena jako maximum </w:t>
      </w:r>
      <w:r w:rsidR="00A40FB0" w:rsidRPr="00847B2F">
        <w:t xml:space="preserve">dvou hodnot </w:t>
      </w:r>
      <w:r w:rsidR="009F346E">
        <w:t>–</w:t>
      </w:r>
      <w:r w:rsidRPr="00A40FB0">
        <w:t xml:space="preserve"> 1</w:t>
      </w:r>
      <w:r w:rsidR="00A40FB0" w:rsidRPr="00847B2F">
        <w:t>06</w:t>
      </w:r>
      <w:r w:rsidR="009F346E">
        <w:t>,5</w:t>
      </w:r>
      <w:r w:rsidRPr="00847B2F">
        <w:t xml:space="preserve"> % paušální sazb</w:t>
      </w:r>
      <w:r w:rsidR="00D51B36">
        <w:t>y</w:t>
      </w:r>
      <w:r w:rsidRPr="00847B2F">
        <w:t xml:space="preserve"> v roce 201</w:t>
      </w:r>
      <w:r w:rsidR="00A40FB0" w:rsidRPr="00847B2F">
        <w:t>6</w:t>
      </w:r>
      <w:r w:rsidRPr="00847B2F">
        <w:t>; minimální paušální sazba stanovená pro každ</w:t>
      </w:r>
      <w:r w:rsidR="0025397F">
        <w:t>ý ošetřovací den</w:t>
      </w:r>
      <w:r w:rsidRPr="00847B2F">
        <w:t xml:space="preserve"> a kategorii pacienta. Toto navýšení má za cíl alokovat poskytovatelům dostatečné finanční prostředky pro pokrytí nárůstu platů a rovněž zvýšit nejnižší paušální sazby a tím sblížit paušální sazby mezi </w:t>
      </w:r>
      <w:r w:rsidR="0093083F">
        <w:t xml:space="preserve">zdravotními </w:t>
      </w:r>
      <w:r w:rsidRPr="00847B2F">
        <w:t>pojišťovnami</w:t>
      </w:r>
      <w:r w:rsidR="0093083F">
        <w:t xml:space="preserve"> a poskytovateli</w:t>
      </w:r>
      <w:r w:rsidRPr="00847B2F">
        <w:t>.</w:t>
      </w:r>
      <w:r w:rsidR="00C54069">
        <w:t xml:space="preserve"> U </w:t>
      </w:r>
      <w:r w:rsidR="0025397F">
        <w:t>ošetřovacího dne</w:t>
      </w:r>
      <w:r w:rsidR="00C54069" w:rsidRPr="00980A66">
        <w:t xml:space="preserve"> 000</w:t>
      </w:r>
      <w:r w:rsidR="00C10902">
        <w:t>0</w:t>
      </w:r>
      <w:r w:rsidR="00C54069" w:rsidRPr="00980A66">
        <w:t xml:space="preserve">5 ke sbližování minimálních paušálních sazeb pro rok 2017 nedochází, neboť u tohoto typu </w:t>
      </w:r>
      <w:r w:rsidR="0025397F">
        <w:t>ošetřovacího dne</w:t>
      </w:r>
      <w:r w:rsidR="00C54069" w:rsidRPr="00980A66">
        <w:t xml:space="preserve"> lze sledovat výrazný trend nárůstu počtu ošetřovacích dn</w:t>
      </w:r>
      <w:r w:rsidR="00C54069" w:rsidRPr="00847B2F">
        <w:t>í</w:t>
      </w:r>
      <w:r w:rsidR="00C84653">
        <w:t>, tedy i celkových nákladů, sbližování těchto sazeb by mělo za důsledek výrazný finanční dopad na některé zdravotní pojišťovny.</w:t>
      </w:r>
    </w:p>
    <w:p w:rsidR="00624FBE" w:rsidRPr="00847B2F" w:rsidRDefault="00624FBE" w:rsidP="00624FBE"/>
    <w:p w:rsidR="00624FBE" w:rsidRPr="00847B2F" w:rsidRDefault="00624FBE" w:rsidP="00624FBE">
      <w:r w:rsidRPr="00847B2F">
        <w:t xml:space="preserve">Minimální paušální sazby </w:t>
      </w:r>
      <w:r w:rsidR="00F75C17">
        <w:t xml:space="preserve">také </w:t>
      </w:r>
      <w:r w:rsidRPr="00847B2F">
        <w:t>zohledňují zvýšené nároky na</w:t>
      </w:r>
      <w:r w:rsidR="004E2C48">
        <w:t xml:space="preserve"> počet ošetřovacího personálu u </w:t>
      </w:r>
      <w:r w:rsidR="0025397F">
        <w:t>ošetřovacího dne</w:t>
      </w:r>
      <w:r w:rsidRPr="00847B2F">
        <w:t xml:space="preserve"> č. 00022 (lůžka rehabilitačníc</w:t>
      </w:r>
      <w:r w:rsidR="004E2C48">
        <w:t>h odborných léčebných ústavů) a </w:t>
      </w:r>
      <w:r w:rsidR="0025397F">
        <w:t>ošetřovacího dne</w:t>
      </w:r>
      <w:r w:rsidRPr="00847B2F">
        <w:t xml:space="preserve"> č. 00027 (lůžka dětských rehabilitačních</w:t>
      </w:r>
      <w:r w:rsidR="004E2C48">
        <w:t xml:space="preserve"> odborných léčebných ústavů), u </w:t>
      </w:r>
      <w:r w:rsidRPr="00847B2F">
        <w:t>kategorií pacientů 3 a 4 podle seznamu výkonů. Tyto zvýšené náklady vznikly v roce 2013 v souvislosti s novou vyhláškou č. 99/2012 Sb., o požadavcích na minimální personální zabezpečení zdravotních služeb. Tato vyhláška stanovuje pro kategorie pacientů 3 a 4 zajistit nad rámec obvyklého počtu zaměstnanců navíc 0,5 úva</w:t>
      </w:r>
      <w:r w:rsidR="004E2C48">
        <w:t>zku lékaře, 0,8 úvazku lékaře s </w:t>
      </w:r>
      <w:r w:rsidRPr="00847B2F">
        <w:t>odbornou způsobilostí, 9,0 úvazk</w:t>
      </w:r>
      <w:r w:rsidR="001738AA">
        <w:t>ů</w:t>
      </w:r>
      <w:r w:rsidRPr="00847B2F">
        <w:t xml:space="preserve"> všeobecné sestry, 10,0 úvazk</w:t>
      </w:r>
      <w:r w:rsidR="001738AA">
        <w:t>ů</w:t>
      </w:r>
      <w:r w:rsidRPr="00847B2F">
        <w:t xml:space="preserve"> sanitáře, ošetřovatele či maséra a 3,0 úvazky fyzioterapeuta nebo ergoterapeuta.</w:t>
      </w:r>
    </w:p>
    <w:p w:rsidR="00624FBE" w:rsidRPr="00847B2F" w:rsidRDefault="00624FBE" w:rsidP="00624FBE"/>
    <w:p w:rsidR="00624FBE" w:rsidRDefault="00624FBE" w:rsidP="00847B2F">
      <w:r w:rsidRPr="00847B2F">
        <w:t>Hodnota bodu pro úhradu zvláštní lůžkové péče se oproti roku 201</w:t>
      </w:r>
      <w:r w:rsidR="00BB354E">
        <w:t>6</w:t>
      </w:r>
      <w:r w:rsidRPr="00BB354E">
        <w:t xml:space="preserve"> navyšuje o </w:t>
      </w:r>
      <w:r w:rsidR="00BB354E">
        <w:t>8</w:t>
      </w:r>
      <w:r w:rsidRPr="00BB354E">
        <w:t xml:space="preserve"> haléřů, </w:t>
      </w:r>
      <w:r w:rsidR="00BB354E">
        <w:t>což umožní poskytovatelům hospicového typu navýšení mezd a platů zdravotníků</w:t>
      </w:r>
      <w:r w:rsidRPr="00BB354E">
        <w:t>.</w:t>
      </w:r>
    </w:p>
    <w:p w:rsidR="00C54069" w:rsidRDefault="00C54069" w:rsidP="00C54069"/>
    <w:p w:rsidR="00C54069" w:rsidRDefault="003765B8" w:rsidP="00847B2F">
      <w:r>
        <w:t xml:space="preserve">U poskytovatelů zvláštní ambulantní péče nedochází ke změnám v úhradových mechanismech. Regulační omezení je opět nastaveno na maximální úhradě, která se </w:t>
      </w:r>
      <w:r w:rsidRPr="0075069F">
        <w:t>vypočte jako počet unikátních pojištěnců násobených průměrnou úhradou na jednoho unikátního pojištěnce v r</w:t>
      </w:r>
      <w:r>
        <w:t>eferenčním období. Indexem navýšení je pro rok 2017 nastaven na 1,26</w:t>
      </w:r>
      <w:r w:rsidR="00C829FD">
        <w:t>, tzn. růst průměrné úhrady o 26 % oproti roku 2015</w:t>
      </w:r>
      <w:r w:rsidR="007A54F5">
        <w:t xml:space="preserve"> (</w:t>
      </w:r>
      <w:r w:rsidR="003135C5">
        <w:t xml:space="preserve">dopad </w:t>
      </w:r>
      <w:r w:rsidR="007A54F5">
        <w:t>cca 330 mil. Kč)</w:t>
      </w:r>
      <w:r w:rsidRPr="0075069F">
        <w:t>.</w:t>
      </w:r>
      <w:r w:rsidR="00C829FD">
        <w:t xml:space="preserve"> </w:t>
      </w:r>
      <w:r>
        <w:t>Tento index</w:t>
      </w:r>
      <w:r w:rsidR="00C54069">
        <w:t xml:space="preserve"> zohled</w:t>
      </w:r>
      <w:r w:rsidR="00F537A5">
        <w:t>ní</w:t>
      </w:r>
      <w:r w:rsidR="00C54069">
        <w:t xml:space="preserve"> navýšení minutové režijní sazby v seznamu výkonů u </w:t>
      </w:r>
      <w:r w:rsidR="00F07701">
        <w:t xml:space="preserve">všeobecných </w:t>
      </w:r>
      <w:r w:rsidR="00C54069">
        <w:t xml:space="preserve">sester v sociálních službách na úroveň odbornosti </w:t>
      </w:r>
      <w:r w:rsidR="00F07701">
        <w:t>domácí zdravotní péče</w:t>
      </w:r>
      <w:r w:rsidR="003135C5">
        <w:t xml:space="preserve"> a také</w:t>
      </w:r>
      <w:r w:rsidR="00C829FD">
        <w:t xml:space="preserve"> navýšení platů</w:t>
      </w:r>
      <w:r w:rsidR="003135C5">
        <w:t xml:space="preserve"> o 6 % oproti roku 2015, resp. 3 % oproti roku 2016</w:t>
      </w:r>
      <w:r w:rsidR="00C829FD">
        <w:t>.</w:t>
      </w:r>
    </w:p>
    <w:p w:rsidR="005B6C55" w:rsidRDefault="005B6C55" w:rsidP="005B6C55">
      <w:pPr>
        <w:ind w:firstLine="708"/>
      </w:pPr>
    </w:p>
    <w:p w:rsidR="005B6C55" w:rsidRPr="00F60446" w:rsidRDefault="005B6C55" w:rsidP="005B6C55">
      <w:pPr>
        <w:rPr>
          <w:u w:val="single"/>
        </w:rPr>
      </w:pPr>
      <w:r w:rsidRPr="00F60446">
        <w:rPr>
          <w:u w:val="single"/>
        </w:rPr>
        <w:t>K § 5 a příloze 2</w:t>
      </w:r>
    </w:p>
    <w:p w:rsidR="005B6C55" w:rsidRPr="00BE0EFE" w:rsidRDefault="005B6C55" w:rsidP="005B6C55">
      <w:r w:rsidRPr="00BE0EFE">
        <w:t xml:space="preserve">Stanoví </w:t>
      </w:r>
      <w:r w:rsidRPr="00607791">
        <w:t>se hodnota bodu, výše úhrad hrazených služeb a regulační omezení pro hrazené služby poskytované poskytovateli v oboru</w:t>
      </w:r>
      <w:r w:rsidR="002D504F" w:rsidRPr="00607791">
        <w:t xml:space="preserve"> všeobecné praktické lékařství </w:t>
      </w:r>
      <w:r w:rsidR="004E2C48">
        <w:t>a poskytovateli v </w:t>
      </w:r>
      <w:r w:rsidRPr="00D555EB">
        <w:t>oboru praktické lékařství pro děti a dorost</w:t>
      </w:r>
      <w:r w:rsidRPr="00BE0EFE">
        <w:t>.</w:t>
      </w:r>
    </w:p>
    <w:p w:rsidR="005B6C55" w:rsidRPr="00847B2F" w:rsidRDefault="005B6C55" w:rsidP="005B6C55">
      <w:pPr>
        <w:pStyle w:val="Odstavecseseznamem"/>
        <w:ind w:left="0"/>
        <w:rPr>
          <w:highlight w:val="yellow"/>
        </w:rPr>
      </w:pPr>
    </w:p>
    <w:p w:rsidR="00BB354E" w:rsidRDefault="00BB354E" w:rsidP="00BB354E">
      <w:pPr>
        <w:pStyle w:val="Odstavecseseznamem"/>
        <w:ind w:left="0"/>
      </w:pPr>
      <w:r w:rsidRPr="00100499">
        <w:t xml:space="preserve">Pro praktické lékaře pro </w:t>
      </w:r>
      <w:r>
        <w:t>dospělé jsou nastaveny pro rok 2017</w:t>
      </w:r>
      <w:r w:rsidRPr="00100499">
        <w:t xml:space="preserve"> </w:t>
      </w:r>
      <w:r>
        <w:t>tři</w:t>
      </w:r>
      <w:r w:rsidRPr="00100499">
        <w:t xml:space="preserve"> základní kapitační platb</w:t>
      </w:r>
      <w:r>
        <w:t>y</w:t>
      </w:r>
      <w:r w:rsidRPr="00100499">
        <w:t xml:space="preserve"> ve výši 5</w:t>
      </w:r>
      <w:r w:rsidR="00C91D88">
        <w:t>4</w:t>
      </w:r>
      <w:r w:rsidRPr="00100499">
        <w:t xml:space="preserve"> Kč</w:t>
      </w:r>
      <w:r>
        <w:t xml:space="preserve">, </w:t>
      </w:r>
      <w:r w:rsidR="00C91D88">
        <w:t>50</w:t>
      </w:r>
      <w:r>
        <w:t xml:space="preserve"> Kč a 4</w:t>
      </w:r>
      <w:r w:rsidR="00C91D88">
        <w:t>8</w:t>
      </w:r>
      <w:r>
        <w:t xml:space="preserve"> Kč navázané na ordinační dobu. </w:t>
      </w:r>
      <w:r w:rsidR="00F537A5">
        <w:t xml:space="preserve">K navýšení dochází z důvodu zohlednění vyššího počtu výkonů zahrnutých v kapitační platbě po zrušení regulačních poplatků, kdy pacienti navštěvují praktické lékaře o 30 % více než před zrušením regulačních poplatků. </w:t>
      </w:r>
      <w:r>
        <w:t xml:space="preserve">Kapitační platba bude navýšena dále </w:t>
      </w:r>
      <w:r w:rsidRPr="00100499">
        <w:t xml:space="preserve">o </w:t>
      </w:r>
      <w:r w:rsidR="00C91D88">
        <w:t>0,5</w:t>
      </w:r>
      <w:r w:rsidRPr="00100499">
        <w:t xml:space="preserve"> Kč, pokud praktický lékař </w:t>
      </w:r>
      <w:r>
        <w:t xml:space="preserve">pro dospělé </w:t>
      </w:r>
      <w:r w:rsidRPr="00100499">
        <w:t>provedl v hodnocené</w:t>
      </w:r>
      <w:r>
        <w:t xml:space="preserve">m období preventivní prohlídku </w:t>
      </w:r>
      <w:r w:rsidRPr="00100499">
        <w:t xml:space="preserve">alespoň u </w:t>
      </w:r>
      <w:r w:rsidR="00C91D88">
        <w:t>30</w:t>
      </w:r>
      <w:r w:rsidRPr="00100499">
        <w:t xml:space="preserve"> % svých registrovaných pojištěnců příslušné zdravotní pojišťovny ve věku od 40 do 80 let</w:t>
      </w:r>
      <w:r w:rsidR="00543EE3">
        <w:t xml:space="preserve"> (v tomto věku je ze zákona hrazen větší rozsah preventivních vyšetření)</w:t>
      </w:r>
      <w:r>
        <w:t>.</w:t>
      </w:r>
      <w:r w:rsidR="00F07701">
        <w:t xml:space="preserve"> </w:t>
      </w:r>
      <w:r w:rsidR="00F07701" w:rsidRPr="00100499">
        <w:t>Cílem tohoto opatření je i nadále motivovat poskytovatele, aby se aktivně starali o své pacienty.</w:t>
      </w:r>
    </w:p>
    <w:p w:rsidR="00F07701" w:rsidRDefault="00F07701" w:rsidP="00F07701">
      <w:pPr>
        <w:pStyle w:val="Odstavecseseznamem"/>
        <w:ind w:left="0"/>
      </w:pPr>
    </w:p>
    <w:p w:rsidR="00F07701" w:rsidRPr="00100499" w:rsidRDefault="00F07701" w:rsidP="00BB354E">
      <w:pPr>
        <w:pStyle w:val="Odstavecseseznamem"/>
        <w:ind w:left="0"/>
      </w:pPr>
      <w:r>
        <w:t>Oproti roku 2016 dochází ke zvýšení hodnoty bodu pro výkony</w:t>
      </w:r>
      <w:r w:rsidR="00CF517E">
        <w:t xml:space="preserve"> prevence</w:t>
      </w:r>
      <w:r>
        <w:t xml:space="preserve"> a pro výkony očkování </w:t>
      </w:r>
      <w:r w:rsidR="009E489A">
        <w:t xml:space="preserve">pro praktické lékaře pro děti a dorost </w:t>
      </w:r>
      <w:r>
        <w:t xml:space="preserve">z 1,12 Kč na 1,14 Kč za bod. Ke zvyšování hodnot bodu u těchto výkonů dochází z důvodu snahy posilovat mimokapitační složku úhrady, která motivuje </w:t>
      </w:r>
      <w:r w:rsidR="0026325F">
        <w:t>praktické lékaře</w:t>
      </w:r>
      <w:r w:rsidR="00FA0D3C">
        <w:t xml:space="preserve"> pro děti a dorost</w:t>
      </w:r>
      <w:r w:rsidR="0026325F">
        <w:t xml:space="preserve"> </w:t>
      </w:r>
      <w:r>
        <w:t xml:space="preserve">k aktivnímu přístupu </w:t>
      </w:r>
      <w:r w:rsidR="0026325F">
        <w:t>ke svým registrovaným pacientům</w:t>
      </w:r>
      <w:r>
        <w:t>.</w:t>
      </w:r>
    </w:p>
    <w:p w:rsidR="005B6C55" w:rsidRDefault="005B6C55" w:rsidP="005B6C55"/>
    <w:p w:rsidR="005B6C55" w:rsidRPr="00F60446" w:rsidRDefault="005B6C55" w:rsidP="005B6C55">
      <w:pPr>
        <w:rPr>
          <w:u w:val="single"/>
        </w:rPr>
      </w:pPr>
      <w:r w:rsidRPr="00F60446">
        <w:rPr>
          <w:u w:val="single"/>
        </w:rPr>
        <w:t xml:space="preserve">K § </w:t>
      </w:r>
      <w:r>
        <w:rPr>
          <w:u w:val="single"/>
        </w:rPr>
        <w:t>6</w:t>
      </w:r>
      <w:r w:rsidRPr="00F60446">
        <w:rPr>
          <w:u w:val="single"/>
        </w:rPr>
        <w:t xml:space="preserve"> a příloze </w:t>
      </w:r>
      <w:r>
        <w:rPr>
          <w:u w:val="single"/>
        </w:rPr>
        <w:t>3</w:t>
      </w:r>
    </w:p>
    <w:p w:rsidR="005B6C55" w:rsidRDefault="005B6C55" w:rsidP="005B6C55">
      <w:r w:rsidRPr="00BE0EFE">
        <w:t>Stanoví se hodnota bodu, výše úhrad hrazených služeb a regulační omezení pro hrazené služby poskytované poskytovateli specializované ambulantní péče, včetně poskytovatelů hemodialyzační zdravotní péče a poskytovate</w:t>
      </w:r>
      <w:r w:rsidRPr="00607791">
        <w:t>li v odbornostech 905</w:t>
      </w:r>
      <w:r w:rsidR="00E9791D">
        <w:t xml:space="preserve"> (zrakový terapeut)</w:t>
      </w:r>
      <w:r w:rsidRPr="00607791">
        <w:t xml:space="preserve">, 919 </w:t>
      </w:r>
      <w:r w:rsidR="00E9791D">
        <w:t xml:space="preserve">(adiktologie) </w:t>
      </w:r>
      <w:r w:rsidRPr="00607791">
        <w:t xml:space="preserve">a 927 </w:t>
      </w:r>
      <w:r w:rsidR="00E9791D">
        <w:t xml:space="preserve">(ortoptista) </w:t>
      </w:r>
      <w:r w:rsidRPr="00607791">
        <w:t>podle seznamu výkonů</w:t>
      </w:r>
      <w:r w:rsidRPr="00BE0EFE">
        <w:t>.</w:t>
      </w:r>
      <w:r w:rsidR="00BE0EFE">
        <w:t xml:space="preserve"> Ustanovení týkající se hemodialyzační zdravotní péče vychází z dohodovacího řízení.</w:t>
      </w:r>
      <w:r w:rsidR="006D580B">
        <w:t xml:space="preserve"> </w:t>
      </w:r>
      <w:r w:rsidR="006D580B" w:rsidRPr="00B3010E">
        <w:t>Po</w:t>
      </w:r>
      <w:r w:rsidR="006D580B" w:rsidRPr="00BE0EFE">
        <w:t>skytovatelé ambulantní hemodial</w:t>
      </w:r>
      <w:r w:rsidR="006D580B">
        <w:t>y</w:t>
      </w:r>
      <w:r w:rsidR="006D580B" w:rsidRPr="00B3010E">
        <w:t>zační péče se dohodli na zvýšení hodnoty bodu z 0,90 Kč na 0,91 K</w:t>
      </w:r>
      <w:r w:rsidR="004E2C48">
        <w:t>č za bod. Pro výkony č. 18530 a </w:t>
      </w:r>
      <w:r w:rsidR="006D580B" w:rsidRPr="00B3010E">
        <w:t>18550 (hemofiltrace a hemodiafiltrace) podle seznamu výkonů se hodnota bodu zvyšuje z 0,75 Kč na 0,76 Kč za bod.</w:t>
      </w:r>
    </w:p>
    <w:p w:rsidR="006D580B" w:rsidRDefault="006D580B" w:rsidP="005B6C55"/>
    <w:p w:rsidR="005B6C55" w:rsidRPr="0093083F" w:rsidRDefault="00F649B2" w:rsidP="005B6C55">
      <w:r>
        <w:lastRenderedPageBreak/>
        <w:t xml:space="preserve">V segmentu ambulantních specialistů nedochází </w:t>
      </w:r>
      <w:r w:rsidR="004300F7">
        <w:t>ke změnám v úhradových mechanismech</w:t>
      </w:r>
      <w:r>
        <w:t xml:space="preserve"> ani výši úhrad</w:t>
      </w:r>
      <w:r w:rsidR="004300F7">
        <w:t xml:space="preserve"> oproti roku 2016</w:t>
      </w:r>
      <w:r>
        <w:t xml:space="preserve">. </w:t>
      </w:r>
      <w:r w:rsidR="00E54BB1">
        <w:t>Regulační omezení je op</w:t>
      </w:r>
      <w:r w:rsidR="00C8068A">
        <w:t>ět nastave</w:t>
      </w:r>
      <w:r w:rsidR="00E54BB1">
        <w:t>no na</w:t>
      </w:r>
      <w:r w:rsidR="00C8068A">
        <w:t xml:space="preserve"> maximální úhradě, která se </w:t>
      </w:r>
      <w:r w:rsidR="006D580B" w:rsidRPr="0075069F">
        <w:t>vypočte jako počet unikátních pojištěnců násobených průměrnou úhradou na jednoho unikátního pojištěnce v r</w:t>
      </w:r>
      <w:r w:rsidR="006D580B">
        <w:t>eferenčním období a indexem 1,0</w:t>
      </w:r>
      <w:r w:rsidR="00FA0D3C">
        <w:t>3</w:t>
      </w:r>
      <w:r w:rsidR="00962F43">
        <w:t>5</w:t>
      </w:r>
      <w:r w:rsidR="006D580B" w:rsidRPr="0075069F">
        <w:t xml:space="preserve">. Pokud úhrada za mimořádně nákladné pojištěnce (pětinásobek průměrné úhrady na </w:t>
      </w:r>
      <w:r w:rsidR="004E2C48">
        <w:t>jednoho unikátního pojištěnce v </w:t>
      </w:r>
      <w:r w:rsidR="006D580B" w:rsidRPr="0075069F">
        <w:t>referenčním období) v hodnoceném období převýší úhradu za mimořádně nákladné pojištěnce v referenčním období, bude mu tato úhrada zaplacena.</w:t>
      </w:r>
      <w:r w:rsidR="004300F7">
        <w:t xml:space="preserve"> Takto zvolený úhradový mechanismus motivuje </w:t>
      </w:r>
      <w:r w:rsidR="004300F7" w:rsidRPr="004300F7">
        <w:t xml:space="preserve">poskytovatele zdravotních </w:t>
      </w:r>
      <w:r w:rsidR="004E2C48">
        <w:t>služeb k zvyšování efektivity v </w:t>
      </w:r>
      <w:r w:rsidR="004300F7" w:rsidRPr="004300F7">
        <w:t>poskytování hrazených zdravotních služeb</w:t>
      </w:r>
      <w:r w:rsidR="004300F7">
        <w:t>.</w:t>
      </w:r>
      <w:r w:rsidR="004300F7" w:rsidRPr="004300F7">
        <w:t xml:space="preserve"> </w:t>
      </w:r>
      <w:r w:rsidR="004300F7">
        <w:t>Tento úhradový mechanismu při nezměněné produkci nesnižuje úhradu, ke snížení úhrady dochází pouze v případě zvýšení průměrné úhrady na unikátního pojištěnce oproti referenčnímu období. Pokud ale dojde ke změně struktury péče</w:t>
      </w:r>
      <w:r w:rsidR="00E609C1">
        <w:t xml:space="preserve"> (nově nasmlouvané výkony atd.)</w:t>
      </w:r>
      <w:r w:rsidR="004300F7">
        <w:t xml:space="preserve">, která by mohla vychylovat průměrnou úhradu od referenční průměrné úhrady, </w:t>
      </w:r>
      <w:r w:rsidR="00F537A5">
        <w:t xml:space="preserve">zdravotní </w:t>
      </w:r>
      <w:r w:rsidR="004300F7">
        <w:t>pojišťovna zohlednění tuto změn</w:t>
      </w:r>
      <w:r w:rsidR="004E2C48">
        <w:t>u ve </w:t>
      </w:r>
      <w:r w:rsidR="004300F7">
        <w:t xml:space="preserve">výpočtu a k regulaci úhrady nedojde. </w:t>
      </w:r>
    </w:p>
    <w:p w:rsidR="00F649B2" w:rsidRDefault="00F649B2" w:rsidP="00F649B2"/>
    <w:p w:rsidR="00F649B2" w:rsidRDefault="00F649B2" w:rsidP="00F649B2">
      <w:r>
        <w:t>Oproti roku 2016 dochází k vyčlenění poskytovatelů poskytujících hrazené služby v odbornosti 903 – klinická logopedie podle seznamu zdravotních výkonů z bodu 1 přílohy č.</w:t>
      </w:r>
      <w:r w:rsidR="00FC5401">
        <w:t> </w:t>
      </w:r>
      <w:r>
        <w:t xml:space="preserve">3 vyhlášky. Maximální úhrada za výkony odbornosti 903 bude tedy stanovena na základě </w:t>
      </w:r>
      <w:r w:rsidR="001324C4">
        <w:t>úhradového mechanismu</w:t>
      </w:r>
      <w:r w:rsidR="006A289D">
        <w:t xml:space="preserve"> zmíněném v předchozím odstavci</w:t>
      </w:r>
      <w:r w:rsidR="001324C4">
        <w:t>.</w:t>
      </w:r>
      <w:r>
        <w:t xml:space="preserve"> K tomuto kroku dochází z důvodu vyššího růstu nákladů tohoto segmentu v minulých letech a z důvodu jiné struktury výkonů odborností, které jsou vyčleněny z regulace průměrnou úhradou</w:t>
      </w:r>
      <w:r w:rsidR="00F11C5F">
        <w:t xml:space="preserve"> (odbornosti uvedené v bodě 1 přílohy č. 3 vyhlášky, které jsou hrazen</w:t>
      </w:r>
      <w:r w:rsidR="00FC5401">
        <w:t>y</w:t>
      </w:r>
      <w:r w:rsidR="00F11C5F">
        <w:t xml:space="preserve"> bez omezení)</w:t>
      </w:r>
      <w:r>
        <w:t xml:space="preserve">, a </w:t>
      </w:r>
      <w:r w:rsidR="00F11C5F">
        <w:t>u kterých</w:t>
      </w:r>
      <w:r>
        <w:t xml:space="preserve"> je možnost účelového chování omezena. </w:t>
      </w:r>
    </w:p>
    <w:p w:rsidR="00F649B2" w:rsidRDefault="00F649B2" w:rsidP="00F649B2"/>
    <w:p w:rsidR="00F649B2" w:rsidRDefault="00F11C5F" w:rsidP="005B6C55">
      <w:r>
        <w:t>V případě menšího počtu ošetřených pacientů</w:t>
      </w:r>
      <w:r w:rsidR="00FB346D">
        <w:t xml:space="preserve"> (</w:t>
      </w:r>
      <w:r w:rsidR="00524574">
        <w:t>50</w:t>
      </w:r>
      <w:r w:rsidR="00FB346D">
        <w:t xml:space="preserve"> a méně unikátních pojištěnců)</w:t>
      </w:r>
      <w:r>
        <w:t xml:space="preserve">, se může průměrná úhrada v referenčním období výrazně lišit od průměrné úhrady v hodnoceném období, proto </w:t>
      </w:r>
      <w:r w:rsidR="00F649B2">
        <w:t xml:space="preserve">se </w:t>
      </w:r>
      <w:r>
        <w:t xml:space="preserve">v takových případech výše zmíněný regulační mechanismus </w:t>
      </w:r>
      <w:r w:rsidR="00F649B2">
        <w:t>nepoužije</w:t>
      </w:r>
      <w:r w:rsidR="00FB346D">
        <w:t>.</w:t>
      </w:r>
    </w:p>
    <w:p w:rsidR="00F649B2" w:rsidRDefault="00F649B2" w:rsidP="005B6C55"/>
    <w:p w:rsidR="005B6C55" w:rsidRPr="00F60446" w:rsidRDefault="005B6C55" w:rsidP="005B6C55">
      <w:pPr>
        <w:rPr>
          <w:u w:val="single"/>
        </w:rPr>
      </w:pPr>
      <w:r w:rsidRPr="00F60446">
        <w:rPr>
          <w:u w:val="single"/>
        </w:rPr>
        <w:t xml:space="preserve">K § </w:t>
      </w:r>
      <w:r>
        <w:rPr>
          <w:u w:val="single"/>
        </w:rPr>
        <w:t>7</w:t>
      </w:r>
      <w:r w:rsidRPr="00F60446">
        <w:rPr>
          <w:u w:val="single"/>
        </w:rPr>
        <w:t xml:space="preserve"> a příloze </w:t>
      </w:r>
      <w:r>
        <w:rPr>
          <w:u w:val="single"/>
        </w:rPr>
        <w:t>4</w:t>
      </w:r>
    </w:p>
    <w:p w:rsidR="005B6C55" w:rsidRPr="0020157B" w:rsidRDefault="005B6C55" w:rsidP="005B6C55">
      <w:r w:rsidRPr="00BE0EFE">
        <w:t xml:space="preserve">Stanoví se hodnota bodu, výše úhrad hrazených služeb a regulační omezení pro hrazené služby poskytované poskytovateli ambulantní péče v odbornostech 603 </w:t>
      </w:r>
      <w:r w:rsidR="004E2C48">
        <w:t>(gynekologie a </w:t>
      </w:r>
      <w:r w:rsidR="00C34A65">
        <w:t xml:space="preserve">porodnictví) </w:t>
      </w:r>
      <w:r w:rsidRPr="00BE0EFE">
        <w:t xml:space="preserve">a 604 </w:t>
      </w:r>
      <w:r w:rsidR="00C34A65">
        <w:t xml:space="preserve">(dětská gynekologie) </w:t>
      </w:r>
      <w:r w:rsidRPr="00BE0EFE">
        <w:t>podle seznamu výkonů</w:t>
      </w:r>
      <w:r w:rsidRPr="00607791">
        <w:t>.</w:t>
      </w:r>
    </w:p>
    <w:p w:rsidR="00FB346D" w:rsidRDefault="00FB346D" w:rsidP="005B6C55"/>
    <w:p w:rsidR="005B6C55" w:rsidRDefault="005B6C55" w:rsidP="005B6C55">
      <w:r w:rsidRPr="008236C1">
        <w:t>Segment poskytovatelů ambulantních gynekologických služeb došel v dohodovacím řízení k dohodě se zástupci zdravotních pojišťoven. Poskytovatelé ambulantních gynekologických služeb se dohodli</w:t>
      </w:r>
      <w:r w:rsidR="00607791" w:rsidRPr="00847B2F">
        <w:t xml:space="preserve">, že maximální úhrada na jednoho unikátního pojištěnce je omezena průměrnou úhradou v referenčním období a zároveň je poskytovateli umožněn růst úhrady na </w:t>
      </w:r>
      <w:r w:rsidR="00CA001C" w:rsidRPr="008236C1">
        <w:t xml:space="preserve">jednoho unikátního pojištěnce </w:t>
      </w:r>
      <w:r w:rsidRPr="008236C1">
        <w:t xml:space="preserve">ve výši </w:t>
      </w:r>
      <w:r w:rsidR="00BE0EFE" w:rsidRPr="00847B2F">
        <w:t>102</w:t>
      </w:r>
      <w:r w:rsidR="00BE0EFE" w:rsidRPr="008236C1">
        <w:t xml:space="preserve"> </w:t>
      </w:r>
      <w:r w:rsidRPr="008236C1">
        <w:t xml:space="preserve">% </w:t>
      </w:r>
      <w:r w:rsidR="00CA001C" w:rsidRPr="008236C1">
        <w:t>průměrné úh</w:t>
      </w:r>
      <w:r w:rsidR="004E2C48">
        <w:t>rady na unikátního pojištěnce v </w:t>
      </w:r>
      <w:r w:rsidRPr="008236C1">
        <w:t>referenční</w:t>
      </w:r>
      <w:r w:rsidR="00CA001C" w:rsidRPr="008236C1">
        <w:t>m</w:t>
      </w:r>
      <w:r w:rsidRPr="008236C1">
        <w:t xml:space="preserve"> období.</w:t>
      </w:r>
    </w:p>
    <w:p w:rsidR="00524574" w:rsidRDefault="00524574" w:rsidP="005B6C55">
      <w:pPr>
        <w:rPr>
          <w:u w:val="single"/>
        </w:rPr>
      </w:pPr>
    </w:p>
    <w:p w:rsidR="005B6C55" w:rsidRPr="00F60446" w:rsidRDefault="005B6C55" w:rsidP="005B6C55">
      <w:pPr>
        <w:rPr>
          <w:u w:val="single"/>
        </w:rPr>
      </w:pPr>
      <w:r w:rsidRPr="00F60446">
        <w:rPr>
          <w:u w:val="single"/>
        </w:rPr>
        <w:t>K § 8 a příloze č. 1</w:t>
      </w:r>
      <w:r>
        <w:rPr>
          <w:u w:val="single"/>
        </w:rPr>
        <w:t>1</w:t>
      </w:r>
      <w:r w:rsidRPr="00F60446">
        <w:rPr>
          <w:u w:val="single"/>
        </w:rPr>
        <w:t xml:space="preserve"> </w:t>
      </w:r>
    </w:p>
    <w:p w:rsidR="00607791" w:rsidRDefault="005B6C55" w:rsidP="00607791">
      <w:r w:rsidRPr="00607791">
        <w:t xml:space="preserve">Stanoví se hodnota bodu, výše úhrad hrazených služeb a regulační omezení pro hrazené služby poskytované poskytovateli v oboru zubní lékařství. </w:t>
      </w:r>
      <w:r w:rsidR="004610D5" w:rsidRPr="00607791">
        <w:t>V příloze č. 11 je seznam výkonů poskytovatelů v oboru zubního lékařství s cenami těchto výkonů</w:t>
      </w:r>
      <w:r w:rsidR="00607791" w:rsidRPr="00D555EB">
        <w:t>.</w:t>
      </w:r>
      <w:r w:rsidR="004610D5" w:rsidRPr="0020157B">
        <w:t xml:space="preserve"> </w:t>
      </w:r>
      <w:r w:rsidR="001D30F7">
        <w:t xml:space="preserve">Celý text v této příloze </w:t>
      </w:r>
      <w:r w:rsidR="001D30F7">
        <w:lastRenderedPageBreak/>
        <w:t xml:space="preserve">vychází z dohody z dohodovacího řízení. </w:t>
      </w:r>
      <w:r w:rsidR="00607791">
        <w:t xml:space="preserve">Dochází ke zvýšení úhrady za výkony preventivních prohlídek. Nárůst úhrad za celý segment poskytovatelů v oboru zubní lékařství by měl odpovídat 2,5 %. </w:t>
      </w:r>
    </w:p>
    <w:p w:rsidR="00C34A65" w:rsidRDefault="00C34A65" w:rsidP="00607791"/>
    <w:p w:rsidR="00607791" w:rsidRDefault="00607791" w:rsidP="00607791">
      <w:r>
        <w:t xml:space="preserve">K navýšení úhrad došlo u těchto kódů: </w:t>
      </w:r>
    </w:p>
    <w:p w:rsidR="00607791" w:rsidRDefault="00607791" w:rsidP="00847B2F">
      <w:pPr>
        <w:pStyle w:val="Odstavecseseznamem"/>
        <w:numPr>
          <w:ilvl w:val="0"/>
          <w:numId w:val="34"/>
        </w:numPr>
        <w:ind w:left="709"/>
      </w:pPr>
      <w:r>
        <w:t>00900 Komplexní vyšetření zubním lékařem při registraci pojištěnce z</w:t>
      </w:r>
      <w:r w:rsidR="00856894">
        <w:t>e</w:t>
      </w:r>
      <w:r>
        <w:t xml:space="preserve"> 428 Kč na 458</w:t>
      </w:r>
      <w:r w:rsidR="001738AA">
        <w:t> </w:t>
      </w:r>
      <w:r>
        <w:t>Kč.</w:t>
      </w:r>
    </w:p>
    <w:p w:rsidR="00607791" w:rsidRDefault="00607791" w:rsidP="00847B2F">
      <w:pPr>
        <w:pStyle w:val="Odstavecseseznamem"/>
        <w:numPr>
          <w:ilvl w:val="0"/>
          <w:numId w:val="34"/>
        </w:numPr>
        <w:ind w:left="709"/>
      </w:pPr>
      <w:r>
        <w:t>00901 Opakované komplexní vyšetření a ošetření registrovaného pojištěnce – preventivní prohlídka z 410 Kč na 450 Kč.</w:t>
      </w:r>
    </w:p>
    <w:p w:rsidR="00607791" w:rsidRDefault="00607791" w:rsidP="00847B2F">
      <w:pPr>
        <w:pStyle w:val="Odstavecseseznamem"/>
        <w:numPr>
          <w:ilvl w:val="0"/>
          <w:numId w:val="34"/>
        </w:numPr>
        <w:ind w:left="709"/>
      </w:pPr>
      <w:r>
        <w:t xml:space="preserve">00946 Opakované komplexní vyšetření a ošetření registrovaného pojištěnce – preventivní </w:t>
      </w:r>
      <w:r w:rsidR="001D30F7">
        <w:t>prohlídka I z 336 Kč na 376 Kč.</w:t>
      </w:r>
    </w:p>
    <w:p w:rsidR="00607791" w:rsidRDefault="00607791" w:rsidP="00607791"/>
    <w:p w:rsidR="00607791" w:rsidRDefault="00607791" w:rsidP="00607791">
      <w:r>
        <w:t xml:space="preserve">Dále dochází </w:t>
      </w:r>
      <w:r w:rsidR="00C34A65">
        <w:t xml:space="preserve">pouze </w:t>
      </w:r>
      <w:r>
        <w:t>k</w:t>
      </w:r>
      <w:r w:rsidR="00C34A65">
        <w:t> technickým změnám</w:t>
      </w:r>
      <w:r>
        <w:t xml:space="preserve"> v textu </w:t>
      </w:r>
      <w:r w:rsidR="00F033D2">
        <w:t xml:space="preserve">některých </w:t>
      </w:r>
      <w:r>
        <w:t>výkonů nebo regulačních omezení</w:t>
      </w:r>
      <w:r w:rsidR="00F033D2">
        <w:t>.</w:t>
      </w:r>
      <w:r>
        <w:t xml:space="preserve"> </w:t>
      </w:r>
    </w:p>
    <w:p w:rsidR="005B6C55" w:rsidRPr="000F63C1" w:rsidRDefault="005B6C55" w:rsidP="005B6C55"/>
    <w:p w:rsidR="005B6C55" w:rsidRDefault="005B6C55" w:rsidP="005B6C55">
      <w:r w:rsidRPr="00F60446">
        <w:rPr>
          <w:u w:val="single"/>
        </w:rPr>
        <w:t xml:space="preserve">K </w:t>
      </w:r>
      <w:r>
        <w:rPr>
          <w:u w:val="single"/>
        </w:rPr>
        <w:t>§ 9</w:t>
      </w:r>
      <w:r w:rsidRPr="00F60446">
        <w:rPr>
          <w:u w:val="single"/>
        </w:rPr>
        <w:t xml:space="preserve"> a příloze č. </w:t>
      </w:r>
      <w:r>
        <w:rPr>
          <w:u w:val="single"/>
        </w:rPr>
        <w:t>5</w:t>
      </w:r>
    </w:p>
    <w:p w:rsidR="00FA0D22" w:rsidRDefault="005B6C55" w:rsidP="005B6C55">
      <w:r w:rsidRPr="001359D3">
        <w:t xml:space="preserve">Stanoví </w:t>
      </w:r>
      <w:r w:rsidRPr="00D555EB">
        <w:t>se hodnota bodu, výše úhrad hrazených služeb a regulační omezení pro hrazené služby poskytované poskytovateli ambulantní zdravotní péče ve vyjmenovaných o</w:t>
      </w:r>
      <w:r w:rsidRPr="001359D3">
        <w:t>dbornostech (tj. v odbornostech 222</w:t>
      </w:r>
      <w:r w:rsidR="001D30F7">
        <w:t xml:space="preserve"> (transfúzní lékařství)</w:t>
      </w:r>
      <w:r w:rsidRPr="001359D3">
        <w:t>, 801</w:t>
      </w:r>
      <w:r w:rsidR="001D30F7">
        <w:t xml:space="preserve"> (klinická biochemie)</w:t>
      </w:r>
      <w:r w:rsidRPr="001359D3">
        <w:t>, 802</w:t>
      </w:r>
      <w:r w:rsidR="001D30F7">
        <w:t xml:space="preserve"> (lékařská mikrobiologie)</w:t>
      </w:r>
      <w:r w:rsidRPr="001359D3">
        <w:t>, 804</w:t>
      </w:r>
      <w:r w:rsidR="001D30F7">
        <w:t xml:space="preserve"> (</w:t>
      </w:r>
      <w:r w:rsidR="00D14A31">
        <w:t>lékařská parazitologie)</w:t>
      </w:r>
      <w:r w:rsidRPr="001359D3">
        <w:t>, 805</w:t>
      </w:r>
      <w:r w:rsidR="00D14A31">
        <w:t xml:space="preserve"> (lékařská virologie)</w:t>
      </w:r>
      <w:r w:rsidRPr="001359D3">
        <w:t>, 806</w:t>
      </w:r>
      <w:r w:rsidR="00D14A31">
        <w:t xml:space="preserve"> (mamografický screening)</w:t>
      </w:r>
      <w:r w:rsidRPr="001359D3">
        <w:t>, 807</w:t>
      </w:r>
      <w:r w:rsidR="00D14A31">
        <w:t xml:space="preserve"> (patologická anatomie)</w:t>
      </w:r>
      <w:r w:rsidRPr="001359D3">
        <w:t>, 808</w:t>
      </w:r>
      <w:r w:rsidR="00D14A31">
        <w:t xml:space="preserve"> (soudní lékařství)</w:t>
      </w:r>
      <w:r w:rsidRPr="001359D3">
        <w:t>, 809</w:t>
      </w:r>
      <w:r w:rsidR="00D14A31">
        <w:t xml:space="preserve"> (radiologie a zobrazovací metody)</w:t>
      </w:r>
      <w:r w:rsidRPr="001359D3">
        <w:t>, 810</w:t>
      </w:r>
      <w:r w:rsidR="00D14A31">
        <w:t xml:space="preserve"> (radiologie a zobrazovací metody – skupina 1)</w:t>
      </w:r>
      <w:r w:rsidRPr="001359D3">
        <w:t xml:space="preserve">, 812 </w:t>
      </w:r>
      <w:r w:rsidR="00D14A31">
        <w:t>až 823 (laboratoř)</w:t>
      </w:r>
      <w:r w:rsidRPr="001359D3">
        <w:t xml:space="preserve"> podle seznamu výkonů).</w:t>
      </w:r>
      <w:r w:rsidR="00FA0D22">
        <w:t xml:space="preserve"> </w:t>
      </w:r>
    </w:p>
    <w:p w:rsidR="00FA0D22" w:rsidRDefault="00FA0D22" w:rsidP="005B6C55"/>
    <w:p w:rsidR="0020157B" w:rsidRPr="0020157B" w:rsidRDefault="00F8690E" w:rsidP="005B6C55">
      <w:r>
        <w:t>Celé z</w:t>
      </w:r>
      <w:r w:rsidR="0020157B">
        <w:t xml:space="preserve">nění vyhlášky pro poskytovatele ambulantní zdravotní péče </w:t>
      </w:r>
      <w:r w:rsidR="008236C1">
        <w:t xml:space="preserve">ve vyjmenovaných odbornostech </w:t>
      </w:r>
      <w:r w:rsidR="0020157B">
        <w:t>vychází z dohody tohoto segmentu poskytovatelů a zdravotních pojišťoven v dohodovacím řízení.</w:t>
      </w:r>
    </w:p>
    <w:p w:rsidR="00E95373" w:rsidRDefault="00E95373" w:rsidP="005B6C55"/>
    <w:p w:rsidR="005F0E95" w:rsidRDefault="00E95373" w:rsidP="005B6C55">
      <w:r w:rsidRPr="00847B2F">
        <w:t xml:space="preserve">Pro rok 2017 bude zachován stávající systém úhrad a regulačních omezení. </w:t>
      </w:r>
      <w:r w:rsidR="00464FEC">
        <w:t xml:space="preserve">Mění se pouze koeficient navýšení, pro rok 2017 je koeficient nastaven </w:t>
      </w:r>
      <w:r w:rsidR="00464FEC" w:rsidRPr="00847B2F">
        <w:t>na 1,025. Měsíční zálohy hrazené poskytovateli byly přizpůsobeny tomuto nov</w:t>
      </w:r>
      <w:r w:rsidR="00464FEC" w:rsidRPr="009F3439">
        <w:t xml:space="preserve">ému </w:t>
      </w:r>
      <w:r w:rsidR="00464FEC" w:rsidRPr="0008590B">
        <w:t>koeficientu.</w:t>
      </w:r>
      <w:r w:rsidR="00464FEC">
        <w:t xml:space="preserve"> </w:t>
      </w:r>
      <w:r w:rsidRPr="00847B2F">
        <w:t xml:space="preserve">Na základě dohody dochází ke snížení úhrady za genetický výkon BRCA </w:t>
      </w:r>
      <w:r w:rsidRPr="00731E03">
        <w:t>komplet ze 40 254</w:t>
      </w:r>
      <w:r w:rsidRPr="00847B2F">
        <w:t xml:space="preserve"> Kč na 30 066 Kč. Dále dochází ke zvýšení hodnoty bodu odborností 809 (radiologie a zobrazovací metody podle seznamu výkonů) a 810 (radiologie a zobrazovací metody – skupina 1 podle seznamu výkonů) z 1,10 Kč na 1,12 Kč za bod. V případě výkonů č. 89711 – 89725 podle seznamu výkonů (výkony magnetické rezonance) dochází ke snížení hodnoty bo</w:t>
      </w:r>
      <w:r>
        <w:t>du z 0,55 Kč na 0,53 Kč za bod.</w:t>
      </w:r>
    </w:p>
    <w:p w:rsidR="008236C1" w:rsidRDefault="008236C1" w:rsidP="005B6C55"/>
    <w:p w:rsidR="005B6C55" w:rsidRDefault="005B6C55" w:rsidP="005B6C55">
      <w:pPr>
        <w:rPr>
          <w:u w:val="single"/>
        </w:rPr>
      </w:pPr>
      <w:r w:rsidRPr="00F60446">
        <w:rPr>
          <w:u w:val="single"/>
        </w:rPr>
        <w:t xml:space="preserve">K </w:t>
      </w:r>
      <w:r>
        <w:rPr>
          <w:u w:val="single"/>
        </w:rPr>
        <w:t>§ 10</w:t>
      </w:r>
      <w:r w:rsidRPr="00F60446">
        <w:rPr>
          <w:u w:val="single"/>
        </w:rPr>
        <w:t xml:space="preserve"> a příloze č. </w:t>
      </w:r>
      <w:r>
        <w:rPr>
          <w:u w:val="single"/>
        </w:rPr>
        <w:t>6</w:t>
      </w:r>
    </w:p>
    <w:p w:rsidR="005B6C55" w:rsidRPr="001359D3" w:rsidRDefault="005B6C55" w:rsidP="005B6C55">
      <w:r w:rsidRPr="001359D3">
        <w:t>S</w:t>
      </w:r>
      <w:r w:rsidRPr="00D555EB">
        <w:t xml:space="preserve">tanoví se </w:t>
      </w:r>
      <w:r w:rsidRPr="0020157B">
        <w:t>hodnota bodu, výše úhrad hrazených služeb a regulační omezení pro hrazené služby poskytované poskytovateli ambulantní péče v odbornostech 911</w:t>
      </w:r>
      <w:r w:rsidR="00543EE3">
        <w:t xml:space="preserve"> (všeobecná sestra)</w:t>
      </w:r>
      <w:r w:rsidRPr="0020157B">
        <w:t>, 914</w:t>
      </w:r>
      <w:r w:rsidR="00543EE3">
        <w:t xml:space="preserve"> (psychiatrická sestra)</w:t>
      </w:r>
      <w:r w:rsidRPr="0020157B">
        <w:t>, 916</w:t>
      </w:r>
      <w:r w:rsidR="00543EE3">
        <w:t xml:space="preserve"> (nutriční terapeut)</w:t>
      </w:r>
      <w:r w:rsidRPr="0020157B">
        <w:t xml:space="preserve">, 921 </w:t>
      </w:r>
      <w:r w:rsidR="00543EE3">
        <w:t xml:space="preserve">(porodní asistentka) </w:t>
      </w:r>
      <w:r w:rsidRPr="0020157B">
        <w:t xml:space="preserve">a 925 </w:t>
      </w:r>
      <w:r w:rsidR="00543EE3">
        <w:t xml:space="preserve">(sestra domácí zdravotní péče) </w:t>
      </w:r>
      <w:r w:rsidRPr="0020157B">
        <w:t>podle seznamu vý</w:t>
      </w:r>
      <w:r w:rsidRPr="001359D3">
        <w:t>konů.</w:t>
      </w:r>
    </w:p>
    <w:p w:rsidR="005B6C55" w:rsidRPr="00847B2F" w:rsidRDefault="005B6C55" w:rsidP="005B6C55">
      <w:pPr>
        <w:rPr>
          <w:highlight w:val="yellow"/>
        </w:rPr>
      </w:pPr>
    </w:p>
    <w:p w:rsidR="005B6C55" w:rsidRDefault="00C8068A" w:rsidP="005B6C55">
      <w:r>
        <w:lastRenderedPageBreak/>
        <w:t>Regulační omezení je opět nastaveno na maximální úhradě, která se</w:t>
      </w:r>
      <w:r w:rsidRPr="00BD5469">
        <w:t xml:space="preserve"> </w:t>
      </w:r>
      <w:r w:rsidR="00BD5469" w:rsidRPr="00BD5469">
        <w:t xml:space="preserve">vypočte jako počet unikátních pojištěnců násobených průměrnou úhradou na </w:t>
      </w:r>
      <w:r w:rsidR="004E2C48">
        <w:t>jednoho unikátního pojištěnce v </w:t>
      </w:r>
      <w:r w:rsidR="00BD5469" w:rsidRPr="00BD5469">
        <w:t xml:space="preserve">referenčním období a </w:t>
      </w:r>
      <w:r w:rsidR="001738AA">
        <w:t xml:space="preserve">dále násobeno </w:t>
      </w:r>
      <w:r w:rsidR="00BD5469" w:rsidRPr="00BD5469">
        <w:t>index</w:t>
      </w:r>
      <w:r w:rsidR="00BB2A3C">
        <w:t>em</w:t>
      </w:r>
      <w:r w:rsidR="00BD5469" w:rsidRPr="00BD5469">
        <w:t xml:space="preserve"> </w:t>
      </w:r>
      <w:r w:rsidR="001738AA">
        <w:t xml:space="preserve">navýšení </w:t>
      </w:r>
      <w:r w:rsidR="00BD5469" w:rsidRPr="00BD5469">
        <w:t xml:space="preserve">1,03. </w:t>
      </w:r>
      <w:r w:rsidR="00AB3C92">
        <w:t>Tento úhradový mechanismu</w:t>
      </w:r>
      <w:r w:rsidR="001738AA">
        <w:t>s</w:t>
      </w:r>
      <w:r w:rsidR="00AB3C92">
        <w:t xml:space="preserve"> při nezměněné produkci nesnižuje úhradu, ke snížení úhrady dochází pouze v případě zvýšení průměrné úhrady na unikátního pojištěnce oproti referenčnímu období. Pokud ale dojde ke změně struktury péče</w:t>
      </w:r>
      <w:r w:rsidR="00E609C1">
        <w:t xml:space="preserve"> (nově nasmlouvané výkony atd.)</w:t>
      </w:r>
      <w:r w:rsidR="00AB3C92">
        <w:t xml:space="preserve">, která by mohla vychylovat průměrnou úhradu od referenční průměrné úhrady, </w:t>
      </w:r>
      <w:r w:rsidR="00F537A5">
        <w:t xml:space="preserve">zdravotní </w:t>
      </w:r>
      <w:r w:rsidR="00AB3C92">
        <w:t>pojišťovna zohlednění tuto změnu ve výpočtu a k regulaci úhrady nedojde. Dále se nově p</w:t>
      </w:r>
      <w:r w:rsidR="00AB3C92" w:rsidRPr="00BD5469">
        <w:t>ro poskytovatele ambulantní péče v odbornosti 914 podl</w:t>
      </w:r>
      <w:r w:rsidR="00AB3C92">
        <w:t>e seznamu výkonů zvyšuje</w:t>
      </w:r>
      <w:r w:rsidR="00AB3C92" w:rsidRPr="00BD5469">
        <w:t xml:space="preserve"> hodnota bodu </w:t>
      </w:r>
      <w:r w:rsidR="00AB3C92">
        <w:t>z 0,90 Kč na</w:t>
      </w:r>
      <w:r w:rsidR="00AB3C92" w:rsidRPr="00BD5469">
        <w:t xml:space="preserve"> 0,95 Kč</w:t>
      </w:r>
      <w:r w:rsidR="00E609C1">
        <w:t xml:space="preserve"> z důvodu podhodnocení této péče a nízkého počtu psychiatrických sester v České republice</w:t>
      </w:r>
      <w:r w:rsidR="00E609C1" w:rsidRPr="00BD5469">
        <w:t>.</w:t>
      </w:r>
    </w:p>
    <w:p w:rsidR="0093083F" w:rsidRDefault="0093083F" w:rsidP="005B6C55"/>
    <w:p w:rsidR="005B6C55" w:rsidRDefault="005B6C55" w:rsidP="005B6C55">
      <w:pPr>
        <w:rPr>
          <w:u w:val="single"/>
        </w:rPr>
      </w:pPr>
      <w:r w:rsidRPr="00F60446">
        <w:rPr>
          <w:u w:val="single"/>
        </w:rPr>
        <w:t xml:space="preserve">K </w:t>
      </w:r>
      <w:r>
        <w:rPr>
          <w:u w:val="single"/>
        </w:rPr>
        <w:t>§ 11</w:t>
      </w:r>
      <w:r w:rsidRPr="00F60446">
        <w:rPr>
          <w:u w:val="single"/>
        </w:rPr>
        <w:t xml:space="preserve"> a příloze č. </w:t>
      </w:r>
      <w:r>
        <w:rPr>
          <w:u w:val="single"/>
        </w:rPr>
        <w:t>7</w:t>
      </w:r>
    </w:p>
    <w:p w:rsidR="005B6C55" w:rsidRPr="009D74E8" w:rsidRDefault="005B6C55" w:rsidP="005B6C55">
      <w:r w:rsidRPr="009D74E8">
        <w:t xml:space="preserve">Stanoví se </w:t>
      </w:r>
      <w:r w:rsidRPr="00D555EB">
        <w:t xml:space="preserve">hodnota bodu, výše úhrad hrazených služeb a regulační omezení pro hrazené služby poskytované poskytovateli ambulantní zdravotní péče v odbornostech 902 </w:t>
      </w:r>
      <w:r w:rsidR="00E609C1">
        <w:t xml:space="preserve">(fyzioterapeut) </w:t>
      </w:r>
      <w:r w:rsidRPr="00D555EB">
        <w:t>a 917</w:t>
      </w:r>
      <w:r w:rsidR="00E609C1">
        <w:t xml:space="preserve"> (ergoterapeut)</w:t>
      </w:r>
      <w:r w:rsidRPr="00D555EB">
        <w:t xml:space="preserve"> podle seznamu výkonů</w:t>
      </w:r>
      <w:r w:rsidRPr="009D74E8">
        <w:t>.</w:t>
      </w:r>
    </w:p>
    <w:p w:rsidR="005B6C55" w:rsidRPr="00847B2F" w:rsidRDefault="005B6C55" w:rsidP="005B6C55">
      <w:pPr>
        <w:rPr>
          <w:highlight w:val="yellow"/>
        </w:rPr>
      </w:pPr>
    </w:p>
    <w:p w:rsidR="00F74711" w:rsidRPr="00CE1679" w:rsidRDefault="00F74711" w:rsidP="00F74711">
      <w:r w:rsidRPr="00CE1679">
        <w:t>V odbornostech 902 a 917 podle seznamu výkonů dochází k n</w:t>
      </w:r>
      <w:r w:rsidR="008010C0">
        <w:t>astavení indexu navýšení na 1,03</w:t>
      </w:r>
      <w:r w:rsidRPr="00CE1679">
        <w:t xml:space="preserve">. Kromě změny indexu </w:t>
      </w:r>
      <w:r w:rsidRPr="00F74711">
        <w:t>nedochází v tomto segmentu k žádným změnám</w:t>
      </w:r>
      <w:r w:rsidRPr="00CE1679">
        <w:t xml:space="preserve"> v systému úhrad.</w:t>
      </w:r>
    </w:p>
    <w:p w:rsidR="005B6C55" w:rsidRDefault="005B6C55" w:rsidP="005B6C55"/>
    <w:p w:rsidR="005B6C55" w:rsidRPr="00F60446" w:rsidRDefault="005B6C55" w:rsidP="005B6C55">
      <w:pPr>
        <w:rPr>
          <w:u w:val="single"/>
        </w:rPr>
      </w:pPr>
      <w:r w:rsidRPr="00F60446">
        <w:rPr>
          <w:u w:val="single"/>
        </w:rPr>
        <w:t xml:space="preserve">K § 12 </w:t>
      </w:r>
    </w:p>
    <w:p w:rsidR="005B6C55" w:rsidRDefault="005B6C55" w:rsidP="005B6C55">
      <w:r w:rsidRPr="009D74E8">
        <w:t xml:space="preserve">Stanoví </w:t>
      </w:r>
      <w:r w:rsidRPr="00D555EB">
        <w:t>se hodnota bodu pro hrazené služby poskytované poskytovateli zdravotnické záchranné služby a poskytovateli přepravy pacientů neodkladné péče.</w:t>
      </w:r>
      <w:r w:rsidR="00CA001C" w:rsidRPr="00D555EB">
        <w:t xml:space="preserve"> </w:t>
      </w:r>
      <w:r w:rsidR="008236C1" w:rsidRPr="008236C1">
        <w:t xml:space="preserve"> </w:t>
      </w:r>
    </w:p>
    <w:p w:rsidR="008236C1" w:rsidRDefault="008236C1" w:rsidP="005B6C55"/>
    <w:p w:rsidR="008236C1" w:rsidRDefault="008236C1" w:rsidP="005B6C55">
      <w:r>
        <w:t xml:space="preserve">Znění </w:t>
      </w:r>
      <w:r w:rsidR="00571919">
        <w:t xml:space="preserve">tohoto ustanovení </w:t>
      </w:r>
      <w:r>
        <w:t xml:space="preserve">vychází </w:t>
      </w:r>
      <w:r w:rsidR="00EE2272">
        <w:t xml:space="preserve">částečně </w:t>
      </w:r>
      <w:r>
        <w:t xml:space="preserve">z dohody </w:t>
      </w:r>
      <w:r w:rsidR="004E2C48">
        <w:t>tohoto segmentu poskytovatelů a </w:t>
      </w:r>
      <w:r>
        <w:t xml:space="preserve">zdravotních pojišťoven v dohodovacím řízení. </w:t>
      </w:r>
    </w:p>
    <w:p w:rsidR="008236C1" w:rsidRDefault="008236C1" w:rsidP="005B6C55">
      <w:pPr>
        <w:rPr>
          <w:bCs/>
        </w:rPr>
      </w:pPr>
    </w:p>
    <w:p w:rsidR="00E609C1" w:rsidRDefault="008236C1" w:rsidP="005B6C55">
      <w:r w:rsidRPr="008236C1">
        <w:t xml:space="preserve">Dochází k rozdílnému stanovení hodnoty bodu pro tzv. zdravotní výkony a rozdílné hodnoty bodu pro tzv. dopravní výkony. </w:t>
      </w:r>
      <w:r w:rsidR="00891A01">
        <w:t>Dále z dohody vyplývá nastavení regulačního omezení pro vykazování</w:t>
      </w:r>
      <w:r w:rsidRPr="008236C1">
        <w:t xml:space="preserve"> výkon</w:t>
      </w:r>
      <w:r w:rsidR="00891A01">
        <w:t>u</w:t>
      </w:r>
      <w:r w:rsidRPr="008236C1">
        <w:t xml:space="preserve"> č. 06714 podle seznamu výkonů (aplikace medicinálního kyslíku)</w:t>
      </w:r>
      <w:r w:rsidR="00E609C1">
        <w:t>.</w:t>
      </w:r>
    </w:p>
    <w:p w:rsidR="00E609C1" w:rsidRDefault="00E609C1" w:rsidP="005B6C55"/>
    <w:p w:rsidR="008236C1" w:rsidRDefault="008236C1" w:rsidP="005B6C55">
      <w:r w:rsidRPr="008236C1">
        <w:t xml:space="preserve">U segmentu zdravotnické záchranné služby </w:t>
      </w:r>
      <w:r w:rsidR="000C5F08">
        <w:t>ministerstvo</w:t>
      </w:r>
      <w:r w:rsidR="00EE2272">
        <w:t xml:space="preserve"> nastavilo</w:t>
      </w:r>
      <w:r w:rsidRPr="008236C1">
        <w:t xml:space="preserve"> hodnot</w:t>
      </w:r>
      <w:r w:rsidR="00EE2272">
        <w:t>u</w:t>
      </w:r>
      <w:r w:rsidRPr="008236C1">
        <w:t xml:space="preserve"> bodu pro zdravotní výkony z 1,11 na 1,1</w:t>
      </w:r>
      <w:r w:rsidR="00EE2272">
        <w:t>3</w:t>
      </w:r>
      <w:r w:rsidRPr="008236C1">
        <w:t xml:space="preserve"> Kč za bod a pro dopravní výkony hodnota bodu ve výš</w:t>
      </w:r>
      <w:r>
        <w:t>i</w:t>
      </w:r>
      <w:r w:rsidRPr="008236C1">
        <w:t xml:space="preserve"> 1,1</w:t>
      </w:r>
      <w:r w:rsidR="00EE2272">
        <w:t>2</w:t>
      </w:r>
      <w:r w:rsidR="00BC170A">
        <w:t> </w:t>
      </w:r>
      <w:r w:rsidRPr="008236C1">
        <w:t>Kč za bod. Obdobně u přepravy pacientů neodkladné péče dochází ke zvýšení hodnoty bodu pro zdravotní výkony z 1,1</w:t>
      </w:r>
      <w:r w:rsidR="00EE2272">
        <w:t>0</w:t>
      </w:r>
      <w:r w:rsidRPr="008236C1">
        <w:t xml:space="preserve"> na 1,12 Kč za bod a pro dopravní výkony </w:t>
      </w:r>
      <w:r w:rsidR="00EE2272">
        <w:t>dochází ke zvýšení hodnoty</w:t>
      </w:r>
      <w:r w:rsidRPr="008236C1">
        <w:t xml:space="preserve"> bodu </w:t>
      </w:r>
      <w:r w:rsidR="00EE2272">
        <w:t>z 1,10 Kč na</w:t>
      </w:r>
      <w:r w:rsidRPr="008236C1">
        <w:t xml:space="preserve"> 1,11 Kč za bod.</w:t>
      </w:r>
      <w:r w:rsidR="00EE2272">
        <w:t xml:space="preserve"> </w:t>
      </w:r>
      <w:r w:rsidR="00571919">
        <w:t>M</w:t>
      </w:r>
      <w:r w:rsidR="000C5F08">
        <w:t>inisterstvo</w:t>
      </w:r>
      <w:r w:rsidR="00EE2272">
        <w:t xml:space="preserve"> oproti dohodě z dohodovacího řízení navýšilo hodnoty bodu o 1 haléř z</w:t>
      </w:r>
      <w:r w:rsidR="00543EE3">
        <w:t> </w:t>
      </w:r>
      <w:r w:rsidR="00EE2272">
        <w:t>důvodu</w:t>
      </w:r>
      <w:r w:rsidR="00543EE3">
        <w:t>, že dohodnutý růst na dohodovacím řízení nebyl dostatečný na pokrytí zvýšených osobních nákladů z důvodů navýšen</w:t>
      </w:r>
      <w:r w:rsidR="00E609C1">
        <w:t xml:space="preserve">í tarifní složky platu o 10 % </w:t>
      </w:r>
      <w:r w:rsidR="00543EE3">
        <w:t>dle nařízení vlády.</w:t>
      </w:r>
    </w:p>
    <w:p w:rsidR="00524574" w:rsidRDefault="00524574" w:rsidP="005B6C55">
      <w:pPr>
        <w:rPr>
          <w:bCs/>
        </w:rPr>
      </w:pPr>
    </w:p>
    <w:p w:rsidR="005B6C55" w:rsidRPr="00F60446" w:rsidRDefault="005B6C55" w:rsidP="005B6C55">
      <w:pPr>
        <w:rPr>
          <w:u w:val="single"/>
        </w:rPr>
      </w:pPr>
      <w:r w:rsidRPr="00F60446">
        <w:rPr>
          <w:u w:val="single"/>
        </w:rPr>
        <w:t xml:space="preserve">K § 13 a příloze č. 8 </w:t>
      </w:r>
    </w:p>
    <w:p w:rsidR="005B6C55" w:rsidRPr="008236C1" w:rsidRDefault="005B6C55" w:rsidP="005B6C55">
      <w:pPr>
        <w:rPr>
          <w:bCs/>
        </w:rPr>
      </w:pPr>
      <w:r w:rsidRPr="009D74E8">
        <w:t>S</w:t>
      </w:r>
      <w:r w:rsidRPr="00D555EB">
        <w:t>tanoví se hodnota bodu, výše úhrad hrazených služeb a regulační omezení pro hrazené služby poskytované poskytovateli zdravotnické dopravní služby</w:t>
      </w:r>
      <w:r w:rsidRPr="008236C1">
        <w:t>.</w:t>
      </w:r>
    </w:p>
    <w:p w:rsidR="008236C1" w:rsidRPr="00847B2F" w:rsidRDefault="008236C1" w:rsidP="005B6C55">
      <w:pPr>
        <w:rPr>
          <w:bCs/>
          <w:highlight w:val="yellow"/>
        </w:rPr>
      </w:pPr>
    </w:p>
    <w:p w:rsidR="00424987" w:rsidRPr="00891A01" w:rsidRDefault="008236C1" w:rsidP="005B6C55">
      <w:r w:rsidRPr="008236C1">
        <w:lastRenderedPageBreak/>
        <w:t xml:space="preserve">Znění </w:t>
      </w:r>
      <w:r w:rsidR="00571919">
        <w:t>těchto ustanovení</w:t>
      </w:r>
      <w:r w:rsidRPr="008236C1">
        <w:t xml:space="preserve"> vychází z dohody tohoto segmentu poskytovatelů a zdravotních pojišťoven v dohodovacím řízení.</w:t>
      </w:r>
      <w:r>
        <w:t xml:space="preserve"> V segmentu zdravotnické dopravní služby nedochází oproti roku 2016 k žádným změnám</w:t>
      </w:r>
      <w:r w:rsidR="00BC170A">
        <w:t xml:space="preserve"> </w:t>
      </w:r>
      <w:r w:rsidR="00BC170A" w:rsidRPr="00CE1679">
        <w:t>v systému úhrad</w:t>
      </w:r>
      <w:r>
        <w:t>.</w:t>
      </w:r>
    </w:p>
    <w:p w:rsidR="00424987" w:rsidRDefault="00424987" w:rsidP="005B6C55">
      <w:pPr>
        <w:rPr>
          <w:bCs/>
        </w:rPr>
      </w:pPr>
    </w:p>
    <w:p w:rsidR="005B6C55" w:rsidRPr="00F60446" w:rsidRDefault="005B6C55" w:rsidP="005B6C55">
      <w:pPr>
        <w:rPr>
          <w:u w:val="single"/>
        </w:rPr>
      </w:pPr>
      <w:r w:rsidRPr="00F60446">
        <w:rPr>
          <w:bCs/>
          <w:u w:val="single"/>
        </w:rPr>
        <w:t xml:space="preserve">K </w:t>
      </w:r>
      <w:r w:rsidRPr="00F60446">
        <w:rPr>
          <w:u w:val="single"/>
        </w:rPr>
        <w:t>§ 14</w:t>
      </w:r>
    </w:p>
    <w:p w:rsidR="005B6C55" w:rsidRDefault="005B6C55" w:rsidP="005B6C55">
      <w:r w:rsidRPr="00D555EB">
        <w:t>S</w:t>
      </w:r>
      <w:r w:rsidRPr="0020157B">
        <w:t>tanoví se hodnota bodu pro hrazené služby poskytované poskytovateli v rámci lékařské pohotovostní služby nebo pohotovostní služby v oboru zubní lékařství</w:t>
      </w:r>
      <w:r w:rsidR="00065B47" w:rsidRPr="00F83AB1">
        <w:t xml:space="preserve">, ve výši </w:t>
      </w:r>
      <w:r w:rsidR="00F83AB1" w:rsidRPr="00847B2F">
        <w:t>1</w:t>
      </w:r>
      <w:r w:rsidR="00065B47" w:rsidRPr="00F83AB1">
        <w:t>,</w:t>
      </w:r>
      <w:r w:rsidR="00F83AB1" w:rsidRPr="00847B2F">
        <w:t>00</w:t>
      </w:r>
      <w:r w:rsidR="00065B47" w:rsidRPr="00F83AB1">
        <w:t xml:space="preserve"> Kč.</w:t>
      </w:r>
    </w:p>
    <w:p w:rsidR="00F83AB1" w:rsidRDefault="00F83AB1" w:rsidP="005B6C55">
      <w:pPr>
        <w:rPr>
          <w:bCs/>
        </w:rPr>
      </w:pPr>
    </w:p>
    <w:p w:rsidR="00F83AB1" w:rsidRPr="000F63C1" w:rsidRDefault="00F83AB1" w:rsidP="005B6C55">
      <w:pPr>
        <w:rPr>
          <w:bCs/>
        </w:rPr>
      </w:pPr>
      <w:r w:rsidRPr="00F83AB1">
        <w:rPr>
          <w:bCs/>
        </w:rPr>
        <w:t xml:space="preserve">Znění </w:t>
      </w:r>
      <w:r w:rsidR="00571919">
        <w:rPr>
          <w:bCs/>
        </w:rPr>
        <w:t xml:space="preserve">ustanovení </w:t>
      </w:r>
      <w:r w:rsidRPr="00F83AB1">
        <w:rPr>
          <w:bCs/>
        </w:rPr>
        <w:t>vychází z dohody tohoto segmentu poskytovatelů a zdravotních pojišťoven v dohodovacím řízení.</w:t>
      </w:r>
    </w:p>
    <w:p w:rsidR="0093083F" w:rsidRPr="000F63C1" w:rsidRDefault="0093083F" w:rsidP="005B6C55"/>
    <w:p w:rsidR="005B6C55" w:rsidRPr="00F60446" w:rsidRDefault="005B6C55" w:rsidP="005B6C55">
      <w:pPr>
        <w:rPr>
          <w:u w:val="single"/>
        </w:rPr>
      </w:pPr>
      <w:bookmarkStart w:id="1" w:name="p15"/>
      <w:bookmarkStart w:id="2" w:name="p15-1"/>
      <w:bookmarkEnd w:id="1"/>
      <w:bookmarkEnd w:id="2"/>
      <w:r w:rsidRPr="00F60446">
        <w:rPr>
          <w:u w:val="single"/>
        </w:rPr>
        <w:t xml:space="preserve">K § 15 </w:t>
      </w:r>
    </w:p>
    <w:p w:rsidR="005B6C55" w:rsidRPr="00D555EB" w:rsidRDefault="005B6C55" w:rsidP="005B6C55">
      <w:pPr>
        <w:rPr>
          <w:bCs/>
        </w:rPr>
      </w:pPr>
      <w:r w:rsidRPr="00D555EB">
        <w:t xml:space="preserve">Stanoví </w:t>
      </w:r>
      <w:r w:rsidRPr="0020157B">
        <w:t xml:space="preserve">se výše úhrad hrazených služeb poskytovaných poskytovateli </w:t>
      </w:r>
      <w:r w:rsidRPr="0020157B">
        <w:rPr>
          <w:rStyle w:val="PromnnHTML"/>
          <w:bCs/>
          <w:i w:val="0"/>
          <w:iCs w:val="0"/>
        </w:rPr>
        <w:t>k</w:t>
      </w:r>
      <w:r w:rsidRPr="0020157B">
        <w:t xml:space="preserve">omplexní lázeňské léčebně rehabilitační péče, </w:t>
      </w:r>
      <w:bookmarkStart w:id="3" w:name="p15-2"/>
      <w:bookmarkEnd w:id="3"/>
      <w:r w:rsidRPr="0020157B">
        <w:t>příspěvkové lázeňské léčebně rehabilitační péče, péče v</w:t>
      </w:r>
      <w:r w:rsidRPr="00D555EB">
        <w:t> ozdravovnách</w:t>
      </w:r>
      <w:bookmarkStart w:id="4" w:name="p5"/>
      <w:bookmarkStart w:id="5" w:name="p5-1"/>
      <w:bookmarkStart w:id="6" w:name="p6"/>
      <w:bookmarkStart w:id="7" w:name="p6-1"/>
      <w:bookmarkStart w:id="8" w:name="p7"/>
      <w:bookmarkEnd w:id="4"/>
      <w:bookmarkEnd w:id="5"/>
      <w:bookmarkEnd w:id="6"/>
      <w:bookmarkEnd w:id="7"/>
      <w:bookmarkEnd w:id="8"/>
      <w:r w:rsidRPr="00D555EB">
        <w:rPr>
          <w:bCs/>
        </w:rPr>
        <w:t>.</w:t>
      </w:r>
    </w:p>
    <w:p w:rsidR="005B6C55" w:rsidRPr="00847B2F" w:rsidRDefault="005B6C55" w:rsidP="005B6C55">
      <w:pPr>
        <w:rPr>
          <w:bCs/>
          <w:highlight w:val="yellow"/>
        </w:rPr>
      </w:pPr>
    </w:p>
    <w:p w:rsidR="005B6C55" w:rsidRPr="000F63C1" w:rsidRDefault="005A75EA" w:rsidP="005B6C55">
      <w:r w:rsidRPr="00847B2F">
        <w:t xml:space="preserve">Úhrada za jeden den pobytu jak pro komplexní, tak pro příspěvkovou lázeňskou léčebně rehabilitační péči bude navýšena o </w:t>
      </w:r>
      <w:r w:rsidR="00A55AEB" w:rsidRPr="00847B2F">
        <w:t>4</w:t>
      </w:r>
      <w:r w:rsidRPr="00847B2F">
        <w:t xml:space="preserve"> %, z důvodu nutného zajištění potřebného růstu prostředků na navýšení platů o 10 %. </w:t>
      </w:r>
      <w:r w:rsidR="00A55AEB">
        <w:t xml:space="preserve">U tohoto segmentu je nastaven nižší růst než u ostatních lůžkových segmentů, jelikož u poskytovatelů lázeňské léčebně rehabilitační péče </w:t>
      </w:r>
      <w:r w:rsidR="00AA3E0D">
        <w:t>tvoří osobní náklady menší část</w:t>
      </w:r>
      <w:r w:rsidR="00A55AEB">
        <w:t xml:space="preserve"> celkových nákladů</w:t>
      </w:r>
      <w:r w:rsidR="00AA3E0D">
        <w:t xml:space="preserve"> (cca 40 %)</w:t>
      </w:r>
      <w:r w:rsidR="00A55AEB">
        <w:t xml:space="preserve">. </w:t>
      </w:r>
      <w:r w:rsidRPr="00847B2F">
        <w:t>Obdobně dojde k navýšení ú</w:t>
      </w:r>
      <w:r w:rsidR="005B6C55" w:rsidRPr="00A55AEB">
        <w:t>hrad</w:t>
      </w:r>
      <w:r w:rsidRPr="00847B2F">
        <w:t>y</w:t>
      </w:r>
      <w:r w:rsidR="005B6C55" w:rsidRPr="00A55AEB">
        <w:t xml:space="preserve"> ozdravovnám </w:t>
      </w:r>
      <w:r w:rsidRPr="00847B2F">
        <w:t xml:space="preserve">o </w:t>
      </w:r>
      <w:r w:rsidR="00A55AEB" w:rsidRPr="00847B2F">
        <w:t>4</w:t>
      </w:r>
      <w:r w:rsidRPr="00847B2F">
        <w:t xml:space="preserve"> % </w:t>
      </w:r>
      <w:r w:rsidR="005B6C55" w:rsidRPr="00A55AEB">
        <w:t>za den</w:t>
      </w:r>
      <w:r w:rsidRPr="00847B2F">
        <w:t xml:space="preserve"> (navýšení z 807 Kč na 8</w:t>
      </w:r>
      <w:r w:rsidR="00A55AEB" w:rsidRPr="00847B2F">
        <w:t>39</w:t>
      </w:r>
      <w:r w:rsidRPr="00847B2F">
        <w:t xml:space="preserve"> Kč za den)</w:t>
      </w:r>
      <w:r w:rsidR="005B6C55" w:rsidRPr="00A55AEB">
        <w:t>.</w:t>
      </w:r>
    </w:p>
    <w:p w:rsidR="005B6C55" w:rsidRDefault="005B6C55" w:rsidP="005B6C55"/>
    <w:p w:rsidR="005B6C55" w:rsidRDefault="005B6C55" w:rsidP="005B6C55">
      <w:pPr>
        <w:rPr>
          <w:u w:val="single"/>
        </w:rPr>
      </w:pPr>
      <w:r w:rsidRPr="00F60446">
        <w:rPr>
          <w:u w:val="single"/>
        </w:rPr>
        <w:t>K § 16</w:t>
      </w:r>
    </w:p>
    <w:p w:rsidR="00F83AB1" w:rsidRPr="0093083F" w:rsidRDefault="00F83AB1" w:rsidP="005B6C55">
      <w:r w:rsidRPr="0093083F">
        <w:t xml:space="preserve">Stanoví se úhrada ve výši 30 Kč za každý vykázaný a zdravotní pojišťovnou uznaný signální výkon klinického vyšetření. Úhrada poskytovateli za tento výkon nepřekročí objem vybraných regulačních poplatků tohoto typu v roce 2014. Tato úhrada se nezapočítává do žádného omezení, jako </w:t>
      </w:r>
      <w:r w:rsidR="00AA3E0D">
        <w:t>je</w:t>
      </w:r>
      <w:r w:rsidRPr="0093083F">
        <w:t xml:space="preserve"> maximální výše úhrad atd.</w:t>
      </w:r>
    </w:p>
    <w:p w:rsidR="005A75EA" w:rsidRDefault="005A75EA" w:rsidP="005B6C55"/>
    <w:p w:rsidR="00F83AB1" w:rsidRPr="0093083F" w:rsidRDefault="00F83AB1" w:rsidP="005B6C55">
      <w:pPr>
        <w:rPr>
          <w:u w:val="single"/>
        </w:rPr>
      </w:pPr>
      <w:r w:rsidRPr="0093083F">
        <w:rPr>
          <w:u w:val="single"/>
        </w:rPr>
        <w:t>K § 17</w:t>
      </w:r>
    </w:p>
    <w:p w:rsidR="00F83AB1" w:rsidRPr="00891A01" w:rsidRDefault="00F83AB1" w:rsidP="005B6C55">
      <w:r w:rsidRPr="0093083F">
        <w:t>Stanoví se úhrada ve výši 1</w:t>
      </w:r>
      <w:r w:rsidR="005A75EA" w:rsidRPr="0093083F">
        <w:t>3</w:t>
      </w:r>
      <w:r w:rsidRPr="0093083F">
        <w:t xml:space="preserve"> Kč za každý vykázaný a zdravotní pojišťovnou uznaný signální výkon výdeje léčivého přípravku na recept</w:t>
      </w:r>
      <w:r w:rsidR="00CE315D">
        <w:t xml:space="preserve">. </w:t>
      </w:r>
      <w:r w:rsidR="00891A01">
        <w:t>Jelikož došlo k novému přepočtu výše kompenzace zrušeného poplatku za výdej léčivého přípravku na recept</w:t>
      </w:r>
      <w:r w:rsidR="00BC01F2">
        <w:t xml:space="preserve"> podle aktuálního počtu uhrazených signálních výkonů</w:t>
      </w:r>
      <w:r w:rsidR="00891A01">
        <w:t>, navyšuje se oproti roku 2016 úhrada</w:t>
      </w:r>
      <w:r w:rsidR="00636088">
        <w:t xml:space="preserve"> za signální výkon o 1 Kč.</w:t>
      </w:r>
      <w:r w:rsidR="00891A01">
        <w:t xml:space="preserve"> </w:t>
      </w:r>
      <w:r w:rsidR="00891A01" w:rsidRPr="00E4237A">
        <w:t xml:space="preserve">Tento výkon může </w:t>
      </w:r>
      <w:r w:rsidR="00891A01">
        <w:t xml:space="preserve">poskytovatel </w:t>
      </w:r>
      <w:r w:rsidR="00891A01" w:rsidRPr="00E4237A">
        <w:t>zdravotní pojišťovně vykázat nejvýše tolikrát, kolik receptů přijal v</w:t>
      </w:r>
      <w:r w:rsidR="00891A01" w:rsidRPr="00CC6FFF">
        <w:t> </w:t>
      </w:r>
      <w:r w:rsidR="00891A01" w:rsidRPr="00847B2F">
        <w:t>roce 2014</w:t>
      </w:r>
      <w:r w:rsidR="00891A01" w:rsidRPr="002C6937">
        <w:t xml:space="preserve"> od jejích pojištěnců.</w:t>
      </w:r>
    </w:p>
    <w:p w:rsidR="00891A01" w:rsidRDefault="00891A01" w:rsidP="005B6C55">
      <w:pPr>
        <w:rPr>
          <w:u w:val="single"/>
        </w:rPr>
      </w:pPr>
    </w:p>
    <w:p w:rsidR="00F83AB1" w:rsidRDefault="00F83AB1" w:rsidP="005B6C55">
      <w:pPr>
        <w:rPr>
          <w:u w:val="single"/>
        </w:rPr>
      </w:pPr>
      <w:r>
        <w:rPr>
          <w:u w:val="single"/>
        </w:rPr>
        <w:t>K § 18</w:t>
      </w:r>
    </w:p>
    <w:p w:rsidR="000A37FA" w:rsidRDefault="00F83AB1" w:rsidP="00A55AEB">
      <w:r w:rsidRPr="0093083F">
        <w:t>Stanoví se úhrada ve výši 10 000 Kč za každý poskytovatelem vykázaný a zdravotní pojišťovnou uznaný výkon č. 78890 podle seznamu výkonů (signální výkon indikace odběru orgánu nebo orgánů od zemřelého dárce). Tato úhrada se nezapočítává do výše úhrady za hrazené služby stanovené v příloze č. 1 vyhlášky.</w:t>
      </w:r>
      <w:r w:rsidR="00A55AEB" w:rsidRPr="0093083F">
        <w:t xml:space="preserve"> Stejně jako v roce 2016 </w:t>
      </w:r>
      <w:r w:rsidR="00AA3E0D">
        <w:t xml:space="preserve">tedy </w:t>
      </w:r>
      <w:r w:rsidR="00A55AEB" w:rsidRPr="0093083F">
        <w:t>dochází k b</w:t>
      </w:r>
      <w:r w:rsidR="00C8068A">
        <w:t>onifikaci za odběr orgánů.</w:t>
      </w:r>
      <w:r w:rsidR="00A55AEB" w:rsidRPr="0093083F">
        <w:t xml:space="preserve"> </w:t>
      </w:r>
      <w:r w:rsidR="00A55AEB">
        <w:t>Smysl tohoto výkonu je označit nemocnici, která provedla indikaci odběru orgánu nebo orgánů od zemřelého dárce</w:t>
      </w:r>
      <w:r w:rsidR="00C8068A">
        <w:t xml:space="preserve">. Úhrada za tento signální výkon má </w:t>
      </w:r>
      <w:r w:rsidR="00C8068A">
        <w:lastRenderedPageBreak/>
        <w:t xml:space="preserve">podpořit ty poskytovatele, kteří aktivně vyhledávají možné dárce a přispívají k rychlé indikaci a včasnému </w:t>
      </w:r>
      <w:r w:rsidR="00C924AF">
        <w:t>poskytnutí</w:t>
      </w:r>
      <w:r w:rsidR="00C8068A">
        <w:t xml:space="preserve"> orgánu příjemci.</w:t>
      </w:r>
    </w:p>
    <w:p w:rsidR="00F83AB1" w:rsidRDefault="00F83AB1" w:rsidP="005B6C55">
      <w:pPr>
        <w:rPr>
          <w:u w:val="single"/>
        </w:rPr>
      </w:pPr>
    </w:p>
    <w:p w:rsidR="00F83AB1" w:rsidRPr="0093083F" w:rsidRDefault="00F83AB1" w:rsidP="005B6C55">
      <w:pPr>
        <w:rPr>
          <w:u w:val="single"/>
        </w:rPr>
      </w:pPr>
      <w:r w:rsidRPr="0093083F">
        <w:rPr>
          <w:u w:val="single"/>
        </w:rPr>
        <w:t>K § 19</w:t>
      </w:r>
    </w:p>
    <w:p w:rsidR="00CB65A8" w:rsidRPr="006E60A2" w:rsidRDefault="002D7D23" w:rsidP="005B6C55">
      <w:r>
        <w:t>V souladu se zmocněním se stanoví hodnoty bodu, výše úhrad a regulačních omezení na celý kalendářní rok, a proto se nabytí účinnosti této vyhlášky stanoví k 1. lednu 201</w:t>
      </w:r>
      <w:r w:rsidR="00D404DC">
        <w:t>7</w:t>
      </w:r>
      <w:r w:rsidR="000504E7">
        <w:t>.</w:t>
      </w:r>
    </w:p>
    <w:sectPr w:rsidR="00CB65A8" w:rsidRPr="006E60A2" w:rsidSect="005B6C55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503D48" w15:done="0"/>
  <w15:commentEx w15:paraId="2FFA1A34" w15:done="0"/>
  <w15:commentEx w15:paraId="28CBFFBA" w15:done="0"/>
  <w15:commentEx w15:paraId="6D126AD7" w15:done="0"/>
  <w15:commentEx w15:paraId="71D30CA9" w15:done="0"/>
  <w15:commentEx w15:paraId="044F38A7" w15:done="0"/>
  <w15:commentEx w15:paraId="6C9F4C1E" w15:done="0"/>
  <w15:commentEx w15:paraId="63DF45A8" w15:done="0"/>
  <w15:commentEx w15:paraId="651D04EC" w15:done="0"/>
  <w15:commentEx w15:paraId="7AE73B3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3D9" w:rsidRDefault="00A373D9" w:rsidP="00580051">
      <w:r>
        <w:separator/>
      </w:r>
    </w:p>
  </w:endnote>
  <w:endnote w:type="continuationSeparator" w:id="0">
    <w:p w:rsidR="00A373D9" w:rsidRDefault="00A373D9" w:rsidP="00580051">
      <w:r>
        <w:continuationSeparator/>
      </w:r>
    </w:p>
  </w:endnote>
  <w:endnote w:type="continuationNotice" w:id="1">
    <w:p w:rsidR="00A373D9" w:rsidRDefault="00A373D9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17E" w:rsidRDefault="009B4254">
    <w:pPr>
      <w:pStyle w:val="Zpat"/>
      <w:jc w:val="center"/>
    </w:pPr>
    <w:r>
      <w:fldChar w:fldCharType="begin"/>
    </w:r>
    <w:r w:rsidR="00CF517E">
      <w:instrText>PAGE   \* MERGEFORMAT</w:instrText>
    </w:r>
    <w:r>
      <w:fldChar w:fldCharType="separate"/>
    </w:r>
    <w:r w:rsidR="00FF56A1">
      <w:rPr>
        <w:noProof/>
      </w:rPr>
      <w:t>7</w:t>
    </w:r>
    <w:r>
      <w:rPr>
        <w:noProof/>
      </w:rPr>
      <w:fldChar w:fldCharType="end"/>
    </w:r>
  </w:p>
  <w:p w:rsidR="00CF517E" w:rsidRDefault="00CF517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3D9" w:rsidRDefault="00A373D9" w:rsidP="00580051">
      <w:r>
        <w:separator/>
      </w:r>
    </w:p>
  </w:footnote>
  <w:footnote w:type="continuationSeparator" w:id="0">
    <w:p w:rsidR="00A373D9" w:rsidRDefault="00A373D9" w:rsidP="00580051">
      <w:r>
        <w:continuationSeparator/>
      </w:r>
    </w:p>
  </w:footnote>
  <w:footnote w:type="continuationNotice" w:id="1">
    <w:p w:rsidR="00A373D9" w:rsidRDefault="00A373D9">
      <w:pPr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605"/>
    <w:multiLevelType w:val="hybridMultilevel"/>
    <w:tmpl w:val="1688E252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0E77B4"/>
    <w:multiLevelType w:val="hybridMultilevel"/>
    <w:tmpl w:val="27F40E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E2832"/>
    <w:multiLevelType w:val="hybridMultilevel"/>
    <w:tmpl w:val="18420A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B686D"/>
    <w:multiLevelType w:val="hybridMultilevel"/>
    <w:tmpl w:val="E7925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22C2"/>
    <w:multiLevelType w:val="hybridMultilevel"/>
    <w:tmpl w:val="92AE9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D44DA"/>
    <w:multiLevelType w:val="hybridMultilevel"/>
    <w:tmpl w:val="EF8460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A3B90"/>
    <w:multiLevelType w:val="hybridMultilevel"/>
    <w:tmpl w:val="F5E88202"/>
    <w:lvl w:ilvl="0" w:tplc="9C562FE6">
      <w:start w:val="1"/>
      <w:numFmt w:val="upperLetter"/>
      <w:pStyle w:val="Podtitul"/>
      <w:lvlText w:val="%1"/>
      <w:lvlJc w:val="left"/>
      <w:pPr>
        <w:ind w:left="360" w:hanging="360"/>
      </w:pPr>
      <w:rPr>
        <w:rFonts w:hint="default"/>
        <w:b/>
      </w:rPr>
    </w:lvl>
    <w:lvl w:ilvl="1" w:tplc="AC3C30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53EC053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A262D"/>
    <w:multiLevelType w:val="multilevel"/>
    <w:tmpl w:val="05FC08F0"/>
    <w:lvl w:ilvl="0">
      <w:start w:val="1"/>
      <w:numFmt w:val="decimal"/>
      <w:pStyle w:val="Nadpis1"/>
      <w:lvlText w:val="%1"/>
      <w:lvlJc w:val="left"/>
      <w:pPr>
        <w:tabs>
          <w:tab w:val="num" w:pos="1140"/>
        </w:tabs>
        <w:ind w:left="1140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none"/>
      <w:pStyle w:val="Nadpis4"/>
      <w:lvlText w:val="%1.%2.%3.1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8">
    <w:nsid w:val="2940325A"/>
    <w:multiLevelType w:val="hybridMultilevel"/>
    <w:tmpl w:val="81D2F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F2639"/>
    <w:multiLevelType w:val="hybridMultilevel"/>
    <w:tmpl w:val="0136D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76A2C"/>
    <w:multiLevelType w:val="hybridMultilevel"/>
    <w:tmpl w:val="EBA4A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83CB6"/>
    <w:multiLevelType w:val="hybridMultilevel"/>
    <w:tmpl w:val="99EEEA98"/>
    <w:lvl w:ilvl="0" w:tplc="EA601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23F6E"/>
    <w:multiLevelType w:val="hybridMultilevel"/>
    <w:tmpl w:val="6018F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57029"/>
    <w:multiLevelType w:val="hybridMultilevel"/>
    <w:tmpl w:val="50846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D63CC"/>
    <w:multiLevelType w:val="hybridMultilevel"/>
    <w:tmpl w:val="CBEE1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37040"/>
    <w:multiLevelType w:val="hybridMultilevel"/>
    <w:tmpl w:val="E17E31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4C1F7B"/>
    <w:multiLevelType w:val="hybridMultilevel"/>
    <w:tmpl w:val="86AAD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D1766"/>
    <w:multiLevelType w:val="hybridMultilevel"/>
    <w:tmpl w:val="6694A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F66EA"/>
    <w:multiLevelType w:val="hybridMultilevel"/>
    <w:tmpl w:val="FA88C5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BE16FC"/>
    <w:multiLevelType w:val="hybridMultilevel"/>
    <w:tmpl w:val="BF2EC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B52CA"/>
    <w:multiLevelType w:val="hybridMultilevel"/>
    <w:tmpl w:val="C28C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637929"/>
    <w:multiLevelType w:val="hybridMultilevel"/>
    <w:tmpl w:val="FBFA3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834FD"/>
    <w:multiLevelType w:val="hybridMultilevel"/>
    <w:tmpl w:val="14927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27541E"/>
    <w:multiLevelType w:val="hybridMultilevel"/>
    <w:tmpl w:val="9B8A6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277C1D"/>
    <w:multiLevelType w:val="hybridMultilevel"/>
    <w:tmpl w:val="558A1522"/>
    <w:lvl w:ilvl="0" w:tplc="382A0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E75A4"/>
    <w:multiLevelType w:val="hybridMultilevel"/>
    <w:tmpl w:val="E0C0E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521B32"/>
    <w:multiLevelType w:val="hybridMultilevel"/>
    <w:tmpl w:val="12B61E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3D5AE7"/>
    <w:multiLevelType w:val="hybridMultilevel"/>
    <w:tmpl w:val="FA960C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D76A7"/>
    <w:multiLevelType w:val="hybridMultilevel"/>
    <w:tmpl w:val="3EC0DDF6"/>
    <w:lvl w:ilvl="0" w:tplc="813420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B052694"/>
    <w:multiLevelType w:val="multilevel"/>
    <w:tmpl w:val="D06AF11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5C516918"/>
    <w:multiLevelType w:val="hybridMultilevel"/>
    <w:tmpl w:val="688C2D00"/>
    <w:lvl w:ilvl="0" w:tplc="1FE29520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CF20360"/>
    <w:multiLevelType w:val="hybridMultilevel"/>
    <w:tmpl w:val="1F5A41BA"/>
    <w:lvl w:ilvl="0" w:tplc="DA02F77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107C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B2521"/>
    <w:multiLevelType w:val="hybridMultilevel"/>
    <w:tmpl w:val="58D09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BB376B"/>
    <w:multiLevelType w:val="hybridMultilevel"/>
    <w:tmpl w:val="125483C0"/>
    <w:lvl w:ilvl="0" w:tplc="726623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627690"/>
    <w:multiLevelType w:val="hybridMultilevel"/>
    <w:tmpl w:val="D5BC3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10A3A"/>
    <w:multiLevelType w:val="hybridMultilevel"/>
    <w:tmpl w:val="CC78B2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2C078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C37DD"/>
    <w:multiLevelType w:val="hybridMultilevel"/>
    <w:tmpl w:val="C924F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AF1A1F"/>
    <w:multiLevelType w:val="multilevel"/>
    <w:tmpl w:val="B0C4F04E"/>
    <w:lvl w:ilvl="0">
      <w:start w:val="4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8">
    <w:nsid w:val="6B0143B3"/>
    <w:multiLevelType w:val="hybridMultilevel"/>
    <w:tmpl w:val="B4DAB75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BA441D7"/>
    <w:multiLevelType w:val="hybridMultilevel"/>
    <w:tmpl w:val="286E4A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E84707"/>
    <w:multiLevelType w:val="hybridMultilevel"/>
    <w:tmpl w:val="873456A2"/>
    <w:lvl w:ilvl="0" w:tplc="AAF277C4"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Calibri" w:eastAsia="Franklin Gothic Medium Cond" w:hAnsi="Calibri" w:cs="Franklin Gothic Medium Cond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1FC2450"/>
    <w:multiLevelType w:val="hybridMultilevel"/>
    <w:tmpl w:val="3AE03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2A66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0C0394"/>
    <w:multiLevelType w:val="hybridMultilevel"/>
    <w:tmpl w:val="0D84FC58"/>
    <w:lvl w:ilvl="0" w:tplc="0FD4AD5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301648"/>
    <w:multiLevelType w:val="hybridMultilevel"/>
    <w:tmpl w:val="E5161F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37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18"/>
  </w:num>
  <w:num w:numId="6">
    <w:abstractNumId w:val="15"/>
  </w:num>
  <w:num w:numId="7">
    <w:abstractNumId w:val="7"/>
  </w:num>
  <w:num w:numId="8">
    <w:abstractNumId w:val="5"/>
  </w:num>
  <w:num w:numId="9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40"/>
  </w:num>
  <w:num w:numId="12">
    <w:abstractNumId w:val="32"/>
  </w:num>
  <w:num w:numId="13">
    <w:abstractNumId w:val="28"/>
  </w:num>
  <w:num w:numId="14">
    <w:abstractNumId w:val="12"/>
  </w:num>
  <w:num w:numId="15">
    <w:abstractNumId w:val="4"/>
  </w:num>
  <w:num w:numId="16">
    <w:abstractNumId w:val="8"/>
  </w:num>
  <w:num w:numId="17">
    <w:abstractNumId w:val="3"/>
  </w:num>
  <w:num w:numId="18">
    <w:abstractNumId w:val="41"/>
  </w:num>
  <w:num w:numId="19">
    <w:abstractNumId w:val="30"/>
  </w:num>
  <w:num w:numId="20">
    <w:abstractNumId w:val="27"/>
  </w:num>
  <w:num w:numId="21">
    <w:abstractNumId w:val="0"/>
  </w:num>
  <w:num w:numId="22">
    <w:abstractNumId w:val="33"/>
  </w:num>
  <w:num w:numId="23">
    <w:abstractNumId w:val="36"/>
  </w:num>
  <w:num w:numId="24">
    <w:abstractNumId w:val="35"/>
  </w:num>
  <w:num w:numId="25">
    <w:abstractNumId w:val="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0"/>
  </w:num>
  <w:num w:numId="29">
    <w:abstractNumId w:val="26"/>
  </w:num>
  <w:num w:numId="30">
    <w:abstractNumId w:val="24"/>
  </w:num>
  <w:num w:numId="31">
    <w:abstractNumId w:val="14"/>
  </w:num>
  <w:num w:numId="32">
    <w:abstractNumId w:val="20"/>
  </w:num>
  <w:num w:numId="33">
    <w:abstractNumId w:val="25"/>
  </w:num>
  <w:num w:numId="34">
    <w:abstractNumId w:val="38"/>
  </w:num>
  <w:num w:numId="35">
    <w:abstractNumId w:val="9"/>
  </w:num>
  <w:num w:numId="36">
    <w:abstractNumId w:val="21"/>
  </w:num>
  <w:num w:numId="37">
    <w:abstractNumId w:val="17"/>
  </w:num>
  <w:num w:numId="38">
    <w:abstractNumId w:val="19"/>
  </w:num>
  <w:num w:numId="39">
    <w:abstractNumId w:val="11"/>
  </w:num>
  <w:num w:numId="40">
    <w:abstractNumId w:val="13"/>
  </w:num>
  <w:num w:numId="41">
    <w:abstractNumId w:val="22"/>
  </w:num>
  <w:num w:numId="42">
    <w:abstractNumId w:val="2"/>
  </w:num>
  <w:num w:numId="43">
    <w:abstractNumId w:val="6"/>
  </w:num>
  <w:num w:numId="44">
    <w:abstractNumId w:val="42"/>
  </w:num>
  <w:num w:numId="45">
    <w:abstractNumId w:val="34"/>
  </w:num>
  <w:num w:numId="46">
    <w:abstractNumId w:val="16"/>
  </w:num>
  <w:num w:numId="47">
    <w:abstractNumId w:val="2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lína Žílová">
    <w15:presenceInfo w15:providerId="Windows Live" w15:userId="38e086c66f987c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A0F62"/>
    <w:rsid w:val="00001371"/>
    <w:rsid w:val="0000178D"/>
    <w:rsid w:val="00002661"/>
    <w:rsid w:val="00002909"/>
    <w:rsid w:val="00003944"/>
    <w:rsid w:val="00004302"/>
    <w:rsid w:val="0000586E"/>
    <w:rsid w:val="00006C30"/>
    <w:rsid w:val="0000721B"/>
    <w:rsid w:val="00007C2B"/>
    <w:rsid w:val="000121AA"/>
    <w:rsid w:val="00016CA8"/>
    <w:rsid w:val="000173A8"/>
    <w:rsid w:val="00017E6B"/>
    <w:rsid w:val="000204F3"/>
    <w:rsid w:val="000244EC"/>
    <w:rsid w:val="0002600A"/>
    <w:rsid w:val="0003001D"/>
    <w:rsid w:val="00030101"/>
    <w:rsid w:val="00030787"/>
    <w:rsid w:val="00032A72"/>
    <w:rsid w:val="00037131"/>
    <w:rsid w:val="000379E7"/>
    <w:rsid w:val="000400CF"/>
    <w:rsid w:val="00044B52"/>
    <w:rsid w:val="00044F3A"/>
    <w:rsid w:val="00047143"/>
    <w:rsid w:val="000501DD"/>
    <w:rsid w:val="000504E7"/>
    <w:rsid w:val="000510A4"/>
    <w:rsid w:val="0005558A"/>
    <w:rsid w:val="00055650"/>
    <w:rsid w:val="00055661"/>
    <w:rsid w:val="00055E22"/>
    <w:rsid w:val="000578C8"/>
    <w:rsid w:val="000579B5"/>
    <w:rsid w:val="00060096"/>
    <w:rsid w:val="00060779"/>
    <w:rsid w:val="00065B47"/>
    <w:rsid w:val="0006645B"/>
    <w:rsid w:val="00066A43"/>
    <w:rsid w:val="00066F61"/>
    <w:rsid w:val="00067C52"/>
    <w:rsid w:val="0007198A"/>
    <w:rsid w:val="00072753"/>
    <w:rsid w:val="00072C25"/>
    <w:rsid w:val="00077C73"/>
    <w:rsid w:val="00080DA7"/>
    <w:rsid w:val="00083E9E"/>
    <w:rsid w:val="00085057"/>
    <w:rsid w:val="00085322"/>
    <w:rsid w:val="0008590B"/>
    <w:rsid w:val="000905CD"/>
    <w:rsid w:val="00091570"/>
    <w:rsid w:val="000932E8"/>
    <w:rsid w:val="00095822"/>
    <w:rsid w:val="00095865"/>
    <w:rsid w:val="000A0C60"/>
    <w:rsid w:val="000A37FA"/>
    <w:rsid w:val="000A488B"/>
    <w:rsid w:val="000A4F9F"/>
    <w:rsid w:val="000A5A68"/>
    <w:rsid w:val="000A64D6"/>
    <w:rsid w:val="000A6C30"/>
    <w:rsid w:val="000B0C78"/>
    <w:rsid w:val="000B11C9"/>
    <w:rsid w:val="000B56B6"/>
    <w:rsid w:val="000C18C1"/>
    <w:rsid w:val="000C1AF8"/>
    <w:rsid w:val="000C1EB9"/>
    <w:rsid w:val="000C1F87"/>
    <w:rsid w:val="000C39A5"/>
    <w:rsid w:val="000C3AD4"/>
    <w:rsid w:val="000C5E81"/>
    <w:rsid w:val="000C5F08"/>
    <w:rsid w:val="000C7C81"/>
    <w:rsid w:val="000D1AC9"/>
    <w:rsid w:val="000D34A1"/>
    <w:rsid w:val="000D3BE6"/>
    <w:rsid w:val="000D4B07"/>
    <w:rsid w:val="000D5173"/>
    <w:rsid w:val="000D5D93"/>
    <w:rsid w:val="000D6988"/>
    <w:rsid w:val="000D69B4"/>
    <w:rsid w:val="000D7CBB"/>
    <w:rsid w:val="000E026F"/>
    <w:rsid w:val="000E405E"/>
    <w:rsid w:val="000E551A"/>
    <w:rsid w:val="000E587E"/>
    <w:rsid w:val="000F1238"/>
    <w:rsid w:val="000F1580"/>
    <w:rsid w:val="000F2B3E"/>
    <w:rsid w:val="000F2DDA"/>
    <w:rsid w:val="000F3B6E"/>
    <w:rsid w:val="000F5C55"/>
    <w:rsid w:val="000F63C1"/>
    <w:rsid w:val="0010022A"/>
    <w:rsid w:val="00100256"/>
    <w:rsid w:val="00100499"/>
    <w:rsid w:val="00102CA6"/>
    <w:rsid w:val="0010395A"/>
    <w:rsid w:val="00104700"/>
    <w:rsid w:val="00105B2A"/>
    <w:rsid w:val="00106943"/>
    <w:rsid w:val="001076C3"/>
    <w:rsid w:val="00107F34"/>
    <w:rsid w:val="00111656"/>
    <w:rsid w:val="00113E90"/>
    <w:rsid w:val="001157C0"/>
    <w:rsid w:val="00115E86"/>
    <w:rsid w:val="00116735"/>
    <w:rsid w:val="00117B02"/>
    <w:rsid w:val="001217E7"/>
    <w:rsid w:val="00122ACE"/>
    <w:rsid w:val="00122D84"/>
    <w:rsid w:val="00123740"/>
    <w:rsid w:val="00123B89"/>
    <w:rsid w:val="00126667"/>
    <w:rsid w:val="00127DE7"/>
    <w:rsid w:val="001303EB"/>
    <w:rsid w:val="00130BBB"/>
    <w:rsid w:val="0013170B"/>
    <w:rsid w:val="001324C4"/>
    <w:rsid w:val="001338A0"/>
    <w:rsid w:val="00134B1C"/>
    <w:rsid w:val="001359D3"/>
    <w:rsid w:val="00136B11"/>
    <w:rsid w:val="00140591"/>
    <w:rsid w:val="00142701"/>
    <w:rsid w:val="00143080"/>
    <w:rsid w:val="00143292"/>
    <w:rsid w:val="0014528A"/>
    <w:rsid w:val="00150B54"/>
    <w:rsid w:val="00150C09"/>
    <w:rsid w:val="001519D1"/>
    <w:rsid w:val="001556C9"/>
    <w:rsid w:val="0015782D"/>
    <w:rsid w:val="00157D75"/>
    <w:rsid w:val="001608F7"/>
    <w:rsid w:val="00161696"/>
    <w:rsid w:val="00161939"/>
    <w:rsid w:val="001633B5"/>
    <w:rsid w:val="00163D82"/>
    <w:rsid w:val="00164C1F"/>
    <w:rsid w:val="00165C63"/>
    <w:rsid w:val="001661E3"/>
    <w:rsid w:val="001664DD"/>
    <w:rsid w:val="00166CF7"/>
    <w:rsid w:val="00170FDF"/>
    <w:rsid w:val="00172EBC"/>
    <w:rsid w:val="001738AA"/>
    <w:rsid w:val="001810C5"/>
    <w:rsid w:val="0018215A"/>
    <w:rsid w:val="00183C40"/>
    <w:rsid w:val="001920F2"/>
    <w:rsid w:val="0019520B"/>
    <w:rsid w:val="00195EEC"/>
    <w:rsid w:val="00196557"/>
    <w:rsid w:val="001A0F04"/>
    <w:rsid w:val="001A1479"/>
    <w:rsid w:val="001A32B0"/>
    <w:rsid w:val="001A4604"/>
    <w:rsid w:val="001A6B25"/>
    <w:rsid w:val="001A747D"/>
    <w:rsid w:val="001B0926"/>
    <w:rsid w:val="001B1BAB"/>
    <w:rsid w:val="001B4F19"/>
    <w:rsid w:val="001B5774"/>
    <w:rsid w:val="001B7863"/>
    <w:rsid w:val="001B7A5B"/>
    <w:rsid w:val="001C322B"/>
    <w:rsid w:val="001C54D3"/>
    <w:rsid w:val="001C6E73"/>
    <w:rsid w:val="001D1945"/>
    <w:rsid w:val="001D30F7"/>
    <w:rsid w:val="001D67DB"/>
    <w:rsid w:val="001E51EB"/>
    <w:rsid w:val="001E5B11"/>
    <w:rsid w:val="001E6DF1"/>
    <w:rsid w:val="001F0078"/>
    <w:rsid w:val="001F1BFC"/>
    <w:rsid w:val="001F282B"/>
    <w:rsid w:val="001F2AF8"/>
    <w:rsid w:val="001F6942"/>
    <w:rsid w:val="001F757E"/>
    <w:rsid w:val="00200D2F"/>
    <w:rsid w:val="0020150F"/>
    <w:rsid w:val="0020157B"/>
    <w:rsid w:val="0020241A"/>
    <w:rsid w:val="002029C1"/>
    <w:rsid w:val="00203298"/>
    <w:rsid w:val="00203751"/>
    <w:rsid w:val="0020546A"/>
    <w:rsid w:val="00212453"/>
    <w:rsid w:val="00214538"/>
    <w:rsid w:val="002152AB"/>
    <w:rsid w:val="002168EA"/>
    <w:rsid w:val="002205AC"/>
    <w:rsid w:val="00223822"/>
    <w:rsid w:val="0022396F"/>
    <w:rsid w:val="00223D25"/>
    <w:rsid w:val="00224466"/>
    <w:rsid w:val="00226511"/>
    <w:rsid w:val="002310E6"/>
    <w:rsid w:val="0023442E"/>
    <w:rsid w:val="00235584"/>
    <w:rsid w:val="00235796"/>
    <w:rsid w:val="00236E83"/>
    <w:rsid w:val="00237E8F"/>
    <w:rsid w:val="00242293"/>
    <w:rsid w:val="002423C3"/>
    <w:rsid w:val="002442FA"/>
    <w:rsid w:val="00244EDD"/>
    <w:rsid w:val="00246FA6"/>
    <w:rsid w:val="0025271E"/>
    <w:rsid w:val="00252872"/>
    <w:rsid w:val="0025397F"/>
    <w:rsid w:val="00255BE9"/>
    <w:rsid w:val="00256848"/>
    <w:rsid w:val="0026021C"/>
    <w:rsid w:val="0026325F"/>
    <w:rsid w:val="002645DD"/>
    <w:rsid w:val="0026461C"/>
    <w:rsid w:val="00264C81"/>
    <w:rsid w:val="002664A5"/>
    <w:rsid w:val="00267763"/>
    <w:rsid w:val="002702A3"/>
    <w:rsid w:val="002718CE"/>
    <w:rsid w:val="0027358E"/>
    <w:rsid w:val="00274E5E"/>
    <w:rsid w:val="002761CD"/>
    <w:rsid w:val="00277175"/>
    <w:rsid w:val="002771E7"/>
    <w:rsid w:val="00280A29"/>
    <w:rsid w:val="00284164"/>
    <w:rsid w:val="0029138F"/>
    <w:rsid w:val="0029267D"/>
    <w:rsid w:val="00296045"/>
    <w:rsid w:val="00296935"/>
    <w:rsid w:val="00296ACF"/>
    <w:rsid w:val="002A2214"/>
    <w:rsid w:val="002A4D6C"/>
    <w:rsid w:val="002A5647"/>
    <w:rsid w:val="002A62CE"/>
    <w:rsid w:val="002A7069"/>
    <w:rsid w:val="002B1383"/>
    <w:rsid w:val="002B13C7"/>
    <w:rsid w:val="002B2E43"/>
    <w:rsid w:val="002B2E99"/>
    <w:rsid w:val="002B354C"/>
    <w:rsid w:val="002B466E"/>
    <w:rsid w:val="002B4708"/>
    <w:rsid w:val="002B5A19"/>
    <w:rsid w:val="002C1D6E"/>
    <w:rsid w:val="002C474F"/>
    <w:rsid w:val="002C6937"/>
    <w:rsid w:val="002C7A17"/>
    <w:rsid w:val="002D19B0"/>
    <w:rsid w:val="002D2055"/>
    <w:rsid w:val="002D4CBB"/>
    <w:rsid w:val="002D4E28"/>
    <w:rsid w:val="002D504F"/>
    <w:rsid w:val="002D69AD"/>
    <w:rsid w:val="002D7D23"/>
    <w:rsid w:val="002E44C9"/>
    <w:rsid w:val="002E4D60"/>
    <w:rsid w:val="002E74A4"/>
    <w:rsid w:val="002F0FDE"/>
    <w:rsid w:val="002F3F85"/>
    <w:rsid w:val="002F4BD4"/>
    <w:rsid w:val="002F73DD"/>
    <w:rsid w:val="00300A68"/>
    <w:rsid w:val="00300F3D"/>
    <w:rsid w:val="00301604"/>
    <w:rsid w:val="00303386"/>
    <w:rsid w:val="00304CEB"/>
    <w:rsid w:val="00306444"/>
    <w:rsid w:val="0031010C"/>
    <w:rsid w:val="00310446"/>
    <w:rsid w:val="00311095"/>
    <w:rsid w:val="003135C5"/>
    <w:rsid w:val="0032178B"/>
    <w:rsid w:val="00321DAA"/>
    <w:rsid w:val="00325107"/>
    <w:rsid w:val="00326141"/>
    <w:rsid w:val="00326A92"/>
    <w:rsid w:val="00326E34"/>
    <w:rsid w:val="00327076"/>
    <w:rsid w:val="00327CAF"/>
    <w:rsid w:val="00327F61"/>
    <w:rsid w:val="003307CA"/>
    <w:rsid w:val="00331E5E"/>
    <w:rsid w:val="0033750E"/>
    <w:rsid w:val="0034064E"/>
    <w:rsid w:val="003411C6"/>
    <w:rsid w:val="00341AE5"/>
    <w:rsid w:val="00342002"/>
    <w:rsid w:val="00342148"/>
    <w:rsid w:val="003431EF"/>
    <w:rsid w:val="00343563"/>
    <w:rsid w:val="00344748"/>
    <w:rsid w:val="00344F15"/>
    <w:rsid w:val="00345135"/>
    <w:rsid w:val="0034542A"/>
    <w:rsid w:val="00345E6C"/>
    <w:rsid w:val="003463D2"/>
    <w:rsid w:val="00347BE1"/>
    <w:rsid w:val="003517E3"/>
    <w:rsid w:val="003526A9"/>
    <w:rsid w:val="00352E5D"/>
    <w:rsid w:val="003535BD"/>
    <w:rsid w:val="00355835"/>
    <w:rsid w:val="00355B06"/>
    <w:rsid w:val="00356616"/>
    <w:rsid w:val="00357D4E"/>
    <w:rsid w:val="00357D80"/>
    <w:rsid w:val="003619FE"/>
    <w:rsid w:val="0036330C"/>
    <w:rsid w:val="00363D23"/>
    <w:rsid w:val="00364666"/>
    <w:rsid w:val="00365C31"/>
    <w:rsid w:val="003705E4"/>
    <w:rsid w:val="00371CEF"/>
    <w:rsid w:val="0037240F"/>
    <w:rsid w:val="00374FA2"/>
    <w:rsid w:val="003750BA"/>
    <w:rsid w:val="00375CDE"/>
    <w:rsid w:val="003765B8"/>
    <w:rsid w:val="00376FD0"/>
    <w:rsid w:val="00377538"/>
    <w:rsid w:val="003800C5"/>
    <w:rsid w:val="00380BFB"/>
    <w:rsid w:val="00380F22"/>
    <w:rsid w:val="00381B5C"/>
    <w:rsid w:val="003822BF"/>
    <w:rsid w:val="003828B2"/>
    <w:rsid w:val="00385FD3"/>
    <w:rsid w:val="0038624F"/>
    <w:rsid w:val="00391172"/>
    <w:rsid w:val="00391BF8"/>
    <w:rsid w:val="00392EFD"/>
    <w:rsid w:val="00394092"/>
    <w:rsid w:val="00397E95"/>
    <w:rsid w:val="003A065A"/>
    <w:rsid w:val="003A32B8"/>
    <w:rsid w:val="003A530A"/>
    <w:rsid w:val="003A6BFC"/>
    <w:rsid w:val="003A79A7"/>
    <w:rsid w:val="003A7E7A"/>
    <w:rsid w:val="003B1ABA"/>
    <w:rsid w:val="003B339E"/>
    <w:rsid w:val="003B3EAC"/>
    <w:rsid w:val="003B53DD"/>
    <w:rsid w:val="003B70F1"/>
    <w:rsid w:val="003B7A8B"/>
    <w:rsid w:val="003C0906"/>
    <w:rsid w:val="003C0A90"/>
    <w:rsid w:val="003C12BE"/>
    <w:rsid w:val="003C1503"/>
    <w:rsid w:val="003C4913"/>
    <w:rsid w:val="003C6363"/>
    <w:rsid w:val="003D3766"/>
    <w:rsid w:val="003E2596"/>
    <w:rsid w:val="003F02F2"/>
    <w:rsid w:val="003F048B"/>
    <w:rsid w:val="003F0CB8"/>
    <w:rsid w:val="003F27D3"/>
    <w:rsid w:val="003F2B2A"/>
    <w:rsid w:val="003F36A4"/>
    <w:rsid w:val="003F37D4"/>
    <w:rsid w:val="003F453C"/>
    <w:rsid w:val="003F645B"/>
    <w:rsid w:val="0040024F"/>
    <w:rsid w:val="00400F2C"/>
    <w:rsid w:val="004014AE"/>
    <w:rsid w:val="00403799"/>
    <w:rsid w:val="00404C55"/>
    <w:rsid w:val="00407B1F"/>
    <w:rsid w:val="00407B8A"/>
    <w:rsid w:val="00410041"/>
    <w:rsid w:val="00411CA0"/>
    <w:rsid w:val="004126BB"/>
    <w:rsid w:val="00414FBB"/>
    <w:rsid w:val="00416127"/>
    <w:rsid w:val="00416B05"/>
    <w:rsid w:val="00416FD7"/>
    <w:rsid w:val="00417DA0"/>
    <w:rsid w:val="00420E23"/>
    <w:rsid w:val="00420EF9"/>
    <w:rsid w:val="00423F04"/>
    <w:rsid w:val="00424216"/>
    <w:rsid w:val="00424987"/>
    <w:rsid w:val="00426779"/>
    <w:rsid w:val="00427AAF"/>
    <w:rsid w:val="004300F7"/>
    <w:rsid w:val="0043098E"/>
    <w:rsid w:val="004312F7"/>
    <w:rsid w:val="00432776"/>
    <w:rsid w:val="00432BB5"/>
    <w:rsid w:val="0044190A"/>
    <w:rsid w:val="00441E6D"/>
    <w:rsid w:val="00442AA1"/>
    <w:rsid w:val="004432BD"/>
    <w:rsid w:val="004456C9"/>
    <w:rsid w:val="00450716"/>
    <w:rsid w:val="00452742"/>
    <w:rsid w:val="00453217"/>
    <w:rsid w:val="0045475A"/>
    <w:rsid w:val="00456C77"/>
    <w:rsid w:val="00460024"/>
    <w:rsid w:val="00460F23"/>
    <w:rsid w:val="004610D5"/>
    <w:rsid w:val="004614FB"/>
    <w:rsid w:val="00463EF4"/>
    <w:rsid w:val="00464FEC"/>
    <w:rsid w:val="00467E22"/>
    <w:rsid w:val="004709A9"/>
    <w:rsid w:val="004725F0"/>
    <w:rsid w:val="00472F7E"/>
    <w:rsid w:val="0047477C"/>
    <w:rsid w:val="00474DBB"/>
    <w:rsid w:val="00475ECF"/>
    <w:rsid w:val="00477486"/>
    <w:rsid w:val="00483757"/>
    <w:rsid w:val="00483827"/>
    <w:rsid w:val="00486D3A"/>
    <w:rsid w:val="00491F5A"/>
    <w:rsid w:val="00493C45"/>
    <w:rsid w:val="0049611B"/>
    <w:rsid w:val="004A1643"/>
    <w:rsid w:val="004A2E85"/>
    <w:rsid w:val="004A313B"/>
    <w:rsid w:val="004B1D83"/>
    <w:rsid w:val="004B335C"/>
    <w:rsid w:val="004B50DA"/>
    <w:rsid w:val="004B79E1"/>
    <w:rsid w:val="004B7BD7"/>
    <w:rsid w:val="004C0E85"/>
    <w:rsid w:val="004C1DD8"/>
    <w:rsid w:val="004C2021"/>
    <w:rsid w:val="004C24D6"/>
    <w:rsid w:val="004C2866"/>
    <w:rsid w:val="004C2ABD"/>
    <w:rsid w:val="004C2D47"/>
    <w:rsid w:val="004C5D65"/>
    <w:rsid w:val="004C5FE8"/>
    <w:rsid w:val="004C68CC"/>
    <w:rsid w:val="004D043D"/>
    <w:rsid w:val="004D0D91"/>
    <w:rsid w:val="004D0E24"/>
    <w:rsid w:val="004D3003"/>
    <w:rsid w:val="004D5CE3"/>
    <w:rsid w:val="004D5DA8"/>
    <w:rsid w:val="004D6495"/>
    <w:rsid w:val="004D64F7"/>
    <w:rsid w:val="004D6B60"/>
    <w:rsid w:val="004D7803"/>
    <w:rsid w:val="004E2C48"/>
    <w:rsid w:val="004E2E8D"/>
    <w:rsid w:val="004E40CB"/>
    <w:rsid w:val="004E42FE"/>
    <w:rsid w:val="004E46CB"/>
    <w:rsid w:val="004E6E41"/>
    <w:rsid w:val="004E7FB9"/>
    <w:rsid w:val="004F0CEF"/>
    <w:rsid w:val="004F265E"/>
    <w:rsid w:val="004F2DB6"/>
    <w:rsid w:val="004F3FDA"/>
    <w:rsid w:val="004F4DC5"/>
    <w:rsid w:val="004F6178"/>
    <w:rsid w:val="004F7983"/>
    <w:rsid w:val="00500434"/>
    <w:rsid w:val="00500544"/>
    <w:rsid w:val="005007C1"/>
    <w:rsid w:val="00500D1B"/>
    <w:rsid w:val="00502128"/>
    <w:rsid w:val="00505BFA"/>
    <w:rsid w:val="0050742F"/>
    <w:rsid w:val="005103BD"/>
    <w:rsid w:val="0051057D"/>
    <w:rsid w:val="00511FBA"/>
    <w:rsid w:val="0051266E"/>
    <w:rsid w:val="005148EB"/>
    <w:rsid w:val="0051541C"/>
    <w:rsid w:val="00515B6F"/>
    <w:rsid w:val="00516059"/>
    <w:rsid w:val="00517D5D"/>
    <w:rsid w:val="00523B97"/>
    <w:rsid w:val="00524574"/>
    <w:rsid w:val="00524BA7"/>
    <w:rsid w:val="00525133"/>
    <w:rsid w:val="00526DAA"/>
    <w:rsid w:val="00527E76"/>
    <w:rsid w:val="0053006E"/>
    <w:rsid w:val="00530149"/>
    <w:rsid w:val="00531141"/>
    <w:rsid w:val="00531BD0"/>
    <w:rsid w:val="00534AB9"/>
    <w:rsid w:val="00536B03"/>
    <w:rsid w:val="005373EF"/>
    <w:rsid w:val="00541299"/>
    <w:rsid w:val="00541C9E"/>
    <w:rsid w:val="0054222B"/>
    <w:rsid w:val="00543612"/>
    <w:rsid w:val="00543EE3"/>
    <w:rsid w:val="00550E2B"/>
    <w:rsid w:val="00552255"/>
    <w:rsid w:val="00552CFF"/>
    <w:rsid w:val="00552FD5"/>
    <w:rsid w:val="0055328B"/>
    <w:rsid w:val="005541BA"/>
    <w:rsid w:val="0055471E"/>
    <w:rsid w:val="005550B3"/>
    <w:rsid w:val="005553ED"/>
    <w:rsid w:val="005555B4"/>
    <w:rsid w:val="0055759D"/>
    <w:rsid w:val="00565542"/>
    <w:rsid w:val="00566F43"/>
    <w:rsid w:val="00567604"/>
    <w:rsid w:val="00567764"/>
    <w:rsid w:val="00570244"/>
    <w:rsid w:val="00571919"/>
    <w:rsid w:val="00576841"/>
    <w:rsid w:val="00580051"/>
    <w:rsid w:val="005807D6"/>
    <w:rsid w:val="00583A8C"/>
    <w:rsid w:val="00583CB9"/>
    <w:rsid w:val="0058510E"/>
    <w:rsid w:val="0058547E"/>
    <w:rsid w:val="00585E0A"/>
    <w:rsid w:val="00586631"/>
    <w:rsid w:val="00587B82"/>
    <w:rsid w:val="00591734"/>
    <w:rsid w:val="0059223E"/>
    <w:rsid w:val="005930AF"/>
    <w:rsid w:val="00594808"/>
    <w:rsid w:val="00594CC4"/>
    <w:rsid w:val="00596755"/>
    <w:rsid w:val="005A0C91"/>
    <w:rsid w:val="005A1A13"/>
    <w:rsid w:val="005A75EA"/>
    <w:rsid w:val="005B2F3E"/>
    <w:rsid w:val="005B5700"/>
    <w:rsid w:val="005B5973"/>
    <w:rsid w:val="005B5FD8"/>
    <w:rsid w:val="005B6C55"/>
    <w:rsid w:val="005B7B34"/>
    <w:rsid w:val="005C0CAD"/>
    <w:rsid w:val="005C1D85"/>
    <w:rsid w:val="005C2833"/>
    <w:rsid w:val="005C2C59"/>
    <w:rsid w:val="005C3437"/>
    <w:rsid w:val="005C688E"/>
    <w:rsid w:val="005C6DD9"/>
    <w:rsid w:val="005C7E15"/>
    <w:rsid w:val="005D114A"/>
    <w:rsid w:val="005D1B88"/>
    <w:rsid w:val="005D2CB8"/>
    <w:rsid w:val="005D391B"/>
    <w:rsid w:val="005D4180"/>
    <w:rsid w:val="005D649F"/>
    <w:rsid w:val="005E3192"/>
    <w:rsid w:val="005E4002"/>
    <w:rsid w:val="005F0E95"/>
    <w:rsid w:val="005F2001"/>
    <w:rsid w:val="005F44DC"/>
    <w:rsid w:val="006010FE"/>
    <w:rsid w:val="00602D4F"/>
    <w:rsid w:val="006052E8"/>
    <w:rsid w:val="00605DD8"/>
    <w:rsid w:val="0060621E"/>
    <w:rsid w:val="00606344"/>
    <w:rsid w:val="00607791"/>
    <w:rsid w:val="00607CDC"/>
    <w:rsid w:val="00610121"/>
    <w:rsid w:val="006105B9"/>
    <w:rsid w:val="00617384"/>
    <w:rsid w:val="00617529"/>
    <w:rsid w:val="006176B8"/>
    <w:rsid w:val="00621F2E"/>
    <w:rsid w:val="006247D4"/>
    <w:rsid w:val="00624977"/>
    <w:rsid w:val="00624FBE"/>
    <w:rsid w:val="006266F7"/>
    <w:rsid w:val="0063019B"/>
    <w:rsid w:val="00632B51"/>
    <w:rsid w:val="006330FB"/>
    <w:rsid w:val="00633C99"/>
    <w:rsid w:val="006344DB"/>
    <w:rsid w:val="00636088"/>
    <w:rsid w:val="00636349"/>
    <w:rsid w:val="00637193"/>
    <w:rsid w:val="0064199D"/>
    <w:rsid w:val="00643A87"/>
    <w:rsid w:val="0064489A"/>
    <w:rsid w:val="006448B9"/>
    <w:rsid w:val="006467F3"/>
    <w:rsid w:val="00646C19"/>
    <w:rsid w:val="0064759B"/>
    <w:rsid w:val="0065139E"/>
    <w:rsid w:val="00653A40"/>
    <w:rsid w:val="00653B48"/>
    <w:rsid w:val="00655889"/>
    <w:rsid w:val="00656DB6"/>
    <w:rsid w:val="00656EF0"/>
    <w:rsid w:val="0066135E"/>
    <w:rsid w:val="0066196D"/>
    <w:rsid w:val="006636F8"/>
    <w:rsid w:val="00664E8F"/>
    <w:rsid w:val="00665E24"/>
    <w:rsid w:val="006678EC"/>
    <w:rsid w:val="006719AC"/>
    <w:rsid w:val="006722E5"/>
    <w:rsid w:val="00672BAD"/>
    <w:rsid w:val="00675BCD"/>
    <w:rsid w:val="00676795"/>
    <w:rsid w:val="006803FD"/>
    <w:rsid w:val="006828D4"/>
    <w:rsid w:val="0068402B"/>
    <w:rsid w:val="00690116"/>
    <w:rsid w:val="00690735"/>
    <w:rsid w:val="00692101"/>
    <w:rsid w:val="0069247B"/>
    <w:rsid w:val="00693310"/>
    <w:rsid w:val="0069468A"/>
    <w:rsid w:val="006A0EED"/>
    <w:rsid w:val="006A289D"/>
    <w:rsid w:val="006A3BAF"/>
    <w:rsid w:val="006A4E91"/>
    <w:rsid w:val="006A68B5"/>
    <w:rsid w:val="006A7ADC"/>
    <w:rsid w:val="006B03FD"/>
    <w:rsid w:val="006B0C27"/>
    <w:rsid w:val="006B4C79"/>
    <w:rsid w:val="006B545C"/>
    <w:rsid w:val="006B548A"/>
    <w:rsid w:val="006B7344"/>
    <w:rsid w:val="006B7E96"/>
    <w:rsid w:val="006C0D4E"/>
    <w:rsid w:val="006C1E12"/>
    <w:rsid w:val="006C3A6C"/>
    <w:rsid w:val="006C43A0"/>
    <w:rsid w:val="006D06D7"/>
    <w:rsid w:val="006D0BDE"/>
    <w:rsid w:val="006D0EE8"/>
    <w:rsid w:val="006D505E"/>
    <w:rsid w:val="006D56C3"/>
    <w:rsid w:val="006D580B"/>
    <w:rsid w:val="006D5E97"/>
    <w:rsid w:val="006D718E"/>
    <w:rsid w:val="006D7710"/>
    <w:rsid w:val="006D7900"/>
    <w:rsid w:val="006E05E0"/>
    <w:rsid w:val="006E0D70"/>
    <w:rsid w:val="006E1384"/>
    <w:rsid w:val="006E1AD4"/>
    <w:rsid w:val="006E3E09"/>
    <w:rsid w:val="006E4EBD"/>
    <w:rsid w:val="006E5881"/>
    <w:rsid w:val="006E591C"/>
    <w:rsid w:val="006E60A2"/>
    <w:rsid w:val="006E7D58"/>
    <w:rsid w:val="006F058E"/>
    <w:rsid w:val="006F1B4A"/>
    <w:rsid w:val="006F2898"/>
    <w:rsid w:val="006F3862"/>
    <w:rsid w:val="006F3DB8"/>
    <w:rsid w:val="006F73F7"/>
    <w:rsid w:val="006F741E"/>
    <w:rsid w:val="00700170"/>
    <w:rsid w:val="00700A65"/>
    <w:rsid w:val="007016BB"/>
    <w:rsid w:val="00702805"/>
    <w:rsid w:val="00703139"/>
    <w:rsid w:val="00703BF9"/>
    <w:rsid w:val="00703E1F"/>
    <w:rsid w:val="00706EB0"/>
    <w:rsid w:val="00707DA7"/>
    <w:rsid w:val="007144A3"/>
    <w:rsid w:val="00714701"/>
    <w:rsid w:val="007201E2"/>
    <w:rsid w:val="00720EC9"/>
    <w:rsid w:val="007215EF"/>
    <w:rsid w:val="007224AF"/>
    <w:rsid w:val="007228CE"/>
    <w:rsid w:val="00724308"/>
    <w:rsid w:val="007268C3"/>
    <w:rsid w:val="00731156"/>
    <w:rsid w:val="00731E03"/>
    <w:rsid w:val="00733766"/>
    <w:rsid w:val="00734262"/>
    <w:rsid w:val="00734361"/>
    <w:rsid w:val="00736650"/>
    <w:rsid w:val="007408E6"/>
    <w:rsid w:val="00744214"/>
    <w:rsid w:val="0074522C"/>
    <w:rsid w:val="00745682"/>
    <w:rsid w:val="00745A72"/>
    <w:rsid w:val="00745DF8"/>
    <w:rsid w:val="0074677F"/>
    <w:rsid w:val="00747FC8"/>
    <w:rsid w:val="0075069F"/>
    <w:rsid w:val="0075084C"/>
    <w:rsid w:val="007509D5"/>
    <w:rsid w:val="00750EF1"/>
    <w:rsid w:val="007511E6"/>
    <w:rsid w:val="0075396E"/>
    <w:rsid w:val="00753D9D"/>
    <w:rsid w:val="00760FB6"/>
    <w:rsid w:val="00761B9E"/>
    <w:rsid w:val="00763683"/>
    <w:rsid w:val="00764BB3"/>
    <w:rsid w:val="00764C26"/>
    <w:rsid w:val="00764DDB"/>
    <w:rsid w:val="00764E99"/>
    <w:rsid w:val="00765AC9"/>
    <w:rsid w:val="00765D98"/>
    <w:rsid w:val="007675C2"/>
    <w:rsid w:val="00767623"/>
    <w:rsid w:val="00771124"/>
    <w:rsid w:val="00773A28"/>
    <w:rsid w:val="00774730"/>
    <w:rsid w:val="00776069"/>
    <w:rsid w:val="00781682"/>
    <w:rsid w:val="00783E15"/>
    <w:rsid w:val="00784361"/>
    <w:rsid w:val="00785940"/>
    <w:rsid w:val="00787182"/>
    <w:rsid w:val="007918DF"/>
    <w:rsid w:val="00792F0C"/>
    <w:rsid w:val="00794E5F"/>
    <w:rsid w:val="0079546B"/>
    <w:rsid w:val="00795A47"/>
    <w:rsid w:val="007963FE"/>
    <w:rsid w:val="007976CE"/>
    <w:rsid w:val="007A19C6"/>
    <w:rsid w:val="007A330D"/>
    <w:rsid w:val="007A4690"/>
    <w:rsid w:val="007A50FF"/>
    <w:rsid w:val="007A54F5"/>
    <w:rsid w:val="007A5B90"/>
    <w:rsid w:val="007A6670"/>
    <w:rsid w:val="007A6767"/>
    <w:rsid w:val="007A6BA6"/>
    <w:rsid w:val="007A74F3"/>
    <w:rsid w:val="007B3D40"/>
    <w:rsid w:val="007B3E15"/>
    <w:rsid w:val="007B6BEA"/>
    <w:rsid w:val="007B74E7"/>
    <w:rsid w:val="007B772A"/>
    <w:rsid w:val="007C08C2"/>
    <w:rsid w:val="007C1170"/>
    <w:rsid w:val="007C1D31"/>
    <w:rsid w:val="007C32E5"/>
    <w:rsid w:val="007C39BF"/>
    <w:rsid w:val="007C3B59"/>
    <w:rsid w:val="007C64E9"/>
    <w:rsid w:val="007C6B05"/>
    <w:rsid w:val="007C7800"/>
    <w:rsid w:val="007D0200"/>
    <w:rsid w:val="007D11D3"/>
    <w:rsid w:val="007D24B7"/>
    <w:rsid w:val="007D2F01"/>
    <w:rsid w:val="007D3F96"/>
    <w:rsid w:val="007D5674"/>
    <w:rsid w:val="007E13F6"/>
    <w:rsid w:val="007E5C83"/>
    <w:rsid w:val="007F553E"/>
    <w:rsid w:val="007F73D4"/>
    <w:rsid w:val="008010C0"/>
    <w:rsid w:val="0080262C"/>
    <w:rsid w:val="00802F77"/>
    <w:rsid w:val="00804094"/>
    <w:rsid w:val="00804373"/>
    <w:rsid w:val="0080557C"/>
    <w:rsid w:val="0080743E"/>
    <w:rsid w:val="00807949"/>
    <w:rsid w:val="00810BC6"/>
    <w:rsid w:val="00817A43"/>
    <w:rsid w:val="00817FE6"/>
    <w:rsid w:val="00820F48"/>
    <w:rsid w:val="00822354"/>
    <w:rsid w:val="00822910"/>
    <w:rsid w:val="008236C1"/>
    <w:rsid w:val="00824633"/>
    <w:rsid w:val="00824A28"/>
    <w:rsid w:val="00831E97"/>
    <w:rsid w:val="008340BD"/>
    <w:rsid w:val="00837018"/>
    <w:rsid w:val="00843009"/>
    <w:rsid w:val="008446C8"/>
    <w:rsid w:val="00847B2F"/>
    <w:rsid w:val="00850423"/>
    <w:rsid w:val="00851F7C"/>
    <w:rsid w:val="00852701"/>
    <w:rsid w:val="00852AEF"/>
    <w:rsid w:val="00856894"/>
    <w:rsid w:val="00856C89"/>
    <w:rsid w:val="00857FAB"/>
    <w:rsid w:val="00861CB0"/>
    <w:rsid w:val="00863159"/>
    <w:rsid w:val="00863DE3"/>
    <w:rsid w:val="0086488D"/>
    <w:rsid w:val="00870A07"/>
    <w:rsid w:val="008715EB"/>
    <w:rsid w:val="0087177A"/>
    <w:rsid w:val="008774FC"/>
    <w:rsid w:val="008810AB"/>
    <w:rsid w:val="00884472"/>
    <w:rsid w:val="00885223"/>
    <w:rsid w:val="008858A9"/>
    <w:rsid w:val="00885DF8"/>
    <w:rsid w:val="00890218"/>
    <w:rsid w:val="00891A01"/>
    <w:rsid w:val="0089306D"/>
    <w:rsid w:val="00893864"/>
    <w:rsid w:val="0089516F"/>
    <w:rsid w:val="00896788"/>
    <w:rsid w:val="008A3F0A"/>
    <w:rsid w:val="008A4537"/>
    <w:rsid w:val="008B1959"/>
    <w:rsid w:val="008B4E52"/>
    <w:rsid w:val="008B514F"/>
    <w:rsid w:val="008B5643"/>
    <w:rsid w:val="008C03A1"/>
    <w:rsid w:val="008C11B0"/>
    <w:rsid w:val="008C4B97"/>
    <w:rsid w:val="008C55E9"/>
    <w:rsid w:val="008C5A49"/>
    <w:rsid w:val="008D0051"/>
    <w:rsid w:val="008D1904"/>
    <w:rsid w:val="008D611B"/>
    <w:rsid w:val="008E035A"/>
    <w:rsid w:val="008E05B8"/>
    <w:rsid w:val="008E0702"/>
    <w:rsid w:val="008E4A8C"/>
    <w:rsid w:val="008E5B95"/>
    <w:rsid w:val="008F1EB8"/>
    <w:rsid w:val="008F68B4"/>
    <w:rsid w:val="008F6E3E"/>
    <w:rsid w:val="00900682"/>
    <w:rsid w:val="00901161"/>
    <w:rsid w:val="00903529"/>
    <w:rsid w:val="00904D58"/>
    <w:rsid w:val="00905058"/>
    <w:rsid w:val="00905397"/>
    <w:rsid w:val="00905BBD"/>
    <w:rsid w:val="009067F4"/>
    <w:rsid w:val="00906873"/>
    <w:rsid w:val="00910FC4"/>
    <w:rsid w:val="00911129"/>
    <w:rsid w:val="00911850"/>
    <w:rsid w:val="00913599"/>
    <w:rsid w:val="00913647"/>
    <w:rsid w:val="00913ACE"/>
    <w:rsid w:val="00914087"/>
    <w:rsid w:val="009176D5"/>
    <w:rsid w:val="0092187A"/>
    <w:rsid w:val="00921D0C"/>
    <w:rsid w:val="00922EF3"/>
    <w:rsid w:val="0093083F"/>
    <w:rsid w:val="009318D7"/>
    <w:rsid w:val="00935B68"/>
    <w:rsid w:val="0093679D"/>
    <w:rsid w:val="00942078"/>
    <w:rsid w:val="00942A86"/>
    <w:rsid w:val="00943884"/>
    <w:rsid w:val="00943A16"/>
    <w:rsid w:val="00943F74"/>
    <w:rsid w:val="009453D6"/>
    <w:rsid w:val="00946B55"/>
    <w:rsid w:val="00946FFB"/>
    <w:rsid w:val="009521FE"/>
    <w:rsid w:val="009564E7"/>
    <w:rsid w:val="00961D91"/>
    <w:rsid w:val="009622E5"/>
    <w:rsid w:val="00962F43"/>
    <w:rsid w:val="00966213"/>
    <w:rsid w:val="00970275"/>
    <w:rsid w:val="00970330"/>
    <w:rsid w:val="0097096B"/>
    <w:rsid w:val="00971E11"/>
    <w:rsid w:val="00972516"/>
    <w:rsid w:val="00972552"/>
    <w:rsid w:val="0097766B"/>
    <w:rsid w:val="0097786D"/>
    <w:rsid w:val="00980A66"/>
    <w:rsid w:val="00980DBF"/>
    <w:rsid w:val="00983CA7"/>
    <w:rsid w:val="00985DCD"/>
    <w:rsid w:val="00990A4B"/>
    <w:rsid w:val="00990FE9"/>
    <w:rsid w:val="00991781"/>
    <w:rsid w:val="00992744"/>
    <w:rsid w:val="009936DC"/>
    <w:rsid w:val="00995F7D"/>
    <w:rsid w:val="00996D4B"/>
    <w:rsid w:val="009A3550"/>
    <w:rsid w:val="009A357B"/>
    <w:rsid w:val="009A3A08"/>
    <w:rsid w:val="009A4C42"/>
    <w:rsid w:val="009A5F9C"/>
    <w:rsid w:val="009A612B"/>
    <w:rsid w:val="009A7927"/>
    <w:rsid w:val="009A7EB1"/>
    <w:rsid w:val="009B37EB"/>
    <w:rsid w:val="009B4254"/>
    <w:rsid w:val="009B5551"/>
    <w:rsid w:val="009B6FD7"/>
    <w:rsid w:val="009B74DD"/>
    <w:rsid w:val="009B75CC"/>
    <w:rsid w:val="009C35CB"/>
    <w:rsid w:val="009C5F52"/>
    <w:rsid w:val="009C60D6"/>
    <w:rsid w:val="009C6538"/>
    <w:rsid w:val="009D07A6"/>
    <w:rsid w:val="009D07FC"/>
    <w:rsid w:val="009D0A85"/>
    <w:rsid w:val="009D1075"/>
    <w:rsid w:val="009D3622"/>
    <w:rsid w:val="009D59E8"/>
    <w:rsid w:val="009D7282"/>
    <w:rsid w:val="009D74E8"/>
    <w:rsid w:val="009E1380"/>
    <w:rsid w:val="009E4174"/>
    <w:rsid w:val="009E489A"/>
    <w:rsid w:val="009E5133"/>
    <w:rsid w:val="009E5825"/>
    <w:rsid w:val="009E6038"/>
    <w:rsid w:val="009E6632"/>
    <w:rsid w:val="009E78E2"/>
    <w:rsid w:val="009F0861"/>
    <w:rsid w:val="009F2EC6"/>
    <w:rsid w:val="009F3439"/>
    <w:rsid w:val="009F346E"/>
    <w:rsid w:val="009F3C26"/>
    <w:rsid w:val="009F4EB8"/>
    <w:rsid w:val="009F5A7D"/>
    <w:rsid w:val="009F665C"/>
    <w:rsid w:val="00A0123A"/>
    <w:rsid w:val="00A0411B"/>
    <w:rsid w:val="00A0648F"/>
    <w:rsid w:val="00A07581"/>
    <w:rsid w:val="00A114C6"/>
    <w:rsid w:val="00A14666"/>
    <w:rsid w:val="00A15A74"/>
    <w:rsid w:val="00A15C2B"/>
    <w:rsid w:val="00A17926"/>
    <w:rsid w:val="00A20FC9"/>
    <w:rsid w:val="00A215EA"/>
    <w:rsid w:val="00A2253B"/>
    <w:rsid w:val="00A22A6D"/>
    <w:rsid w:val="00A241CA"/>
    <w:rsid w:val="00A25315"/>
    <w:rsid w:val="00A310BF"/>
    <w:rsid w:val="00A354FE"/>
    <w:rsid w:val="00A358AD"/>
    <w:rsid w:val="00A3713F"/>
    <w:rsid w:val="00A373D9"/>
    <w:rsid w:val="00A40FB0"/>
    <w:rsid w:val="00A42EFF"/>
    <w:rsid w:val="00A44342"/>
    <w:rsid w:val="00A45A07"/>
    <w:rsid w:val="00A45C6A"/>
    <w:rsid w:val="00A46860"/>
    <w:rsid w:val="00A51550"/>
    <w:rsid w:val="00A5437E"/>
    <w:rsid w:val="00A54F65"/>
    <w:rsid w:val="00A55AEB"/>
    <w:rsid w:val="00A5640E"/>
    <w:rsid w:val="00A5681D"/>
    <w:rsid w:val="00A56A4D"/>
    <w:rsid w:val="00A56E9D"/>
    <w:rsid w:val="00A60D00"/>
    <w:rsid w:val="00A62DB2"/>
    <w:rsid w:val="00A64CC1"/>
    <w:rsid w:val="00A65044"/>
    <w:rsid w:val="00A65283"/>
    <w:rsid w:val="00A668B9"/>
    <w:rsid w:val="00A70D33"/>
    <w:rsid w:val="00A7101A"/>
    <w:rsid w:val="00A72AF1"/>
    <w:rsid w:val="00A73722"/>
    <w:rsid w:val="00A762DE"/>
    <w:rsid w:val="00A77561"/>
    <w:rsid w:val="00A82116"/>
    <w:rsid w:val="00A825DE"/>
    <w:rsid w:val="00A837FC"/>
    <w:rsid w:val="00A83AED"/>
    <w:rsid w:val="00A84634"/>
    <w:rsid w:val="00A8476D"/>
    <w:rsid w:val="00A84937"/>
    <w:rsid w:val="00A856AE"/>
    <w:rsid w:val="00A86535"/>
    <w:rsid w:val="00A87561"/>
    <w:rsid w:val="00A93EA7"/>
    <w:rsid w:val="00A96C50"/>
    <w:rsid w:val="00AA090F"/>
    <w:rsid w:val="00AA1576"/>
    <w:rsid w:val="00AA17F3"/>
    <w:rsid w:val="00AA1834"/>
    <w:rsid w:val="00AA1E57"/>
    <w:rsid w:val="00AA2C19"/>
    <w:rsid w:val="00AA371E"/>
    <w:rsid w:val="00AA3E0D"/>
    <w:rsid w:val="00AA3F12"/>
    <w:rsid w:val="00AA4A7F"/>
    <w:rsid w:val="00AA5098"/>
    <w:rsid w:val="00AA72D1"/>
    <w:rsid w:val="00AA74D8"/>
    <w:rsid w:val="00AA7CDC"/>
    <w:rsid w:val="00AB010C"/>
    <w:rsid w:val="00AB1E7A"/>
    <w:rsid w:val="00AB332F"/>
    <w:rsid w:val="00AB36FE"/>
    <w:rsid w:val="00AB3C92"/>
    <w:rsid w:val="00AB5D40"/>
    <w:rsid w:val="00AB7A99"/>
    <w:rsid w:val="00AC14EB"/>
    <w:rsid w:val="00AC25F0"/>
    <w:rsid w:val="00AC4253"/>
    <w:rsid w:val="00AC6276"/>
    <w:rsid w:val="00AC6AC3"/>
    <w:rsid w:val="00AC74AA"/>
    <w:rsid w:val="00AD0561"/>
    <w:rsid w:val="00AD0DF8"/>
    <w:rsid w:val="00AD2DA3"/>
    <w:rsid w:val="00AD36B8"/>
    <w:rsid w:val="00AD3B4F"/>
    <w:rsid w:val="00AD6A06"/>
    <w:rsid w:val="00AD6EA0"/>
    <w:rsid w:val="00AD7627"/>
    <w:rsid w:val="00AE108D"/>
    <w:rsid w:val="00AE13BD"/>
    <w:rsid w:val="00AE15A6"/>
    <w:rsid w:val="00AE4C85"/>
    <w:rsid w:val="00AE71B2"/>
    <w:rsid w:val="00AE767A"/>
    <w:rsid w:val="00AF0A41"/>
    <w:rsid w:val="00AF1A60"/>
    <w:rsid w:val="00AF3796"/>
    <w:rsid w:val="00AF6FA4"/>
    <w:rsid w:val="00AF75D2"/>
    <w:rsid w:val="00B01FF0"/>
    <w:rsid w:val="00B04086"/>
    <w:rsid w:val="00B04BE2"/>
    <w:rsid w:val="00B07614"/>
    <w:rsid w:val="00B13D0A"/>
    <w:rsid w:val="00B15D4C"/>
    <w:rsid w:val="00B16127"/>
    <w:rsid w:val="00B17303"/>
    <w:rsid w:val="00B176EA"/>
    <w:rsid w:val="00B17BB7"/>
    <w:rsid w:val="00B17E4E"/>
    <w:rsid w:val="00B24DE9"/>
    <w:rsid w:val="00B276F1"/>
    <w:rsid w:val="00B3031A"/>
    <w:rsid w:val="00B31F03"/>
    <w:rsid w:val="00B327C1"/>
    <w:rsid w:val="00B341DD"/>
    <w:rsid w:val="00B34533"/>
    <w:rsid w:val="00B3528A"/>
    <w:rsid w:val="00B35AD1"/>
    <w:rsid w:val="00B3764E"/>
    <w:rsid w:val="00B4334A"/>
    <w:rsid w:val="00B44B63"/>
    <w:rsid w:val="00B44D09"/>
    <w:rsid w:val="00B46B0A"/>
    <w:rsid w:val="00B4728E"/>
    <w:rsid w:val="00B521B5"/>
    <w:rsid w:val="00B529A2"/>
    <w:rsid w:val="00B5380F"/>
    <w:rsid w:val="00B54318"/>
    <w:rsid w:val="00B62410"/>
    <w:rsid w:val="00B62429"/>
    <w:rsid w:val="00B62B0D"/>
    <w:rsid w:val="00B64A0F"/>
    <w:rsid w:val="00B65798"/>
    <w:rsid w:val="00B67AE5"/>
    <w:rsid w:val="00B7024A"/>
    <w:rsid w:val="00B70D9A"/>
    <w:rsid w:val="00B71C5B"/>
    <w:rsid w:val="00B73405"/>
    <w:rsid w:val="00B73C16"/>
    <w:rsid w:val="00B73E03"/>
    <w:rsid w:val="00B75139"/>
    <w:rsid w:val="00B766C8"/>
    <w:rsid w:val="00B841EF"/>
    <w:rsid w:val="00B85F56"/>
    <w:rsid w:val="00B86DDF"/>
    <w:rsid w:val="00B90A29"/>
    <w:rsid w:val="00B9426C"/>
    <w:rsid w:val="00B95698"/>
    <w:rsid w:val="00B96A71"/>
    <w:rsid w:val="00BA0F62"/>
    <w:rsid w:val="00BA12F9"/>
    <w:rsid w:val="00BA144B"/>
    <w:rsid w:val="00BA2ACC"/>
    <w:rsid w:val="00BA33CD"/>
    <w:rsid w:val="00BA707F"/>
    <w:rsid w:val="00BB16D1"/>
    <w:rsid w:val="00BB24EE"/>
    <w:rsid w:val="00BB2A3C"/>
    <w:rsid w:val="00BB2E73"/>
    <w:rsid w:val="00BB34B2"/>
    <w:rsid w:val="00BB353E"/>
    <w:rsid w:val="00BB354E"/>
    <w:rsid w:val="00BB3765"/>
    <w:rsid w:val="00BB6003"/>
    <w:rsid w:val="00BB7899"/>
    <w:rsid w:val="00BB78D5"/>
    <w:rsid w:val="00BC01F2"/>
    <w:rsid w:val="00BC170A"/>
    <w:rsid w:val="00BC1A3E"/>
    <w:rsid w:val="00BC21C6"/>
    <w:rsid w:val="00BC4C66"/>
    <w:rsid w:val="00BC5084"/>
    <w:rsid w:val="00BC5AC0"/>
    <w:rsid w:val="00BC5AF0"/>
    <w:rsid w:val="00BC5B22"/>
    <w:rsid w:val="00BC7184"/>
    <w:rsid w:val="00BD4C9E"/>
    <w:rsid w:val="00BD4D8B"/>
    <w:rsid w:val="00BD4ED7"/>
    <w:rsid w:val="00BD5469"/>
    <w:rsid w:val="00BD595D"/>
    <w:rsid w:val="00BD6357"/>
    <w:rsid w:val="00BD7B6E"/>
    <w:rsid w:val="00BE01DD"/>
    <w:rsid w:val="00BE0D7B"/>
    <w:rsid w:val="00BE0EFE"/>
    <w:rsid w:val="00BE1328"/>
    <w:rsid w:val="00BF11FC"/>
    <w:rsid w:val="00BF1946"/>
    <w:rsid w:val="00BF2DD8"/>
    <w:rsid w:val="00BF2F70"/>
    <w:rsid w:val="00BF35E0"/>
    <w:rsid w:val="00BF464B"/>
    <w:rsid w:val="00BF46F6"/>
    <w:rsid w:val="00BF4A71"/>
    <w:rsid w:val="00C007E5"/>
    <w:rsid w:val="00C02C61"/>
    <w:rsid w:val="00C0313E"/>
    <w:rsid w:val="00C0484C"/>
    <w:rsid w:val="00C04AF9"/>
    <w:rsid w:val="00C05544"/>
    <w:rsid w:val="00C07C70"/>
    <w:rsid w:val="00C10902"/>
    <w:rsid w:val="00C12615"/>
    <w:rsid w:val="00C1395A"/>
    <w:rsid w:val="00C15E28"/>
    <w:rsid w:val="00C16815"/>
    <w:rsid w:val="00C1700C"/>
    <w:rsid w:val="00C17162"/>
    <w:rsid w:val="00C2114D"/>
    <w:rsid w:val="00C24AAD"/>
    <w:rsid w:val="00C24D6F"/>
    <w:rsid w:val="00C27085"/>
    <w:rsid w:val="00C30D72"/>
    <w:rsid w:val="00C322B6"/>
    <w:rsid w:val="00C34A65"/>
    <w:rsid w:val="00C35039"/>
    <w:rsid w:val="00C37781"/>
    <w:rsid w:val="00C41C40"/>
    <w:rsid w:val="00C42F78"/>
    <w:rsid w:val="00C43F93"/>
    <w:rsid w:val="00C44A91"/>
    <w:rsid w:val="00C4619B"/>
    <w:rsid w:val="00C471D7"/>
    <w:rsid w:val="00C509A2"/>
    <w:rsid w:val="00C50F28"/>
    <w:rsid w:val="00C50F88"/>
    <w:rsid w:val="00C52153"/>
    <w:rsid w:val="00C52AEF"/>
    <w:rsid w:val="00C54069"/>
    <w:rsid w:val="00C54F9F"/>
    <w:rsid w:val="00C63AE0"/>
    <w:rsid w:val="00C66C5D"/>
    <w:rsid w:val="00C678DE"/>
    <w:rsid w:val="00C7117D"/>
    <w:rsid w:val="00C71E0B"/>
    <w:rsid w:val="00C72B05"/>
    <w:rsid w:val="00C74564"/>
    <w:rsid w:val="00C77448"/>
    <w:rsid w:val="00C77535"/>
    <w:rsid w:val="00C77806"/>
    <w:rsid w:val="00C779C2"/>
    <w:rsid w:val="00C8068A"/>
    <w:rsid w:val="00C821C2"/>
    <w:rsid w:val="00C821ED"/>
    <w:rsid w:val="00C82351"/>
    <w:rsid w:val="00C829FD"/>
    <w:rsid w:val="00C841AF"/>
    <w:rsid w:val="00C84653"/>
    <w:rsid w:val="00C84CFE"/>
    <w:rsid w:val="00C873F8"/>
    <w:rsid w:val="00C87B74"/>
    <w:rsid w:val="00C90B1F"/>
    <w:rsid w:val="00C9127B"/>
    <w:rsid w:val="00C919BB"/>
    <w:rsid w:val="00C91D88"/>
    <w:rsid w:val="00C91FD9"/>
    <w:rsid w:val="00C921EB"/>
    <w:rsid w:val="00C924AF"/>
    <w:rsid w:val="00C92931"/>
    <w:rsid w:val="00C92E64"/>
    <w:rsid w:val="00C952B9"/>
    <w:rsid w:val="00C95523"/>
    <w:rsid w:val="00C9628E"/>
    <w:rsid w:val="00CA001C"/>
    <w:rsid w:val="00CA185A"/>
    <w:rsid w:val="00CA2C74"/>
    <w:rsid w:val="00CA351C"/>
    <w:rsid w:val="00CA3AF0"/>
    <w:rsid w:val="00CA4A95"/>
    <w:rsid w:val="00CA4CC5"/>
    <w:rsid w:val="00CA653C"/>
    <w:rsid w:val="00CA6D8E"/>
    <w:rsid w:val="00CA6EA2"/>
    <w:rsid w:val="00CA7365"/>
    <w:rsid w:val="00CA7A36"/>
    <w:rsid w:val="00CB1BB1"/>
    <w:rsid w:val="00CB53FE"/>
    <w:rsid w:val="00CB571A"/>
    <w:rsid w:val="00CB582C"/>
    <w:rsid w:val="00CB60D2"/>
    <w:rsid w:val="00CB65A8"/>
    <w:rsid w:val="00CB7093"/>
    <w:rsid w:val="00CB746E"/>
    <w:rsid w:val="00CB791D"/>
    <w:rsid w:val="00CB7C24"/>
    <w:rsid w:val="00CC077A"/>
    <w:rsid w:val="00CC384E"/>
    <w:rsid w:val="00CC482F"/>
    <w:rsid w:val="00CC4965"/>
    <w:rsid w:val="00CC5373"/>
    <w:rsid w:val="00CC5958"/>
    <w:rsid w:val="00CC6A59"/>
    <w:rsid w:val="00CC6D2A"/>
    <w:rsid w:val="00CC6FFF"/>
    <w:rsid w:val="00CD2815"/>
    <w:rsid w:val="00CD3A12"/>
    <w:rsid w:val="00CD7C0A"/>
    <w:rsid w:val="00CE12E8"/>
    <w:rsid w:val="00CE215C"/>
    <w:rsid w:val="00CE315D"/>
    <w:rsid w:val="00CE3D96"/>
    <w:rsid w:val="00CE6E12"/>
    <w:rsid w:val="00CE71E6"/>
    <w:rsid w:val="00CF20F3"/>
    <w:rsid w:val="00CF31B3"/>
    <w:rsid w:val="00CF31BE"/>
    <w:rsid w:val="00CF517E"/>
    <w:rsid w:val="00CF7766"/>
    <w:rsid w:val="00D0039A"/>
    <w:rsid w:val="00D00B1A"/>
    <w:rsid w:val="00D05EC7"/>
    <w:rsid w:val="00D06098"/>
    <w:rsid w:val="00D14A31"/>
    <w:rsid w:val="00D14CF3"/>
    <w:rsid w:val="00D159AB"/>
    <w:rsid w:val="00D20490"/>
    <w:rsid w:val="00D24851"/>
    <w:rsid w:val="00D26B43"/>
    <w:rsid w:val="00D272C1"/>
    <w:rsid w:val="00D272CA"/>
    <w:rsid w:val="00D30C10"/>
    <w:rsid w:val="00D30D05"/>
    <w:rsid w:val="00D3248A"/>
    <w:rsid w:val="00D329F9"/>
    <w:rsid w:val="00D342D7"/>
    <w:rsid w:val="00D35334"/>
    <w:rsid w:val="00D404DC"/>
    <w:rsid w:val="00D41EBB"/>
    <w:rsid w:val="00D41FD7"/>
    <w:rsid w:val="00D42A50"/>
    <w:rsid w:val="00D42BCE"/>
    <w:rsid w:val="00D441BD"/>
    <w:rsid w:val="00D44D45"/>
    <w:rsid w:val="00D474C5"/>
    <w:rsid w:val="00D47C9D"/>
    <w:rsid w:val="00D501A2"/>
    <w:rsid w:val="00D50C83"/>
    <w:rsid w:val="00D51424"/>
    <w:rsid w:val="00D51B36"/>
    <w:rsid w:val="00D5205F"/>
    <w:rsid w:val="00D526A0"/>
    <w:rsid w:val="00D52A8E"/>
    <w:rsid w:val="00D54086"/>
    <w:rsid w:val="00D54C9A"/>
    <w:rsid w:val="00D555EB"/>
    <w:rsid w:val="00D57B2D"/>
    <w:rsid w:val="00D63279"/>
    <w:rsid w:val="00D649B8"/>
    <w:rsid w:val="00D65980"/>
    <w:rsid w:val="00D7034A"/>
    <w:rsid w:val="00D75D34"/>
    <w:rsid w:val="00D76241"/>
    <w:rsid w:val="00D76797"/>
    <w:rsid w:val="00D7687E"/>
    <w:rsid w:val="00D8006C"/>
    <w:rsid w:val="00D80FC7"/>
    <w:rsid w:val="00D8426A"/>
    <w:rsid w:val="00D8500A"/>
    <w:rsid w:val="00D85773"/>
    <w:rsid w:val="00D87F69"/>
    <w:rsid w:val="00D90F40"/>
    <w:rsid w:val="00D9311E"/>
    <w:rsid w:val="00D939D3"/>
    <w:rsid w:val="00D945BB"/>
    <w:rsid w:val="00D949AF"/>
    <w:rsid w:val="00DA151D"/>
    <w:rsid w:val="00DA33DF"/>
    <w:rsid w:val="00DA6C26"/>
    <w:rsid w:val="00DB0A1D"/>
    <w:rsid w:val="00DB134A"/>
    <w:rsid w:val="00DB2092"/>
    <w:rsid w:val="00DB273D"/>
    <w:rsid w:val="00DB3400"/>
    <w:rsid w:val="00DB390D"/>
    <w:rsid w:val="00DB58FC"/>
    <w:rsid w:val="00DB7094"/>
    <w:rsid w:val="00DC10DE"/>
    <w:rsid w:val="00DC3EC7"/>
    <w:rsid w:val="00DC41C0"/>
    <w:rsid w:val="00DC61C4"/>
    <w:rsid w:val="00DC62F1"/>
    <w:rsid w:val="00DC6FF2"/>
    <w:rsid w:val="00DD039A"/>
    <w:rsid w:val="00DD53AB"/>
    <w:rsid w:val="00DD5E6B"/>
    <w:rsid w:val="00DE05FF"/>
    <w:rsid w:val="00DE07D7"/>
    <w:rsid w:val="00DE0EDE"/>
    <w:rsid w:val="00DE121D"/>
    <w:rsid w:val="00DE170F"/>
    <w:rsid w:val="00DE1F18"/>
    <w:rsid w:val="00DE305E"/>
    <w:rsid w:val="00DE64DE"/>
    <w:rsid w:val="00DF0216"/>
    <w:rsid w:val="00DF0933"/>
    <w:rsid w:val="00DF15BC"/>
    <w:rsid w:val="00DF2491"/>
    <w:rsid w:val="00DF3338"/>
    <w:rsid w:val="00DF5306"/>
    <w:rsid w:val="00DF7F10"/>
    <w:rsid w:val="00E0260A"/>
    <w:rsid w:val="00E04A0F"/>
    <w:rsid w:val="00E04BE7"/>
    <w:rsid w:val="00E04DE7"/>
    <w:rsid w:val="00E05030"/>
    <w:rsid w:val="00E05A4D"/>
    <w:rsid w:val="00E11374"/>
    <w:rsid w:val="00E15224"/>
    <w:rsid w:val="00E176EB"/>
    <w:rsid w:val="00E17962"/>
    <w:rsid w:val="00E17E55"/>
    <w:rsid w:val="00E21DFF"/>
    <w:rsid w:val="00E22444"/>
    <w:rsid w:val="00E22BF0"/>
    <w:rsid w:val="00E2419B"/>
    <w:rsid w:val="00E242C8"/>
    <w:rsid w:val="00E257A5"/>
    <w:rsid w:val="00E25DFF"/>
    <w:rsid w:val="00E27975"/>
    <w:rsid w:val="00E32D4B"/>
    <w:rsid w:val="00E33B41"/>
    <w:rsid w:val="00E36EEF"/>
    <w:rsid w:val="00E374FA"/>
    <w:rsid w:val="00E4031F"/>
    <w:rsid w:val="00E40BC3"/>
    <w:rsid w:val="00E4237A"/>
    <w:rsid w:val="00E43095"/>
    <w:rsid w:val="00E457CC"/>
    <w:rsid w:val="00E46EAF"/>
    <w:rsid w:val="00E47ED8"/>
    <w:rsid w:val="00E51624"/>
    <w:rsid w:val="00E524AD"/>
    <w:rsid w:val="00E53EF5"/>
    <w:rsid w:val="00E54702"/>
    <w:rsid w:val="00E54BB1"/>
    <w:rsid w:val="00E54D98"/>
    <w:rsid w:val="00E609C1"/>
    <w:rsid w:val="00E62274"/>
    <w:rsid w:val="00E66020"/>
    <w:rsid w:val="00E663AC"/>
    <w:rsid w:val="00E67813"/>
    <w:rsid w:val="00E67DAD"/>
    <w:rsid w:val="00E70645"/>
    <w:rsid w:val="00E733C4"/>
    <w:rsid w:val="00E74DE2"/>
    <w:rsid w:val="00E75CBE"/>
    <w:rsid w:val="00E76446"/>
    <w:rsid w:val="00E7746E"/>
    <w:rsid w:val="00E831F6"/>
    <w:rsid w:val="00E84C46"/>
    <w:rsid w:val="00E859FA"/>
    <w:rsid w:val="00E87471"/>
    <w:rsid w:val="00E87999"/>
    <w:rsid w:val="00E908FD"/>
    <w:rsid w:val="00E9329C"/>
    <w:rsid w:val="00E93B67"/>
    <w:rsid w:val="00E93D23"/>
    <w:rsid w:val="00E94014"/>
    <w:rsid w:val="00E94093"/>
    <w:rsid w:val="00E95373"/>
    <w:rsid w:val="00E959A4"/>
    <w:rsid w:val="00E9791D"/>
    <w:rsid w:val="00EA0492"/>
    <w:rsid w:val="00EA286F"/>
    <w:rsid w:val="00EA44FD"/>
    <w:rsid w:val="00EA6C56"/>
    <w:rsid w:val="00EA731F"/>
    <w:rsid w:val="00EB1CE2"/>
    <w:rsid w:val="00EB2F35"/>
    <w:rsid w:val="00EB300C"/>
    <w:rsid w:val="00EB33FA"/>
    <w:rsid w:val="00EB4E52"/>
    <w:rsid w:val="00EC16B8"/>
    <w:rsid w:val="00EC24F8"/>
    <w:rsid w:val="00EC2C63"/>
    <w:rsid w:val="00EC2FA0"/>
    <w:rsid w:val="00EC7FCE"/>
    <w:rsid w:val="00ED01D2"/>
    <w:rsid w:val="00ED0ACB"/>
    <w:rsid w:val="00ED197E"/>
    <w:rsid w:val="00ED2D9E"/>
    <w:rsid w:val="00ED68C4"/>
    <w:rsid w:val="00ED7618"/>
    <w:rsid w:val="00EE14AD"/>
    <w:rsid w:val="00EE2272"/>
    <w:rsid w:val="00EE3B93"/>
    <w:rsid w:val="00EE531B"/>
    <w:rsid w:val="00EE55B7"/>
    <w:rsid w:val="00EE5EB9"/>
    <w:rsid w:val="00EE794A"/>
    <w:rsid w:val="00EF07BB"/>
    <w:rsid w:val="00EF0BAB"/>
    <w:rsid w:val="00EF7E3A"/>
    <w:rsid w:val="00F004FD"/>
    <w:rsid w:val="00F007F3"/>
    <w:rsid w:val="00F01246"/>
    <w:rsid w:val="00F01C9D"/>
    <w:rsid w:val="00F0228B"/>
    <w:rsid w:val="00F033D2"/>
    <w:rsid w:val="00F045FB"/>
    <w:rsid w:val="00F0482A"/>
    <w:rsid w:val="00F07701"/>
    <w:rsid w:val="00F102B1"/>
    <w:rsid w:val="00F1152F"/>
    <w:rsid w:val="00F11818"/>
    <w:rsid w:val="00F11C5F"/>
    <w:rsid w:val="00F1439B"/>
    <w:rsid w:val="00F145B3"/>
    <w:rsid w:val="00F179D8"/>
    <w:rsid w:val="00F21F11"/>
    <w:rsid w:val="00F25C23"/>
    <w:rsid w:val="00F26822"/>
    <w:rsid w:val="00F269CA"/>
    <w:rsid w:val="00F27756"/>
    <w:rsid w:val="00F329FA"/>
    <w:rsid w:val="00F359FB"/>
    <w:rsid w:val="00F41C52"/>
    <w:rsid w:val="00F421AA"/>
    <w:rsid w:val="00F46148"/>
    <w:rsid w:val="00F47CFC"/>
    <w:rsid w:val="00F47E12"/>
    <w:rsid w:val="00F50386"/>
    <w:rsid w:val="00F527D6"/>
    <w:rsid w:val="00F537A5"/>
    <w:rsid w:val="00F53DAB"/>
    <w:rsid w:val="00F54F7B"/>
    <w:rsid w:val="00F551CA"/>
    <w:rsid w:val="00F5619C"/>
    <w:rsid w:val="00F567DF"/>
    <w:rsid w:val="00F616CF"/>
    <w:rsid w:val="00F61DD5"/>
    <w:rsid w:val="00F63F7D"/>
    <w:rsid w:val="00F649B2"/>
    <w:rsid w:val="00F72844"/>
    <w:rsid w:val="00F74540"/>
    <w:rsid w:val="00F74711"/>
    <w:rsid w:val="00F75851"/>
    <w:rsid w:val="00F75C17"/>
    <w:rsid w:val="00F760DB"/>
    <w:rsid w:val="00F76AF9"/>
    <w:rsid w:val="00F821FB"/>
    <w:rsid w:val="00F83AB1"/>
    <w:rsid w:val="00F86281"/>
    <w:rsid w:val="00F8690E"/>
    <w:rsid w:val="00F87641"/>
    <w:rsid w:val="00F87A58"/>
    <w:rsid w:val="00F87F38"/>
    <w:rsid w:val="00F90B4D"/>
    <w:rsid w:val="00F90BD0"/>
    <w:rsid w:val="00F90F23"/>
    <w:rsid w:val="00F950CC"/>
    <w:rsid w:val="00F95B02"/>
    <w:rsid w:val="00F95B98"/>
    <w:rsid w:val="00F97164"/>
    <w:rsid w:val="00FA0D22"/>
    <w:rsid w:val="00FA0D3C"/>
    <w:rsid w:val="00FA11E5"/>
    <w:rsid w:val="00FA15EC"/>
    <w:rsid w:val="00FA448F"/>
    <w:rsid w:val="00FB177B"/>
    <w:rsid w:val="00FB2A9C"/>
    <w:rsid w:val="00FB2B16"/>
    <w:rsid w:val="00FB346D"/>
    <w:rsid w:val="00FB3D9D"/>
    <w:rsid w:val="00FB6666"/>
    <w:rsid w:val="00FB7190"/>
    <w:rsid w:val="00FC0EF5"/>
    <w:rsid w:val="00FC2750"/>
    <w:rsid w:val="00FC32EB"/>
    <w:rsid w:val="00FC36D5"/>
    <w:rsid w:val="00FC5401"/>
    <w:rsid w:val="00FC6CA0"/>
    <w:rsid w:val="00FC7CDB"/>
    <w:rsid w:val="00FD05D2"/>
    <w:rsid w:val="00FD06A6"/>
    <w:rsid w:val="00FD14DA"/>
    <w:rsid w:val="00FD1631"/>
    <w:rsid w:val="00FD39CC"/>
    <w:rsid w:val="00FD4231"/>
    <w:rsid w:val="00FD7CC5"/>
    <w:rsid w:val="00FE02CA"/>
    <w:rsid w:val="00FE0EE2"/>
    <w:rsid w:val="00FE1927"/>
    <w:rsid w:val="00FE32FB"/>
    <w:rsid w:val="00FE38DF"/>
    <w:rsid w:val="00FE51AB"/>
    <w:rsid w:val="00FE5A64"/>
    <w:rsid w:val="00FE5F07"/>
    <w:rsid w:val="00FE6C1C"/>
    <w:rsid w:val="00FE7D35"/>
    <w:rsid w:val="00FF137B"/>
    <w:rsid w:val="00FF1A57"/>
    <w:rsid w:val="00FF1FBC"/>
    <w:rsid w:val="00FF2227"/>
    <w:rsid w:val="00FF2425"/>
    <w:rsid w:val="00FF4475"/>
    <w:rsid w:val="00FF501A"/>
    <w:rsid w:val="00FF56A1"/>
    <w:rsid w:val="00FF597E"/>
    <w:rsid w:val="00FF6F91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BF8"/>
    <w:pPr>
      <w:spacing w:line="276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0A6C30"/>
    <w:pPr>
      <w:keepNext/>
      <w:numPr>
        <w:numId w:val="7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0A6C30"/>
    <w:pPr>
      <w:keepNext/>
      <w:numPr>
        <w:ilvl w:val="1"/>
        <w:numId w:val="7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Nadpis3">
    <w:name w:val="heading 3"/>
    <w:basedOn w:val="Normln"/>
    <w:next w:val="Normln"/>
    <w:qFormat/>
    <w:rsid w:val="00FF137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A6C30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unovely">
    <w:name w:val="Text bodu novely"/>
    <w:basedOn w:val="Normln"/>
    <w:next w:val="Normln"/>
    <w:rsid w:val="00A96C50"/>
    <w:pPr>
      <w:ind w:left="567" w:hanging="567"/>
    </w:pPr>
    <w:rPr>
      <w:szCs w:val="20"/>
    </w:rPr>
  </w:style>
  <w:style w:type="table" w:styleId="Mkatabulky">
    <w:name w:val="Table Grid"/>
    <w:basedOn w:val="Normlntabulka"/>
    <w:uiPriority w:val="39"/>
    <w:rsid w:val="00123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dstavce">
    <w:name w:val="Text odstavce"/>
    <w:basedOn w:val="Normln"/>
    <w:rsid w:val="00E62274"/>
    <w:pPr>
      <w:numPr>
        <w:numId w:val="2"/>
      </w:numPr>
      <w:tabs>
        <w:tab w:val="left" w:pos="851"/>
      </w:tabs>
      <w:spacing w:before="120" w:after="120"/>
      <w:outlineLvl w:val="6"/>
    </w:pPr>
    <w:rPr>
      <w:szCs w:val="20"/>
    </w:rPr>
  </w:style>
  <w:style w:type="paragraph" w:customStyle="1" w:styleId="Textbodu">
    <w:name w:val="Text bodu"/>
    <w:basedOn w:val="Normln"/>
    <w:rsid w:val="00E62274"/>
    <w:pPr>
      <w:numPr>
        <w:ilvl w:val="2"/>
        <w:numId w:val="2"/>
      </w:numPr>
      <w:outlineLvl w:val="8"/>
    </w:pPr>
    <w:rPr>
      <w:szCs w:val="20"/>
    </w:rPr>
  </w:style>
  <w:style w:type="paragraph" w:customStyle="1" w:styleId="Textpsmene">
    <w:name w:val="Text písmene"/>
    <w:basedOn w:val="Normln"/>
    <w:rsid w:val="00E62274"/>
    <w:pPr>
      <w:numPr>
        <w:ilvl w:val="1"/>
        <w:numId w:val="2"/>
      </w:numPr>
      <w:outlineLvl w:val="7"/>
    </w:pPr>
    <w:rPr>
      <w:szCs w:val="20"/>
    </w:rPr>
  </w:style>
  <w:style w:type="character" w:customStyle="1" w:styleId="TextodstavceChar">
    <w:name w:val="Text odstavce Char"/>
    <w:rsid w:val="00E62274"/>
    <w:rPr>
      <w:sz w:val="24"/>
    </w:rPr>
  </w:style>
  <w:style w:type="paragraph" w:customStyle="1" w:styleId="Textparagrafu">
    <w:name w:val="Text paragrafu"/>
    <w:basedOn w:val="Normln"/>
    <w:rsid w:val="00633C99"/>
    <w:pPr>
      <w:spacing w:before="240"/>
      <w:ind w:firstLine="425"/>
      <w:outlineLvl w:val="5"/>
    </w:pPr>
    <w:rPr>
      <w:szCs w:val="20"/>
    </w:rPr>
  </w:style>
  <w:style w:type="paragraph" w:styleId="Zkladntext">
    <w:name w:val="Body Text"/>
    <w:basedOn w:val="Normln"/>
    <w:rsid w:val="001C6E73"/>
    <w:pPr>
      <w:spacing w:after="120"/>
    </w:pPr>
  </w:style>
  <w:style w:type="paragraph" w:styleId="Zhlav">
    <w:name w:val="header"/>
    <w:basedOn w:val="Normln"/>
    <w:link w:val="ZhlavChar"/>
    <w:rsid w:val="00580051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ZhlavChar">
    <w:name w:val="Záhlaví Char"/>
    <w:link w:val="Zhlav"/>
    <w:rsid w:val="00580051"/>
    <w:rPr>
      <w:rFonts w:ascii="Arial" w:hAnsi="Arial"/>
      <w:szCs w:val="24"/>
    </w:rPr>
  </w:style>
  <w:style w:type="paragraph" w:styleId="Zpat">
    <w:name w:val="footer"/>
    <w:basedOn w:val="Normln"/>
    <w:link w:val="ZpatChar"/>
    <w:uiPriority w:val="99"/>
    <w:rsid w:val="00580051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ZpatChar">
    <w:name w:val="Zápatí Char"/>
    <w:link w:val="Zpat"/>
    <w:uiPriority w:val="99"/>
    <w:rsid w:val="00580051"/>
    <w:rPr>
      <w:rFonts w:ascii="Arial" w:hAnsi="Arial"/>
      <w:szCs w:val="24"/>
    </w:rPr>
  </w:style>
  <w:style w:type="character" w:styleId="Odkaznakoment">
    <w:name w:val="annotation reference"/>
    <w:uiPriority w:val="99"/>
    <w:rsid w:val="00DC10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C10DE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C10D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C10DE"/>
    <w:rPr>
      <w:b/>
      <w:bCs/>
    </w:rPr>
  </w:style>
  <w:style w:type="character" w:customStyle="1" w:styleId="PedmtkomenteChar">
    <w:name w:val="Předmět komentáře Char"/>
    <w:link w:val="Pedmtkomente"/>
    <w:rsid w:val="00DC10D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DC10D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C10DE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uiPriority w:val="99"/>
    <w:semiHidden/>
    <w:rsid w:val="0089306D"/>
    <w:rPr>
      <w:rFonts w:ascii="Arial" w:hAnsi="Arial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26E34"/>
    <w:pPr>
      <w:ind w:left="708"/>
    </w:pPr>
  </w:style>
  <w:style w:type="character" w:styleId="Hypertextovodkaz">
    <w:name w:val="Hyperlink"/>
    <w:rsid w:val="005F44DC"/>
    <w:rPr>
      <w:color w:val="0000FF"/>
      <w:u w:val="single"/>
    </w:rPr>
  </w:style>
  <w:style w:type="paragraph" w:customStyle="1" w:styleId="go">
    <w:name w:val="go"/>
    <w:basedOn w:val="Normln"/>
    <w:rsid w:val="0075396E"/>
    <w:pPr>
      <w:spacing w:before="100" w:beforeAutospacing="1" w:after="100" w:afterAutospacing="1" w:line="240" w:lineRule="auto"/>
      <w:jc w:val="left"/>
    </w:pPr>
  </w:style>
  <w:style w:type="character" w:styleId="PromnnHTML">
    <w:name w:val="HTML Variable"/>
    <w:uiPriority w:val="99"/>
    <w:unhideWhenUsed/>
    <w:rsid w:val="0075396E"/>
    <w:rPr>
      <w:i/>
      <w:iCs/>
    </w:rPr>
  </w:style>
  <w:style w:type="character" w:customStyle="1" w:styleId="apple-converted-space">
    <w:name w:val="apple-converted-space"/>
    <w:basedOn w:val="Standardnpsmoodstavce"/>
    <w:rsid w:val="0075396E"/>
  </w:style>
  <w:style w:type="paragraph" w:customStyle="1" w:styleId="para">
    <w:name w:val="para"/>
    <w:basedOn w:val="Normln"/>
    <w:rsid w:val="0075396E"/>
    <w:pPr>
      <w:spacing w:before="100" w:beforeAutospacing="1" w:after="100" w:afterAutospacing="1" w:line="240" w:lineRule="auto"/>
      <w:jc w:val="left"/>
    </w:pPr>
  </w:style>
  <w:style w:type="character" w:customStyle="1" w:styleId="h1a">
    <w:name w:val="h1a"/>
    <w:basedOn w:val="Standardnpsmoodstavce"/>
    <w:rsid w:val="009F3C26"/>
  </w:style>
  <w:style w:type="paragraph" w:styleId="Revize">
    <w:name w:val="Revision"/>
    <w:hidden/>
    <w:uiPriority w:val="99"/>
    <w:semiHidden/>
    <w:rsid w:val="00F145B3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150C09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2702A3"/>
    <w:pPr>
      <w:numPr>
        <w:numId w:val="43"/>
      </w:numPr>
      <w:spacing w:before="240" w:after="120"/>
      <w:outlineLvl w:val="1"/>
    </w:pPr>
    <w:rPr>
      <w:rFonts w:cs="Cambria"/>
      <w:b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2702A3"/>
    <w:rPr>
      <w:rFonts w:cs="Cambria"/>
      <w:b/>
      <w:sz w:val="24"/>
      <w:szCs w:val="24"/>
      <w:lang w:eastAsia="en-US"/>
    </w:rPr>
  </w:style>
  <w:style w:type="paragraph" w:customStyle="1" w:styleId="Normlntun">
    <w:name w:val="Normální tučný"/>
    <w:basedOn w:val="Normln"/>
    <w:next w:val="Normln"/>
    <w:qFormat/>
    <w:rsid w:val="00BB78D5"/>
    <w:pPr>
      <w:keepNext/>
      <w:spacing w:after="120"/>
    </w:pPr>
    <w:rPr>
      <w:b/>
      <w:lang w:eastAsia="en-US"/>
    </w:rPr>
  </w:style>
  <w:style w:type="paragraph" w:styleId="Nzev">
    <w:name w:val="Title"/>
    <w:basedOn w:val="Normln"/>
    <w:link w:val="NzevChar"/>
    <w:qFormat/>
    <w:rsid w:val="00BB78D5"/>
    <w:pPr>
      <w:spacing w:line="240" w:lineRule="auto"/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BB78D5"/>
    <w:rPr>
      <w:rFonts w:ascii="Arial" w:hAnsi="Arial" w:cs="Arial"/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67D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67DB"/>
  </w:style>
  <w:style w:type="character" w:styleId="Znakapoznpodarou">
    <w:name w:val="footnote reference"/>
    <w:basedOn w:val="Standardnpsmoodstavce"/>
    <w:uiPriority w:val="99"/>
    <w:semiHidden/>
    <w:unhideWhenUsed/>
    <w:rsid w:val="001D67DB"/>
    <w:rPr>
      <w:vertAlign w:val="superscript"/>
    </w:rPr>
  </w:style>
  <w:style w:type="character" w:customStyle="1" w:styleId="atexty">
    <w:name w:val="atexty"/>
    <w:basedOn w:val="Standardnpsmoodstavce"/>
    <w:rsid w:val="00536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BF8"/>
    <w:pPr>
      <w:spacing w:line="276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0A6C30"/>
    <w:pPr>
      <w:keepNext/>
      <w:numPr>
        <w:numId w:val="7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0A6C30"/>
    <w:pPr>
      <w:keepNext/>
      <w:numPr>
        <w:ilvl w:val="1"/>
        <w:numId w:val="7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Nadpis3">
    <w:name w:val="heading 3"/>
    <w:basedOn w:val="Normln"/>
    <w:next w:val="Normln"/>
    <w:qFormat/>
    <w:rsid w:val="00FF137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A6C30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unovely">
    <w:name w:val="Text bodu novely"/>
    <w:basedOn w:val="Normln"/>
    <w:next w:val="Normln"/>
    <w:rsid w:val="00A96C50"/>
    <w:pPr>
      <w:ind w:left="567" w:hanging="567"/>
    </w:pPr>
    <w:rPr>
      <w:szCs w:val="20"/>
    </w:rPr>
  </w:style>
  <w:style w:type="table" w:styleId="Mkatabulky">
    <w:name w:val="Table Grid"/>
    <w:basedOn w:val="Normlntabulka"/>
    <w:uiPriority w:val="39"/>
    <w:rsid w:val="0012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rsid w:val="00E62274"/>
    <w:pPr>
      <w:numPr>
        <w:numId w:val="2"/>
      </w:numPr>
      <w:tabs>
        <w:tab w:val="left" w:pos="851"/>
      </w:tabs>
      <w:spacing w:before="120" w:after="120"/>
      <w:outlineLvl w:val="6"/>
    </w:pPr>
    <w:rPr>
      <w:szCs w:val="20"/>
    </w:rPr>
  </w:style>
  <w:style w:type="paragraph" w:customStyle="1" w:styleId="Textbodu">
    <w:name w:val="Text bodu"/>
    <w:basedOn w:val="Normln"/>
    <w:rsid w:val="00E62274"/>
    <w:pPr>
      <w:numPr>
        <w:ilvl w:val="2"/>
        <w:numId w:val="2"/>
      </w:numPr>
      <w:outlineLvl w:val="8"/>
    </w:pPr>
    <w:rPr>
      <w:szCs w:val="20"/>
    </w:rPr>
  </w:style>
  <w:style w:type="paragraph" w:customStyle="1" w:styleId="Textpsmene">
    <w:name w:val="Text písmene"/>
    <w:basedOn w:val="Normln"/>
    <w:rsid w:val="00E62274"/>
    <w:pPr>
      <w:numPr>
        <w:ilvl w:val="1"/>
        <w:numId w:val="2"/>
      </w:numPr>
      <w:outlineLvl w:val="7"/>
    </w:pPr>
    <w:rPr>
      <w:szCs w:val="20"/>
    </w:rPr>
  </w:style>
  <w:style w:type="character" w:customStyle="1" w:styleId="TextodstavceChar">
    <w:name w:val="Text odstavce Char"/>
    <w:rsid w:val="00E62274"/>
    <w:rPr>
      <w:sz w:val="24"/>
    </w:rPr>
  </w:style>
  <w:style w:type="paragraph" w:customStyle="1" w:styleId="Textparagrafu">
    <w:name w:val="Text paragrafu"/>
    <w:basedOn w:val="Normln"/>
    <w:rsid w:val="00633C99"/>
    <w:pPr>
      <w:spacing w:before="240"/>
      <w:ind w:firstLine="425"/>
      <w:outlineLvl w:val="5"/>
    </w:pPr>
    <w:rPr>
      <w:szCs w:val="20"/>
    </w:rPr>
  </w:style>
  <w:style w:type="paragraph" w:styleId="Zkladntext">
    <w:name w:val="Body Text"/>
    <w:basedOn w:val="Normln"/>
    <w:rsid w:val="001C6E73"/>
    <w:pPr>
      <w:spacing w:after="120"/>
    </w:pPr>
  </w:style>
  <w:style w:type="paragraph" w:styleId="Zhlav">
    <w:name w:val="header"/>
    <w:basedOn w:val="Normln"/>
    <w:link w:val="ZhlavChar"/>
    <w:rsid w:val="00580051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ZhlavChar">
    <w:name w:val="Záhlaví Char"/>
    <w:link w:val="Zhlav"/>
    <w:rsid w:val="00580051"/>
    <w:rPr>
      <w:rFonts w:ascii="Arial" w:hAnsi="Arial"/>
      <w:szCs w:val="24"/>
    </w:rPr>
  </w:style>
  <w:style w:type="paragraph" w:styleId="Zpat">
    <w:name w:val="footer"/>
    <w:basedOn w:val="Normln"/>
    <w:link w:val="ZpatChar"/>
    <w:uiPriority w:val="99"/>
    <w:rsid w:val="00580051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ZpatChar">
    <w:name w:val="Zápatí Char"/>
    <w:link w:val="Zpat"/>
    <w:uiPriority w:val="99"/>
    <w:rsid w:val="00580051"/>
    <w:rPr>
      <w:rFonts w:ascii="Arial" w:hAnsi="Arial"/>
      <w:szCs w:val="24"/>
    </w:rPr>
  </w:style>
  <w:style w:type="character" w:styleId="Odkaznakoment">
    <w:name w:val="annotation reference"/>
    <w:uiPriority w:val="99"/>
    <w:rsid w:val="00DC10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C10DE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C10D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C10DE"/>
    <w:rPr>
      <w:b/>
      <w:bCs/>
    </w:rPr>
  </w:style>
  <w:style w:type="character" w:customStyle="1" w:styleId="PedmtkomenteChar">
    <w:name w:val="Předmět komentáře Char"/>
    <w:link w:val="Pedmtkomente"/>
    <w:rsid w:val="00DC10D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DC10D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C10DE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uiPriority w:val="99"/>
    <w:semiHidden/>
    <w:rsid w:val="0089306D"/>
    <w:rPr>
      <w:rFonts w:ascii="Arial" w:hAnsi="Arial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26E34"/>
    <w:pPr>
      <w:ind w:left="708"/>
    </w:pPr>
  </w:style>
  <w:style w:type="character" w:styleId="Hypertextovodkaz">
    <w:name w:val="Hyperlink"/>
    <w:rsid w:val="005F44DC"/>
    <w:rPr>
      <w:color w:val="0000FF"/>
      <w:u w:val="single"/>
    </w:rPr>
  </w:style>
  <w:style w:type="paragraph" w:customStyle="1" w:styleId="go">
    <w:name w:val="go"/>
    <w:basedOn w:val="Normln"/>
    <w:rsid w:val="0075396E"/>
    <w:pPr>
      <w:spacing w:before="100" w:beforeAutospacing="1" w:after="100" w:afterAutospacing="1" w:line="240" w:lineRule="auto"/>
      <w:jc w:val="left"/>
    </w:pPr>
  </w:style>
  <w:style w:type="character" w:styleId="PromnnHTML">
    <w:name w:val="HTML Variable"/>
    <w:uiPriority w:val="99"/>
    <w:unhideWhenUsed/>
    <w:rsid w:val="0075396E"/>
    <w:rPr>
      <w:i/>
      <w:iCs/>
    </w:rPr>
  </w:style>
  <w:style w:type="character" w:customStyle="1" w:styleId="apple-converted-space">
    <w:name w:val="apple-converted-space"/>
    <w:basedOn w:val="Standardnpsmoodstavce"/>
    <w:rsid w:val="0075396E"/>
  </w:style>
  <w:style w:type="paragraph" w:customStyle="1" w:styleId="para">
    <w:name w:val="para"/>
    <w:basedOn w:val="Normln"/>
    <w:rsid w:val="0075396E"/>
    <w:pPr>
      <w:spacing w:before="100" w:beforeAutospacing="1" w:after="100" w:afterAutospacing="1" w:line="240" w:lineRule="auto"/>
      <w:jc w:val="left"/>
    </w:pPr>
  </w:style>
  <w:style w:type="character" w:customStyle="1" w:styleId="h1a">
    <w:name w:val="h1a"/>
    <w:basedOn w:val="Standardnpsmoodstavce"/>
    <w:rsid w:val="009F3C26"/>
  </w:style>
  <w:style w:type="paragraph" w:styleId="Revize">
    <w:name w:val="Revision"/>
    <w:hidden/>
    <w:uiPriority w:val="99"/>
    <w:semiHidden/>
    <w:rsid w:val="00F145B3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150C09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2702A3"/>
    <w:pPr>
      <w:numPr>
        <w:numId w:val="43"/>
      </w:numPr>
      <w:spacing w:before="240" w:after="120"/>
      <w:outlineLvl w:val="1"/>
    </w:pPr>
    <w:rPr>
      <w:rFonts w:cs="Cambria"/>
      <w:b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2702A3"/>
    <w:rPr>
      <w:rFonts w:cs="Cambria"/>
      <w:b/>
      <w:sz w:val="24"/>
      <w:szCs w:val="24"/>
      <w:lang w:eastAsia="en-US"/>
    </w:rPr>
  </w:style>
  <w:style w:type="paragraph" w:customStyle="1" w:styleId="Normlntun">
    <w:name w:val="Normální tučný"/>
    <w:basedOn w:val="Normln"/>
    <w:next w:val="Normln"/>
    <w:qFormat/>
    <w:rsid w:val="00BB78D5"/>
    <w:pPr>
      <w:keepNext/>
      <w:spacing w:after="120"/>
    </w:pPr>
    <w:rPr>
      <w:b/>
      <w:lang w:eastAsia="en-US"/>
    </w:rPr>
  </w:style>
  <w:style w:type="paragraph" w:styleId="Nzev">
    <w:name w:val="Title"/>
    <w:basedOn w:val="Normln"/>
    <w:link w:val="NzevChar"/>
    <w:qFormat/>
    <w:rsid w:val="00BB78D5"/>
    <w:pPr>
      <w:spacing w:line="240" w:lineRule="auto"/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BB78D5"/>
    <w:rPr>
      <w:rFonts w:ascii="Arial" w:hAnsi="Arial" w:cs="Arial"/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67D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67DB"/>
  </w:style>
  <w:style w:type="character" w:styleId="Znakapoznpodarou">
    <w:name w:val="footnote reference"/>
    <w:basedOn w:val="Standardnpsmoodstavce"/>
    <w:uiPriority w:val="99"/>
    <w:semiHidden/>
    <w:unhideWhenUsed/>
    <w:rsid w:val="001D67DB"/>
    <w:rPr>
      <w:vertAlign w:val="superscript"/>
    </w:rPr>
  </w:style>
  <w:style w:type="character" w:customStyle="1" w:styleId="atexty">
    <w:name w:val="atexty"/>
    <w:basedOn w:val="Standardnpsmoodstavce"/>
    <w:rsid w:val="00536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3902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7719-68AD-4B10-A14D-FFAA30EC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9901</Words>
  <Characters>58419</Characters>
  <Application>Microsoft Office Word</Application>
  <DocSecurity>0</DocSecurity>
  <Lines>486</Lines>
  <Paragraphs>136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O d ů v o d n ě n í</vt:lpstr>
      <vt:lpstr>O d ů v o d n ě n í</vt:lpstr>
    </vt:vector>
  </TitlesOfParts>
  <Company>Ministerstvo zdravotnictví</Company>
  <LinksUpToDate>false</LinksUpToDate>
  <CharactersWithSpaces>68184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d ů v o d n ě n í</dc:title>
  <dc:creator>paulusm</dc:creator>
  <cp:lastModifiedBy>Martina</cp:lastModifiedBy>
  <cp:revision>2</cp:revision>
  <cp:lastPrinted>2013-11-04T09:08:00Z</cp:lastPrinted>
  <dcterms:created xsi:type="dcterms:W3CDTF">2016-10-05T07:02:00Z</dcterms:created>
  <dcterms:modified xsi:type="dcterms:W3CDTF">2016-10-05T07:02:00Z</dcterms:modified>
</cp:coreProperties>
</file>