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F" w:rsidRPr="001B539A" w:rsidRDefault="00034ABF" w:rsidP="00034ABF">
      <w:pPr>
        <w:pStyle w:val="Zkladntext"/>
        <w:rPr>
          <w:rFonts w:asciiTheme="minorHAnsi" w:hAnsiTheme="minorHAnsi"/>
        </w:rPr>
      </w:pPr>
      <w:r w:rsidRPr="001B539A">
        <w:rPr>
          <w:rFonts w:asciiTheme="minorHAnsi" w:hAnsiTheme="minorHAnsi"/>
        </w:rPr>
        <w:t>NÁVRH SZP ČR PRO DOHODOVACÍ ŘÍZENÍ NA ROK 201</w:t>
      </w:r>
      <w:r w:rsidR="00B8183A">
        <w:rPr>
          <w:rFonts w:asciiTheme="minorHAnsi" w:hAnsiTheme="minorHAnsi"/>
        </w:rPr>
        <w:t>7</w:t>
      </w:r>
    </w:p>
    <w:p w:rsidR="00472262" w:rsidRPr="001B539A" w:rsidRDefault="00472262" w:rsidP="004722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5C43FB" w:rsidRDefault="00034ABF" w:rsidP="005C43FB">
      <w:pPr>
        <w:jc w:val="both"/>
        <w:rPr>
          <w:rFonts w:cstheme="minorHAnsi"/>
        </w:rPr>
      </w:pPr>
      <w:r w:rsidRPr="00FE0190">
        <w:rPr>
          <w:rFonts w:cstheme="minorHAnsi"/>
        </w:rPr>
        <w:t xml:space="preserve">Zdravotní péče </w:t>
      </w:r>
      <w:r w:rsidR="00BA27E7" w:rsidRPr="00FE0190">
        <w:rPr>
          <w:rFonts w:cstheme="minorHAnsi"/>
        </w:rPr>
        <w:t xml:space="preserve">poskytovaná </w:t>
      </w:r>
      <w:r w:rsidR="00FE0190" w:rsidRPr="00FE0190">
        <w:rPr>
          <w:rFonts w:cstheme="minorHAnsi"/>
        </w:rPr>
        <w:t>poskytovateli následné léčebně rehabilitační péče, ošetřovatelské a paliativní péče, zvláštní ambulantní péče a zvláštní lůžkové péče,</w:t>
      </w:r>
      <w:r w:rsidR="00FE0190" w:rsidRPr="00FE0190">
        <w:t xml:space="preserve"> </w:t>
      </w:r>
      <w:r w:rsidR="00FE0190" w:rsidRPr="00FE0190">
        <w:rPr>
          <w:rFonts w:cstheme="minorHAnsi"/>
        </w:rPr>
        <w:t>následné intenzivní péče a dlouhodobé intenzivní ošetřovatelské péče</w:t>
      </w:r>
      <w:r w:rsidR="00FE0190" w:rsidRPr="00FE0190">
        <w:t xml:space="preserve"> </w:t>
      </w:r>
      <w:r w:rsidR="005C43FB" w:rsidRPr="00FE0190">
        <w:t>bude v roce 201</w:t>
      </w:r>
      <w:r w:rsidR="00B8183A">
        <w:t>7</w:t>
      </w:r>
      <w:r w:rsidR="005C43FB" w:rsidRPr="00FE0190">
        <w:t xml:space="preserve"> hrazena </w:t>
      </w:r>
      <w:r w:rsidR="005C43FB" w:rsidRPr="00FE0190">
        <w:rPr>
          <w:rFonts w:cstheme="minorHAnsi"/>
        </w:rPr>
        <w:t>podle individuálního smluvního ujednání mezi konkrétním poskytovatelem zdravotní péče a příslušnou zdravotní pojišťovnou. V případě, že mezi zdravotní pojišťovnou a poskytovatelem zdravotní péče nedojde k individuální smluvní dohodě o způsobu a výši úhrad, bude zdravotní péče poskytovaná hrazena dle níže uvedených pravidel.</w:t>
      </w:r>
    </w:p>
    <w:p w:rsidR="00761C08" w:rsidRPr="00FE0190" w:rsidRDefault="00761C08" w:rsidP="005C43FB">
      <w:pPr>
        <w:jc w:val="both"/>
        <w:rPr>
          <w:rFonts w:cstheme="minorHAnsi"/>
        </w:rPr>
      </w:pPr>
      <w:r w:rsidRPr="00761C08">
        <w:rPr>
          <w:rFonts w:cstheme="minorHAnsi"/>
          <w:highlight w:val="green"/>
        </w:rPr>
        <w:t>VARIANTA A</w:t>
      </w:r>
    </w:p>
    <w:p w:rsidR="008F4799" w:rsidRPr="001B539A" w:rsidRDefault="008708F2" w:rsidP="008F479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 xml:space="preserve">Úhrada následné </w:t>
      </w:r>
      <w:r w:rsidR="00AE0990">
        <w:rPr>
          <w:rFonts w:asciiTheme="minorHAnsi" w:hAnsiTheme="minorHAnsi" w:cstheme="minorHAnsi"/>
          <w:b/>
          <w:sz w:val="22"/>
          <w:szCs w:val="22"/>
        </w:rPr>
        <w:t>lé</w:t>
      </w:r>
      <w:r w:rsidRPr="001B539A">
        <w:rPr>
          <w:rFonts w:asciiTheme="minorHAnsi" w:hAnsiTheme="minorHAnsi" w:cstheme="minorHAnsi"/>
          <w:b/>
          <w:sz w:val="22"/>
          <w:szCs w:val="22"/>
        </w:rPr>
        <w:t>čebně rehabilitační péče, ošetřovatelské a paliativní péče</w:t>
      </w:r>
    </w:p>
    <w:p w:rsidR="001151A7" w:rsidRPr="00756C2A" w:rsidRDefault="00EF2979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v</w:t>
      </w:r>
      <w:r w:rsidR="00EF4132" w:rsidRPr="001151A7">
        <w:rPr>
          <w:rFonts w:asciiTheme="minorHAnsi" w:hAnsiTheme="minorHAnsi" w:cstheme="minorHAnsi"/>
          <w:sz w:val="22"/>
          <w:szCs w:val="22"/>
        </w:rPr>
        <w:t>ýše paušální sazby za jeden den hospitalizace se stanoví ve výši paušální sazby za ošetřovací den smluvně uzavřené mezi poskytovatelem a zdravotní</w:t>
      </w:r>
      <w:r w:rsidR="001151A7" w:rsidRPr="001151A7">
        <w:rPr>
          <w:rFonts w:asciiTheme="minorHAnsi" w:hAnsiTheme="minorHAnsi" w:cstheme="minorHAnsi"/>
          <w:sz w:val="22"/>
          <w:szCs w:val="22"/>
        </w:rPr>
        <w:t xml:space="preserve"> pojišťovnou </w:t>
      </w:r>
      <w:r w:rsidR="001151A7" w:rsidRPr="00756C2A">
        <w:rPr>
          <w:rFonts w:asciiTheme="minorHAnsi" w:hAnsiTheme="minorHAnsi" w:cstheme="minorHAnsi"/>
          <w:sz w:val="22"/>
          <w:szCs w:val="22"/>
        </w:rPr>
        <w:t xml:space="preserve">ke dni </w:t>
      </w:r>
      <w:r w:rsidR="00B8183A" w:rsidRPr="00756C2A">
        <w:rPr>
          <w:rFonts w:asciiTheme="minorHAnsi" w:hAnsiTheme="minorHAnsi" w:cstheme="minorHAnsi"/>
          <w:sz w:val="22"/>
          <w:szCs w:val="22"/>
        </w:rPr>
        <w:t>31. 12. 2016</w:t>
      </w:r>
      <w:r w:rsidRPr="00756C2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F2979" w:rsidRDefault="00EF2979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následné léčebně rehabilitační péče (vyjma péče psychiatrické) se základní sazba použije po období prvních </w:t>
      </w:r>
      <w:r w:rsidR="00900076">
        <w:rPr>
          <w:rFonts w:asciiTheme="minorHAnsi" w:hAnsiTheme="minorHAnsi" w:cstheme="minorHAnsi"/>
          <w:sz w:val="22"/>
          <w:szCs w:val="22"/>
        </w:rPr>
        <w:t xml:space="preserve">nejvýše </w:t>
      </w:r>
      <w:r>
        <w:rPr>
          <w:rFonts w:asciiTheme="minorHAnsi" w:hAnsiTheme="minorHAnsi" w:cstheme="minorHAnsi"/>
          <w:sz w:val="22"/>
          <w:szCs w:val="22"/>
        </w:rPr>
        <w:t xml:space="preserve">šedesáti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 xml:space="preserve">hospitalizace. Po jejich uplynutí bude základní sazba použita jen se souhlasem pojišťovny na základě poskytovatelem předloženého odůvodnění </w:t>
      </w:r>
      <w:r w:rsidR="00900076">
        <w:rPr>
          <w:rFonts w:asciiTheme="minorHAnsi" w:hAnsiTheme="minorHAnsi" w:cstheme="minorHAnsi"/>
          <w:sz w:val="22"/>
          <w:szCs w:val="22"/>
        </w:rPr>
        <w:t>indikace pro trvání následné léčebně rehabilitační péče, v opačném případě bu</w:t>
      </w:r>
      <w:r w:rsidR="009D7F7E">
        <w:rPr>
          <w:rFonts w:asciiTheme="minorHAnsi" w:hAnsiTheme="minorHAnsi" w:cstheme="minorHAnsi"/>
          <w:sz w:val="22"/>
          <w:szCs w:val="22"/>
        </w:rPr>
        <w:t xml:space="preserve">de použita </w:t>
      </w:r>
      <w:r w:rsidR="00756C2A">
        <w:rPr>
          <w:rFonts w:asciiTheme="minorHAnsi" w:hAnsiTheme="minorHAnsi" w:cstheme="minorHAnsi"/>
          <w:sz w:val="22"/>
          <w:szCs w:val="22"/>
        </w:rPr>
        <w:t>úhrada ve výši ošetřovacího dne ošetřovatelské a paliativní péče</w:t>
      </w:r>
      <w:r w:rsidR="00900076">
        <w:rPr>
          <w:rFonts w:asciiTheme="minorHAnsi" w:hAnsiTheme="minorHAnsi" w:cstheme="minorHAnsi"/>
          <w:sz w:val="22"/>
          <w:szCs w:val="22"/>
        </w:rPr>
        <w:t>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900076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ošetřovatelské a paliativní péče se základní sazba použije po období prvních nejvýše devadesáti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 xml:space="preserve">hospitalizace. Po jejich uplynutí bude základní sazba použita jen se souhlasem pojišťovny na základě poskytovatelem předloženého odůvodnění indikace pro trvání ošetřovatelské a paliativní péče, v opačném případě bude </w:t>
      </w:r>
      <w:r w:rsidR="00756C2A">
        <w:rPr>
          <w:rFonts w:asciiTheme="minorHAnsi" w:hAnsiTheme="minorHAnsi" w:cstheme="minorHAnsi"/>
          <w:sz w:val="22"/>
          <w:szCs w:val="22"/>
        </w:rPr>
        <w:t>umožněno poskytovateli vykazovat ošetřovatelskou péči pomocí výkonů odbornosti 913</w:t>
      </w:r>
      <w:r>
        <w:rPr>
          <w:rFonts w:asciiTheme="minorHAnsi" w:hAnsiTheme="minorHAnsi" w:cstheme="minorHAnsi"/>
          <w:sz w:val="22"/>
          <w:szCs w:val="22"/>
        </w:rPr>
        <w:t>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poskytovatele následné léčebně rehabilitační péče psychiatrické se základní sazba použije po celé období indikované hospitalizace.</w:t>
      </w:r>
    </w:p>
    <w:p w:rsidR="008F4799" w:rsidRPr="001151A7" w:rsidRDefault="00BA27E7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</w:t>
      </w:r>
      <w:r w:rsidR="008F4799" w:rsidRPr="001151A7">
        <w:rPr>
          <w:rFonts w:asciiTheme="minorHAnsi" w:hAnsiTheme="minorHAnsi" w:cstheme="minorHAnsi"/>
          <w:sz w:val="22"/>
          <w:szCs w:val="22"/>
        </w:rPr>
        <w:t xml:space="preserve">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034ABF" w:rsidRPr="001B539A" w:rsidRDefault="00880B54" w:rsidP="00034ABF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ambulantní péče</w:t>
      </w:r>
      <w:r w:rsidR="00FE019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34ABF" w:rsidRPr="001B539A">
        <w:rPr>
          <w:rFonts w:asciiTheme="minorHAnsi" w:hAnsiTheme="minorHAnsi" w:cstheme="minorHAnsi"/>
          <w:b/>
          <w:sz w:val="22"/>
          <w:szCs w:val="22"/>
        </w:rPr>
        <w:t>zvláštní ambulan</w:t>
      </w:r>
      <w:r w:rsidRPr="001B539A">
        <w:rPr>
          <w:rFonts w:asciiTheme="minorHAnsi" w:hAnsiTheme="minorHAnsi" w:cstheme="minorHAnsi"/>
          <w:b/>
          <w:sz w:val="22"/>
          <w:szCs w:val="22"/>
        </w:rPr>
        <w:t>tní péče</w:t>
      </w:r>
      <w:r w:rsidR="00FE0190">
        <w:rPr>
          <w:rFonts w:asciiTheme="minorHAnsi" w:hAnsiTheme="minorHAnsi" w:cstheme="minorHAnsi"/>
          <w:b/>
          <w:sz w:val="22"/>
          <w:szCs w:val="22"/>
        </w:rPr>
        <w:t xml:space="preserve"> a zvláštní lůžkové péče</w:t>
      </w:r>
    </w:p>
    <w:p w:rsidR="00034ABF" w:rsidRPr="001B539A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B539A">
        <w:rPr>
          <w:rFonts w:asciiTheme="minorHAnsi" w:hAnsiTheme="minorHAnsi" w:cstheme="minorHAnsi"/>
          <w:sz w:val="22"/>
          <w:szCs w:val="22"/>
        </w:rPr>
        <w:t>Pro ambulantní zdravotní péči hrazenou podle seznamu výkonů se h</w:t>
      </w:r>
      <w:r w:rsidR="005E1945" w:rsidRPr="001B539A">
        <w:rPr>
          <w:rFonts w:asciiTheme="minorHAnsi" w:hAnsiTheme="minorHAnsi" w:cstheme="minorHAnsi"/>
          <w:sz w:val="22"/>
          <w:szCs w:val="22"/>
        </w:rPr>
        <w:t>odnota bodu stanoví ve výši 0,95</w:t>
      </w:r>
      <w:r w:rsidRPr="001B539A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034ABF" w:rsidRDefault="00FE0190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Zvláštní ambulantní péče poskytovaná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 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poskytovateli zdravotních služeb 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podle </w:t>
      </w:r>
      <w:r w:rsidR="00880B54" w:rsidRPr="001B539A">
        <w:rPr>
          <w:rFonts w:asciiTheme="minorHAnsi" w:hAnsiTheme="minorHAnsi" w:cstheme="minorHAnsi"/>
          <w:sz w:val="22"/>
          <w:szCs w:val="22"/>
        </w:rPr>
        <w:t>zákona 48/1997 sb., § 22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písm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. c) až e) </w:t>
      </w:r>
      <w:r>
        <w:rPr>
          <w:rFonts w:asciiTheme="minorHAnsi" w:hAnsiTheme="minorHAnsi" w:cstheme="minorHAnsi"/>
          <w:sz w:val="22"/>
          <w:szCs w:val="22"/>
        </w:rPr>
        <w:t>a zvláštní lůžková péče poskytovaná</w:t>
      </w:r>
      <w:r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 speciálních lůžkových zařízeních hospicového typu</w:t>
      </w:r>
      <w:r w:rsidRPr="001B539A">
        <w:rPr>
          <w:rFonts w:asciiTheme="minorHAnsi" w:hAnsiTheme="minorHAnsi" w:cstheme="minorHAnsi"/>
          <w:sz w:val="22"/>
          <w:szCs w:val="22"/>
        </w:rPr>
        <w:t xml:space="preserve"> podle zákona 48/1997 sb., § 22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budou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hrazeny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 podle seznamu zdravotních výkonů 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s hodnotami bodu, </w:t>
      </w:r>
      <w:r w:rsidR="00B02836">
        <w:rPr>
          <w:rFonts w:asciiTheme="minorHAnsi" w:hAnsiTheme="minorHAnsi" w:cstheme="minorHAnsi"/>
          <w:sz w:val="22"/>
          <w:szCs w:val="22"/>
        </w:rPr>
        <w:t>ve výši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 úhrad a podle pravidel definovaných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pro segment </w:t>
      </w:r>
      <w:r w:rsidR="00761C08">
        <w:rPr>
          <w:rFonts w:asciiTheme="minorHAnsi" w:hAnsiTheme="minorHAnsi" w:cstheme="minorHAnsi"/>
          <w:sz w:val="22"/>
          <w:szCs w:val="22"/>
        </w:rPr>
        <w:t xml:space="preserve">zdravotních služeb nelékařských odborností, konkrétně odbornost </w:t>
      </w:r>
      <w:r w:rsidR="00BA27E7" w:rsidRPr="001B539A">
        <w:rPr>
          <w:rFonts w:asciiTheme="minorHAnsi" w:hAnsiTheme="minorHAnsi" w:cstheme="minorHAnsi"/>
          <w:sz w:val="22"/>
          <w:szCs w:val="22"/>
        </w:rPr>
        <w:t>domácí zdravotní péče</w:t>
      </w:r>
      <w:r w:rsidR="00761C08">
        <w:rPr>
          <w:rFonts w:asciiTheme="minorHAnsi" w:hAnsiTheme="minorHAnsi" w:cstheme="minorHAnsi"/>
          <w:sz w:val="22"/>
          <w:szCs w:val="22"/>
        </w:rPr>
        <w:t>,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včetně regulačních omezení</w:t>
      </w:r>
      <w:r w:rsidR="00034ABF" w:rsidRPr="001B539A">
        <w:rPr>
          <w:rFonts w:asciiTheme="minorHAnsi" w:hAnsiTheme="minorHAnsi" w:cstheme="minorHAnsi"/>
          <w:sz w:val="22"/>
          <w:szCs w:val="22"/>
        </w:rPr>
        <w:t>.</w:t>
      </w:r>
    </w:p>
    <w:p w:rsidR="00103C69" w:rsidRPr="001B539A" w:rsidRDefault="00103C69" w:rsidP="00103C6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následné intenzivní péče a dlouhodobé intenzivní ošetřovatelské péče.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>Paušální sazba za jeden den hospitalizace se stanoví pro každou kategorii pacienta a typ ošetřovacího dne samostatně a zahrnuje hodnotu příslušného ošetřovacího dne včetně režie přiřazené k ošetřovacímu dni a kategorie pacienta podle seznamu výkonů, paušální částku, kterou se hradí lé</w:t>
      </w:r>
      <w:r w:rsidR="00FE0190">
        <w:rPr>
          <w:rFonts w:asciiTheme="minorHAnsi" w:hAnsiTheme="minorHAnsi" w:cstheme="minorHAnsi"/>
          <w:sz w:val="22"/>
          <w:szCs w:val="22"/>
        </w:rPr>
        <w:t>čivé přípravky podle § 17 odst. 6</w:t>
      </w:r>
      <w:r w:rsidRPr="001151A7">
        <w:rPr>
          <w:rFonts w:asciiTheme="minorHAnsi" w:hAnsiTheme="minorHAnsi" w:cstheme="minorHAnsi"/>
          <w:sz w:val="22"/>
          <w:szCs w:val="22"/>
        </w:rPr>
        <w:t xml:space="preserve"> zákona, a zdravotní výkony, kterými se vykazuje příjmové a propouštěcí vyšetření podle seznamu výkonů.</w:t>
      </w:r>
    </w:p>
    <w:p w:rsidR="00900076" w:rsidRDefault="00900076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Základní v</w:t>
      </w:r>
      <w:r w:rsidRPr="001151A7">
        <w:rPr>
          <w:rFonts w:asciiTheme="minorHAnsi" w:hAnsiTheme="minorHAnsi" w:cstheme="minorHAnsi"/>
          <w:sz w:val="22"/>
          <w:szCs w:val="22"/>
        </w:rPr>
        <w:t>ýše paušální sazby za jeden den hospitalizace se stanoví ve výši paušální sazby za ošetřovací den smluvně uzavřené mezi poskytovatelem a zdravotní pojišťovnou ke dni 31.12.201</w:t>
      </w:r>
      <w:r>
        <w:rPr>
          <w:rFonts w:asciiTheme="minorHAnsi" w:hAnsiTheme="minorHAnsi" w:cstheme="minorHAnsi"/>
          <w:sz w:val="22"/>
          <w:szCs w:val="22"/>
        </w:rPr>
        <w:t xml:space="preserve">5. </w:t>
      </w:r>
    </w:p>
    <w:p w:rsidR="00900076" w:rsidRPr="001151A7" w:rsidRDefault="00900076" w:rsidP="00900076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následné intenzivní péče se základní sazba použije po období prvních nejvýše šedesáti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 xml:space="preserve">hospitalizace. Po jejich uplynutí bude základní sazba použita jen se souhlasem pojišťovny na základě poskytovatelem předloženého odůvodnění indikace pro trvání následné intenzivní péče, v opačném případě bude </w:t>
      </w:r>
      <w:r w:rsidR="00756C2A">
        <w:rPr>
          <w:rFonts w:asciiTheme="minorHAnsi" w:hAnsiTheme="minorHAnsi" w:cstheme="minorHAnsi"/>
          <w:sz w:val="22"/>
          <w:szCs w:val="22"/>
        </w:rPr>
        <w:t>uhrazena péče ve výši úhrady za OD 00019</w:t>
      </w:r>
      <w:r>
        <w:rPr>
          <w:rFonts w:asciiTheme="minorHAnsi" w:hAnsiTheme="minorHAnsi" w:cstheme="minorHAnsi"/>
          <w:sz w:val="22"/>
          <w:szCs w:val="22"/>
        </w:rPr>
        <w:t>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900076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poskytovatele dlouhodobé intenzivní ošetřovatelské péče se základní sazba použije po celé období indikované hospitalizace.</w:t>
      </w:r>
    </w:p>
    <w:p w:rsid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756C2A" w:rsidRDefault="00756C2A" w:rsidP="00756C2A">
      <w:pPr>
        <w:pStyle w:val="Textpsmene"/>
        <w:numPr>
          <w:ilvl w:val="0"/>
          <w:numId w:val="0"/>
        </w:num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</w:p>
    <w:p w:rsidR="00756C2A" w:rsidRPr="008879C9" w:rsidRDefault="00756C2A" w:rsidP="00756C2A">
      <w:pPr>
        <w:pStyle w:val="Textbodu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8879C9">
        <w:rPr>
          <w:rFonts w:asciiTheme="minorHAnsi" w:hAnsiTheme="minorHAnsi"/>
          <w:sz w:val="22"/>
          <w:szCs w:val="22"/>
        </w:rPr>
        <w:t>Měsíční předběžná úhrada se poskytne poskytovateli ve výši jedné dvanáctiny 10</w:t>
      </w:r>
      <w:r>
        <w:rPr>
          <w:rFonts w:asciiTheme="minorHAnsi" w:hAnsiTheme="minorHAnsi"/>
          <w:sz w:val="22"/>
          <w:szCs w:val="22"/>
        </w:rPr>
        <w:t>0</w:t>
      </w:r>
      <w:r w:rsidRPr="008879C9">
        <w:rPr>
          <w:rFonts w:asciiTheme="minorHAnsi" w:hAnsiTheme="minorHAnsi"/>
          <w:sz w:val="22"/>
          <w:szCs w:val="22"/>
        </w:rPr>
        <w:t xml:space="preserve"> % objemu úhrady za referenční období. Předběžné úhrady za hodnocené období se finančně vypořádají v rámci celkového finančního vypořádání,</w:t>
      </w:r>
      <w:r w:rsidRPr="008879C9">
        <w:rPr>
          <w:rFonts w:asciiTheme="minorHAnsi" w:hAnsiTheme="minorHAnsi"/>
          <w:bCs/>
          <w:sz w:val="22"/>
          <w:szCs w:val="22"/>
        </w:rPr>
        <w:t xml:space="preserve"> </w:t>
      </w:r>
      <w:r w:rsidRPr="008879C9">
        <w:rPr>
          <w:rFonts w:asciiTheme="minorHAnsi" w:hAnsiTheme="minorHAnsi"/>
          <w:sz w:val="22"/>
          <w:szCs w:val="22"/>
        </w:rPr>
        <w:t>a to nejpozději do 150 dnů po dni skončení hodnoceného období.</w:t>
      </w:r>
    </w:p>
    <w:p w:rsidR="00756C2A" w:rsidRPr="00756C2A" w:rsidRDefault="00756C2A" w:rsidP="00756C2A">
      <w:pPr>
        <w:pStyle w:val="Textpsmene"/>
        <w:numPr>
          <w:ilvl w:val="0"/>
          <w:numId w:val="0"/>
        </w:num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</w:p>
    <w:p w:rsidR="00761C08" w:rsidRDefault="00761C08" w:rsidP="00761C08">
      <w:pPr>
        <w:pStyle w:val="Textpsmene"/>
        <w:numPr>
          <w:ilvl w:val="0"/>
          <w:numId w:val="0"/>
        </w:num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761C08" w:rsidRPr="00FE0190" w:rsidRDefault="00761C08" w:rsidP="00761C08">
      <w:pPr>
        <w:jc w:val="both"/>
        <w:rPr>
          <w:rFonts w:cstheme="minorHAnsi"/>
        </w:rPr>
      </w:pPr>
      <w:r w:rsidRPr="00761C08">
        <w:rPr>
          <w:rFonts w:cstheme="minorHAnsi"/>
          <w:highlight w:val="green"/>
        </w:rPr>
        <w:t xml:space="preserve">VARIANTA </w:t>
      </w:r>
      <w:r>
        <w:rPr>
          <w:rFonts w:cstheme="minorHAnsi"/>
          <w:highlight w:val="green"/>
        </w:rPr>
        <w:t>B</w:t>
      </w:r>
      <w:r>
        <w:rPr>
          <w:rFonts w:cstheme="minorHAnsi"/>
        </w:rPr>
        <w:t xml:space="preserve"> (</w:t>
      </w:r>
      <w:r w:rsidR="00756C2A">
        <w:rPr>
          <w:rFonts w:cstheme="minorHAnsi"/>
        </w:rPr>
        <w:t xml:space="preserve">změna v bodě 1 </w:t>
      </w:r>
      <w:r>
        <w:rPr>
          <w:rFonts w:cstheme="minorHAnsi"/>
        </w:rPr>
        <w:t>)</w:t>
      </w:r>
    </w:p>
    <w:p w:rsidR="00761C08" w:rsidRPr="001B539A" w:rsidRDefault="00761C08" w:rsidP="00761C08">
      <w:pPr>
        <w:pStyle w:val="Textbodu"/>
        <w:numPr>
          <w:ilvl w:val="0"/>
          <w:numId w:val="19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 xml:space="preserve">Úhrada následné </w:t>
      </w:r>
      <w:r>
        <w:rPr>
          <w:rFonts w:asciiTheme="minorHAnsi" w:hAnsiTheme="minorHAnsi" w:cstheme="minorHAnsi"/>
          <w:b/>
          <w:sz w:val="22"/>
          <w:szCs w:val="22"/>
        </w:rPr>
        <w:t>lé</w:t>
      </w:r>
      <w:r w:rsidRPr="001B539A">
        <w:rPr>
          <w:rFonts w:asciiTheme="minorHAnsi" w:hAnsiTheme="minorHAnsi" w:cstheme="minorHAnsi"/>
          <w:b/>
          <w:sz w:val="22"/>
          <w:szCs w:val="22"/>
        </w:rPr>
        <w:t>čebně rehabilitační péče, ošetřovatelské a paliativní péče</w:t>
      </w:r>
    </w:p>
    <w:p w:rsidR="00761C08" w:rsidRDefault="00761C08" w:rsidP="00761C08">
      <w:pPr>
        <w:pStyle w:val="Textpsmene"/>
        <w:numPr>
          <w:ilvl w:val="0"/>
          <w:numId w:val="2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Paušální sazba za jeden den hospitalizace se stanoví pro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1151A7">
        <w:rPr>
          <w:rFonts w:asciiTheme="minorHAnsi" w:hAnsiTheme="minorHAnsi" w:cstheme="minorHAnsi"/>
          <w:sz w:val="22"/>
          <w:szCs w:val="22"/>
        </w:rPr>
        <w:t xml:space="preserve"> zákona, a zdravotní výkony, kterými se vykazuje příjmové a propouštěcí vyšetření podle seznamu výkonů.</w:t>
      </w:r>
    </w:p>
    <w:p w:rsidR="00761C08" w:rsidRDefault="00761C08" w:rsidP="00761C08">
      <w:pPr>
        <w:pStyle w:val="Textpsmene"/>
        <w:numPr>
          <w:ilvl w:val="0"/>
          <w:numId w:val="2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v</w:t>
      </w:r>
      <w:r w:rsidRPr="001151A7">
        <w:rPr>
          <w:rFonts w:asciiTheme="minorHAnsi" w:hAnsiTheme="minorHAnsi" w:cstheme="minorHAnsi"/>
          <w:sz w:val="22"/>
          <w:szCs w:val="22"/>
        </w:rPr>
        <w:t xml:space="preserve">ýše paušální sazby za jeden den hospitalizace se stanoví ve výši </w:t>
      </w:r>
      <w:r w:rsidRPr="00756C2A">
        <w:rPr>
          <w:rFonts w:asciiTheme="minorHAnsi" w:hAnsiTheme="minorHAnsi" w:cstheme="minorHAnsi"/>
          <w:sz w:val="22"/>
          <w:szCs w:val="22"/>
        </w:rPr>
        <w:t>paušální sazby za ošetřovací den smluvně uzavřené mezi poskytovatelem a zdravotní pojišťovnou ke dni 31. 12. 2016. Zdravotní pojišťovna sjednává se smluvním poskytovatelem (vyjma psychiatrických</w:t>
      </w:r>
      <w:r>
        <w:rPr>
          <w:rFonts w:asciiTheme="minorHAnsi" w:hAnsiTheme="minorHAnsi" w:cstheme="minorHAnsi"/>
          <w:sz w:val="22"/>
          <w:szCs w:val="22"/>
        </w:rPr>
        <w:t xml:space="preserve"> OLU) pro rok 2017: </w:t>
      </w:r>
    </w:p>
    <w:tbl>
      <w:tblPr>
        <w:tblW w:w="8669" w:type="dxa"/>
        <w:tblCellSpacing w:w="0" w:type="dxa"/>
        <w:tblInd w:w="7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63"/>
        <w:gridCol w:w="2431"/>
        <w:gridCol w:w="1985"/>
        <w:gridCol w:w="2290"/>
      </w:tblGrid>
      <w:tr w:rsidR="00761C08" w:rsidRPr="0087008E" w:rsidTr="00521DA2">
        <w:trPr>
          <w:trHeight w:val="407"/>
          <w:tblCellSpacing w:w="0" w:type="dxa"/>
        </w:trPr>
        <w:tc>
          <w:tcPr>
            <w:tcW w:w="1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1C08" w:rsidRPr="0087008E" w:rsidRDefault="00761C08" w:rsidP="00521DA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87008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Kód OD</w:t>
            </w:r>
          </w:p>
        </w:tc>
        <w:tc>
          <w:tcPr>
            <w:tcW w:w="2431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61C08" w:rsidRPr="0087008E" w:rsidRDefault="00761C08" w:rsidP="00521DA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87008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Maximální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Pr="0087008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průměrná ošetřovací doba na URČ</w:t>
            </w:r>
          </w:p>
        </w:tc>
        <w:tc>
          <w:tcPr>
            <w:tcW w:w="198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61C08" w:rsidRPr="0087008E" w:rsidRDefault="00761C08" w:rsidP="00521DA2">
            <w:pPr>
              <w:keepNext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8700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Maximální počet OD</w:t>
            </w:r>
          </w:p>
        </w:tc>
        <w:tc>
          <w:tcPr>
            <w:tcW w:w="2290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61C08" w:rsidRPr="0087008E" w:rsidRDefault="00761C08" w:rsidP="00521DA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87008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Maximální úhrada</w:t>
            </w:r>
          </w:p>
        </w:tc>
      </w:tr>
      <w:tr w:rsidR="00761C08" w:rsidRPr="0087008E" w:rsidTr="00521DA2">
        <w:trPr>
          <w:trHeight w:val="330"/>
          <w:tblCellSpacing w:w="0" w:type="dxa"/>
        </w:trPr>
        <w:tc>
          <w:tcPr>
            <w:tcW w:w="19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C08" w:rsidRPr="00C8275E" w:rsidRDefault="00761C08" w:rsidP="00521D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sz w:val="18"/>
              </w:rPr>
              <w:t>…</w:t>
            </w:r>
          </w:p>
        </w:tc>
        <w:tc>
          <w:tcPr>
            <w:tcW w:w="2431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761C08" w:rsidRPr="00C8275E" w:rsidRDefault="00761C08" w:rsidP="00761C0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sz w:val="18"/>
              </w:rPr>
              <w:t>…</w:t>
            </w:r>
            <w:r w:rsidR="00FC5FAC" w:rsidRPr="00C8275E">
              <w:rPr>
                <w:rFonts w:ascii="Arial" w:hAnsi="Arial" w:cs="Arial"/>
                <w:bCs/>
                <w:sz w:val="18"/>
              </w:rPr>
              <w:fldChar w:fldCharType="begin"/>
            </w:r>
            <w:r w:rsidRPr="00C8275E">
              <w:rPr>
                <w:rFonts w:ascii="Arial" w:hAnsi="Arial" w:cs="Arial"/>
                <w:bCs/>
                <w:sz w:val="18"/>
              </w:rPr>
              <w:instrText xml:space="preserve"> MERGEFIELD  max_doba  \* MERGEFORMAT </w:instrText>
            </w:r>
            <w:r w:rsidR="00FC5FAC" w:rsidRPr="00C8275E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1985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761C08" w:rsidRPr="00C8275E" w:rsidRDefault="00761C08" w:rsidP="00521DA2">
            <w:pPr>
              <w:keepNext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sz w:val="18"/>
              </w:rPr>
              <w:t>…</w:t>
            </w:r>
          </w:p>
        </w:tc>
        <w:tc>
          <w:tcPr>
            <w:tcW w:w="2290" w:type="dxa"/>
            <w:tcMar>
              <w:top w:w="0" w:type="dxa"/>
              <w:left w:w="68" w:type="dxa"/>
              <w:bottom w:w="0" w:type="dxa"/>
              <w:right w:w="0" w:type="dxa"/>
            </w:tcMar>
            <w:vAlign w:val="center"/>
          </w:tcPr>
          <w:p w:rsidR="00761C08" w:rsidRPr="00C8275E" w:rsidRDefault="00761C08" w:rsidP="00761C0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Cs/>
                <w:sz w:val="18"/>
              </w:rPr>
              <w:t>…</w:t>
            </w:r>
          </w:p>
        </w:tc>
      </w:tr>
    </w:tbl>
    <w:p w:rsidR="00761C08" w:rsidRPr="001151A7" w:rsidRDefault="00761C08" w:rsidP="00761C08">
      <w:pPr>
        <w:pStyle w:val="Textpsmene"/>
        <w:numPr>
          <w:ilvl w:val="0"/>
          <w:numId w:val="20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poskytovatele následné léčebně rehabilitační péče psychiatrické se základní sazba použije po celé období indikované hospitalizace podle písmena b).</w:t>
      </w:r>
    </w:p>
    <w:p w:rsidR="00761C08" w:rsidRPr="001151A7" w:rsidRDefault="00761C08" w:rsidP="00761C08">
      <w:pPr>
        <w:pStyle w:val="Textpsmene"/>
        <w:numPr>
          <w:ilvl w:val="0"/>
          <w:numId w:val="2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sectPr w:rsidR="00761C08" w:rsidRPr="001151A7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AC4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AE043F5"/>
    <w:multiLevelType w:val="hybridMultilevel"/>
    <w:tmpl w:val="0C28C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1B3373"/>
    <w:multiLevelType w:val="hybridMultilevel"/>
    <w:tmpl w:val="FE8CED22"/>
    <w:lvl w:ilvl="0" w:tplc="F4CCCF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02C38C1"/>
    <w:multiLevelType w:val="hybridMultilevel"/>
    <w:tmpl w:val="B01CB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C6707"/>
    <w:multiLevelType w:val="hybridMultilevel"/>
    <w:tmpl w:val="A66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E70A5"/>
    <w:multiLevelType w:val="hybridMultilevel"/>
    <w:tmpl w:val="8822002A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468D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F534A"/>
    <w:multiLevelType w:val="multilevel"/>
    <w:tmpl w:val="F94C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1E83000"/>
    <w:multiLevelType w:val="hybridMultilevel"/>
    <w:tmpl w:val="0366AF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074DA7"/>
    <w:multiLevelType w:val="hybridMultilevel"/>
    <w:tmpl w:val="B01CB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786F11"/>
    <w:multiLevelType w:val="hybridMultilevel"/>
    <w:tmpl w:val="1B226AC4"/>
    <w:lvl w:ilvl="0" w:tplc="FC70E7B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671F94"/>
    <w:multiLevelType w:val="multilevel"/>
    <w:tmpl w:val="41909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640576"/>
    <w:multiLevelType w:val="hybridMultilevel"/>
    <w:tmpl w:val="77A8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>
    <w:nsid w:val="73BE07B9"/>
    <w:multiLevelType w:val="hybridMultilevel"/>
    <w:tmpl w:val="0322910E"/>
    <w:lvl w:ilvl="0" w:tplc="310AD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13"/>
  </w:num>
  <w:num w:numId="15">
    <w:abstractNumId w:val="13"/>
  </w:num>
  <w:num w:numId="16">
    <w:abstractNumId w:val="1"/>
  </w:num>
  <w:num w:numId="17">
    <w:abstractNumId w:val="9"/>
  </w:num>
  <w:num w:numId="18">
    <w:abstractNumId w:val="8"/>
  </w:num>
  <w:num w:numId="19">
    <w:abstractNumId w:val="0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AMO_XmlVersion" w:val="Empty"/>
    <w:docVar w:name="OLE_LINK1" w:val="Empty"/>
    <w:docVar w:name="OLE_LINK2" w:val="Empty"/>
  </w:docVars>
  <w:rsids>
    <w:rsidRoot w:val="00B96740"/>
    <w:rsid w:val="00027441"/>
    <w:rsid w:val="00034ABF"/>
    <w:rsid w:val="000A0B3A"/>
    <w:rsid w:val="00103C69"/>
    <w:rsid w:val="001151A7"/>
    <w:rsid w:val="001B539A"/>
    <w:rsid w:val="0023586D"/>
    <w:rsid w:val="00314BBC"/>
    <w:rsid w:val="00394E88"/>
    <w:rsid w:val="00472262"/>
    <w:rsid w:val="004C7824"/>
    <w:rsid w:val="004D0841"/>
    <w:rsid w:val="005C43FB"/>
    <w:rsid w:val="005E1945"/>
    <w:rsid w:val="00671DE8"/>
    <w:rsid w:val="006D3285"/>
    <w:rsid w:val="006D6B9B"/>
    <w:rsid w:val="00756C2A"/>
    <w:rsid w:val="00761C08"/>
    <w:rsid w:val="00825C41"/>
    <w:rsid w:val="008708F2"/>
    <w:rsid w:val="00880B54"/>
    <w:rsid w:val="008F1203"/>
    <w:rsid w:val="008F4799"/>
    <w:rsid w:val="00900076"/>
    <w:rsid w:val="00914935"/>
    <w:rsid w:val="009751C9"/>
    <w:rsid w:val="009D7F7E"/>
    <w:rsid w:val="009F3AC1"/>
    <w:rsid w:val="00A44B3A"/>
    <w:rsid w:val="00A5438A"/>
    <w:rsid w:val="00A648C4"/>
    <w:rsid w:val="00AA55FF"/>
    <w:rsid w:val="00AD1E4E"/>
    <w:rsid w:val="00AE0990"/>
    <w:rsid w:val="00AE55D9"/>
    <w:rsid w:val="00B02836"/>
    <w:rsid w:val="00B7756D"/>
    <w:rsid w:val="00B8183A"/>
    <w:rsid w:val="00B96740"/>
    <w:rsid w:val="00BA27E7"/>
    <w:rsid w:val="00C17164"/>
    <w:rsid w:val="00C3390D"/>
    <w:rsid w:val="00C41C32"/>
    <w:rsid w:val="00C8753D"/>
    <w:rsid w:val="00CF7ACF"/>
    <w:rsid w:val="00D64B04"/>
    <w:rsid w:val="00DE4EBB"/>
    <w:rsid w:val="00DF5A7A"/>
    <w:rsid w:val="00E359EF"/>
    <w:rsid w:val="00EE08FB"/>
    <w:rsid w:val="00EF2979"/>
    <w:rsid w:val="00EF4132"/>
    <w:rsid w:val="00F15619"/>
    <w:rsid w:val="00F93027"/>
    <w:rsid w:val="00FC5FAC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uiPriority w:val="99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A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D9"/>
  </w:style>
  <w:style w:type="paragraph" w:styleId="Heading1">
    <w:name w:val="heading 1"/>
    <w:basedOn w:val="Normal"/>
    <w:next w:val="Normal"/>
    <w:link w:val="Heading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al"/>
    <w:uiPriority w:val="99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al"/>
    <w:uiPriority w:val="99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al"/>
    <w:link w:val="TextodstavceChar"/>
    <w:uiPriority w:val="99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DefaultParagraphFont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CommentReference">
    <w:name w:val="annotation reference"/>
    <w:basedOn w:val="DefaultParagraphFont"/>
    <w:semiHidden/>
    <w:rsid w:val="008F47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al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BodyText">
    <w:name w:val="Body Text"/>
    <w:basedOn w:val="Normal"/>
    <w:link w:val="Body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BodyTextChar">
    <w:name w:val="Body Text Char"/>
    <w:basedOn w:val="DefaultParagraphFont"/>
    <w:link w:val="Body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al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al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Variable">
    <w:name w:val="HTML Variable"/>
    <w:basedOn w:val="DefaultParagraphFont"/>
    <w:uiPriority w:val="99"/>
    <w:semiHidden/>
    <w:unhideWhenUsed/>
    <w:rsid w:val="00BA27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27E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Martina</cp:lastModifiedBy>
  <cp:revision>2</cp:revision>
  <dcterms:created xsi:type="dcterms:W3CDTF">2016-04-07T07:09:00Z</dcterms:created>
  <dcterms:modified xsi:type="dcterms:W3CDTF">2016-04-07T07:09:00Z</dcterms:modified>
</cp:coreProperties>
</file>