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7F" w:rsidRDefault="0084749C" w:rsidP="0084749C">
      <w:pPr>
        <w:pStyle w:val="Zhlav"/>
        <w:tabs>
          <w:tab w:val="clear" w:pos="4536"/>
          <w:tab w:val="clear" w:pos="9072"/>
        </w:tabs>
        <w:jc w:val="center"/>
        <w:rPr>
          <w:b/>
        </w:rPr>
      </w:pPr>
      <w:r>
        <w:rPr>
          <w:b/>
        </w:rPr>
        <w:t>NÁVRH SZP ČR P</w:t>
      </w:r>
      <w:r w:rsidR="0041488B">
        <w:rPr>
          <w:b/>
        </w:rPr>
        <w:t>RO DOHODOVACÍ ŘÍZENÍ NA ROK 2017</w:t>
      </w:r>
    </w:p>
    <w:p w:rsidR="000F12F1" w:rsidRPr="001B539A" w:rsidRDefault="000F12F1" w:rsidP="000F12F1">
      <w:pPr>
        <w:pStyle w:val="Zhlav"/>
        <w:tabs>
          <w:tab w:val="clear" w:pos="4536"/>
          <w:tab w:val="clear" w:pos="9072"/>
        </w:tabs>
        <w:rPr>
          <w:rFonts w:ascii="Calibri" w:hAnsi="Calibri" w:cs="Calibri"/>
          <w:b/>
          <w:sz w:val="22"/>
          <w:szCs w:val="22"/>
        </w:rPr>
      </w:pPr>
    </w:p>
    <w:p w:rsidR="000F12F1" w:rsidRPr="001B539A" w:rsidRDefault="000F12F1" w:rsidP="000F12F1">
      <w:pPr>
        <w:rPr>
          <w:rFonts w:cs="Calibri"/>
        </w:rPr>
      </w:pPr>
      <w:r>
        <w:rPr>
          <w:rFonts w:cs="Calibri"/>
        </w:rPr>
        <w:t xml:space="preserve">Zdravotní služby poskytované poskytovateli akutní zdravotní péče </w:t>
      </w:r>
      <w:r w:rsidRPr="001B539A">
        <w:t>bud</w:t>
      </w:r>
      <w:r>
        <w:t>ou</w:t>
      </w:r>
      <w:r w:rsidRPr="001B539A">
        <w:t xml:space="preserve"> v roce 201</w:t>
      </w:r>
      <w:r w:rsidR="0041488B">
        <w:t>7</w:t>
      </w:r>
      <w:r w:rsidRPr="001B539A">
        <w:t xml:space="preserve"> hrazen</w:t>
      </w:r>
      <w:r>
        <w:t>y</w:t>
      </w:r>
      <w:r w:rsidRPr="001B539A">
        <w:t xml:space="preserve"> </w:t>
      </w:r>
      <w:r w:rsidRPr="001B539A">
        <w:rPr>
          <w:rFonts w:cs="Calibri"/>
        </w:rPr>
        <w:t xml:space="preserve">podle individuálního smluvního ujednání mezi konkrétním poskytovatelem </w:t>
      </w:r>
      <w:r>
        <w:rPr>
          <w:rFonts w:cs="Calibri"/>
        </w:rPr>
        <w:t xml:space="preserve">zdravotních služeb </w:t>
      </w:r>
      <w:r>
        <w:rPr>
          <w:rFonts w:cs="Calibri"/>
        </w:rPr>
        <w:br/>
        <w:t xml:space="preserve">(dále jen </w:t>
      </w:r>
      <w:r w:rsidR="00D66CC0">
        <w:rPr>
          <w:rFonts w:cs="Calibri"/>
        </w:rPr>
        <w:t>„poskytovatel</w:t>
      </w:r>
      <w:r>
        <w:rPr>
          <w:rFonts w:cs="Calibri"/>
        </w:rPr>
        <w:t>“)</w:t>
      </w:r>
      <w:r w:rsidRPr="001B539A">
        <w:rPr>
          <w:rFonts w:cs="Calibri"/>
        </w:rPr>
        <w:t xml:space="preserve"> a příslušnou zdravotní pojišťovnou. V případě, že mezi zdravotní pojišťovnou a poskytovatelem </w:t>
      </w:r>
      <w:r>
        <w:rPr>
          <w:rFonts w:cs="Calibri"/>
        </w:rPr>
        <w:t>zdravotních služeb</w:t>
      </w:r>
      <w:r w:rsidRPr="001B539A">
        <w:rPr>
          <w:rFonts w:cs="Calibri"/>
        </w:rPr>
        <w:t xml:space="preserve"> nedojde k individuální smluvní dohodě o způsobu a výši úhrad</w:t>
      </w:r>
      <w:r>
        <w:rPr>
          <w:rFonts w:cs="Calibri"/>
        </w:rPr>
        <w:t>y zdravotních služeb</w:t>
      </w:r>
      <w:r w:rsidRPr="001B539A">
        <w:rPr>
          <w:rFonts w:cs="Calibri"/>
        </w:rPr>
        <w:t xml:space="preserve">, </w:t>
      </w:r>
      <w:r>
        <w:rPr>
          <w:rFonts w:cs="Calibri"/>
        </w:rPr>
        <w:t>budou zdravotní služby poskytované</w:t>
      </w:r>
      <w:r w:rsidRPr="001B539A">
        <w:rPr>
          <w:rFonts w:cs="Calibri"/>
        </w:rPr>
        <w:t xml:space="preserve"> v roce 201</w:t>
      </w:r>
      <w:r w:rsidR="0041488B">
        <w:rPr>
          <w:rFonts w:cs="Calibri"/>
        </w:rPr>
        <w:t>7</w:t>
      </w:r>
      <w:r w:rsidRPr="001B539A">
        <w:rPr>
          <w:rFonts w:cs="Calibri"/>
        </w:rPr>
        <w:t xml:space="preserve"> hrazen</w:t>
      </w:r>
      <w:r>
        <w:rPr>
          <w:rFonts w:cs="Calibri"/>
        </w:rPr>
        <w:t>y</w:t>
      </w:r>
      <w:r w:rsidRPr="001B539A">
        <w:rPr>
          <w:rFonts w:cs="Calibri"/>
        </w:rPr>
        <w:t xml:space="preserve"> dle níže uvedených pravidel.</w:t>
      </w:r>
    </w:p>
    <w:p w:rsidR="004B147F" w:rsidRPr="002D3D58" w:rsidRDefault="004B147F" w:rsidP="004B147F">
      <w:pPr>
        <w:rPr>
          <w:color w:val="000000"/>
        </w:rPr>
      </w:pPr>
    </w:p>
    <w:p w:rsidR="004B147F" w:rsidRDefault="004B147F" w:rsidP="004B147F">
      <w:pPr>
        <w:pStyle w:val="Zhlav"/>
        <w:numPr>
          <w:ilvl w:val="1"/>
          <w:numId w:val="1"/>
        </w:numPr>
        <w:tabs>
          <w:tab w:val="clear" w:pos="1440"/>
          <w:tab w:val="clear" w:pos="4536"/>
          <w:tab w:val="clear" w:pos="9072"/>
        </w:tabs>
        <w:ind w:left="425" w:hanging="425"/>
        <w:rPr>
          <w:b/>
          <w:color w:val="000000"/>
        </w:rPr>
      </w:pPr>
      <w:r w:rsidRPr="002D3D58">
        <w:rPr>
          <w:b/>
          <w:color w:val="000000"/>
        </w:rPr>
        <w:t xml:space="preserve">Ústavní péče </w:t>
      </w:r>
    </w:p>
    <w:p w:rsidR="004B147F" w:rsidRPr="00B60E28" w:rsidRDefault="004B147F" w:rsidP="004B147F">
      <w:pPr>
        <w:pStyle w:val="Zhlav"/>
        <w:tabs>
          <w:tab w:val="clear" w:pos="4536"/>
          <w:tab w:val="clear" w:pos="9072"/>
        </w:tabs>
        <w:rPr>
          <w:b/>
        </w:rPr>
      </w:pPr>
    </w:p>
    <w:p w:rsidR="000F12F1" w:rsidRPr="009C077C" w:rsidRDefault="000F12F1" w:rsidP="000F12F1">
      <w:pPr>
        <w:numPr>
          <w:ilvl w:val="0"/>
          <w:numId w:val="2"/>
        </w:numPr>
        <w:tabs>
          <w:tab w:val="clear" w:pos="360"/>
        </w:tabs>
        <w:rPr>
          <w:rStyle w:val="TextodstavceChar"/>
        </w:rPr>
      </w:pPr>
      <w:r w:rsidRPr="009C077C">
        <w:rPr>
          <w:rStyle w:val="TextodstavceChar"/>
        </w:rPr>
        <w:t>Úhrada poskytovateli v roce 201</w:t>
      </w:r>
      <w:r w:rsidR="0041488B">
        <w:rPr>
          <w:rStyle w:val="TextodstavceChar"/>
        </w:rPr>
        <w:t>7</w:t>
      </w:r>
      <w:r w:rsidRPr="009C077C">
        <w:rPr>
          <w:rStyle w:val="TextodstavceChar"/>
        </w:rPr>
        <w:t xml:space="preserve"> zahrnuje individuálně smluvně sjednanou složku úhrady, </w:t>
      </w:r>
      <w:r w:rsidR="00E95A40">
        <w:rPr>
          <w:rStyle w:val="TextodstavceChar"/>
        </w:rPr>
        <w:t>hospitalizační složku úhrady</w:t>
      </w:r>
      <w:r w:rsidRPr="009C077C">
        <w:rPr>
          <w:rStyle w:val="TextodstavceChar"/>
        </w:rPr>
        <w:t xml:space="preserve"> a úhradu za ambulantní péči (dále jen „ambulantní složka úhrady“). Do referenčního období jsou zařazeny veškeré hrazené služby poskytnuté v roce 201</w:t>
      </w:r>
      <w:r w:rsidR="0041488B">
        <w:rPr>
          <w:rStyle w:val="TextodstavceChar"/>
        </w:rPr>
        <w:t>5</w:t>
      </w:r>
      <w:r w:rsidRPr="009C077C">
        <w:rPr>
          <w:rStyle w:val="TextodstavceChar"/>
        </w:rPr>
        <w:t>, poskytovatelem vykázané</w:t>
      </w:r>
      <w:r w:rsidR="002B4EB3">
        <w:rPr>
          <w:rStyle w:val="TextodstavceChar"/>
        </w:rPr>
        <w:t xml:space="preserve"> </w:t>
      </w:r>
      <w:r w:rsidR="00953D96">
        <w:rPr>
          <w:rStyle w:val="TextodstavceChar"/>
        </w:rPr>
        <w:t>do 31</w:t>
      </w:r>
      <w:r w:rsidRPr="009C077C">
        <w:rPr>
          <w:rStyle w:val="TextodstavceChar"/>
        </w:rPr>
        <w:t xml:space="preserve">. </w:t>
      </w:r>
      <w:r w:rsidR="0041488B">
        <w:rPr>
          <w:rStyle w:val="TextodstavceChar"/>
        </w:rPr>
        <w:t>března</w:t>
      </w:r>
      <w:r w:rsidRPr="009C077C">
        <w:rPr>
          <w:rStyle w:val="TextodstavceChar"/>
        </w:rPr>
        <w:t xml:space="preserve"> 201</w:t>
      </w:r>
      <w:r w:rsidR="0041488B">
        <w:rPr>
          <w:rStyle w:val="TextodstavceChar"/>
        </w:rPr>
        <w:t>6</w:t>
      </w:r>
      <w:r w:rsidRPr="009C077C">
        <w:rPr>
          <w:rStyle w:val="TextodstavceChar"/>
        </w:rPr>
        <w:t xml:space="preserve"> a </w:t>
      </w:r>
      <w:r w:rsidR="00D66CC0">
        <w:rPr>
          <w:rStyle w:val="TextodstavceChar"/>
        </w:rPr>
        <w:t>zdravotní pojišťovnou</w:t>
      </w:r>
      <w:r w:rsidRPr="009C077C">
        <w:rPr>
          <w:rStyle w:val="TextodstavceChar"/>
        </w:rPr>
        <w:t xml:space="preserve"> uznané do 3</w:t>
      </w:r>
      <w:r w:rsidR="0041488B">
        <w:rPr>
          <w:rStyle w:val="TextodstavceChar"/>
        </w:rPr>
        <w:t xml:space="preserve">1. května </w:t>
      </w:r>
      <w:r w:rsidRPr="009C077C">
        <w:rPr>
          <w:rStyle w:val="TextodstavceChar"/>
        </w:rPr>
        <w:t>201</w:t>
      </w:r>
      <w:r w:rsidR="0041488B">
        <w:rPr>
          <w:rStyle w:val="TextodstavceChar"/>
        </w:rPr>
        <w:t>6</w:t>
      </w:r>
      <w:r w:rsidRPr="009C077C">
        <w:rPr>
          <w:rStyle w:val="TextodstavceChar"/>
        </w:rPr>
        <w:t xml:space="preserve">. </w:t>
      </w:r>
      <w:r w:rsidRPr="009C077C">
        <w:rPr>
          <w:rStyle w:val="TextodstavceChar"/>
          <w:iCs/>
        </w:rPr>
        <w:t>Do hodnoceného období jsou zařazeny veškeré hrazené služby poskytnuté v roce 201</w:t>
      </w:r>
      <w:r w:rsidR="0041488B">
        <w:rPr>
          <w:rStyle w:val="TextodstavceChar"/>
          <w:iCs/>
        </w:rPr>
        <w:t>7</w:t>
      </w:r>
      <w:r w:rsidRPr="009C077C">
        <w:rPr>
          <w:rStyle w:val="TextodstavceChar"/>
          <w:iCs/>
        </w:rPr>
        <w:t>, poskytovatelem vykázané</w:t>
      </w:r>
      <w:r w:rsidR="002B4EB3">
        <w:rPr>
          <w:rStyle w:val="TextodstavceChar"/>
          <w:iCs/>
        </w:rPr>
        <w:t xml:space="preserve"> </w:t>
      </w:r>
      <w:r w:rsidRPr="009C077C">
        <w:rPr>
          <w:rStyle w:val="TextodstavceChar"/>
          <w:iCs/>
        </w:rPr>
        <w:t>do 31. března 201</w:t>
      </w:r>
      <w:r w:rsidR="0041488B">
        <w:rPr>
          <w:rStyle w:val="TextodstavceChar"/>
          <w:iCs/>
        </w:rPr>
        <w:t>8</w:t>
      </w:r>
      <w:r w:rsidRPr="009C077C">
        <w:rPr>
          <w:rStyle w:val="TextodstavceChar"/>
          <w:iCs/>
        </w:rPr>
        <w:t xml:space="preserve"> a </w:t>
      </w:r>
      <w:r w:rsidR="00D66CC0">
        <w:rPr>
          <w:rStyle w:val="TextodstavceChar"/>
          <w:iCs/>
        </w:rPr>
        <w:t>zdravotní pojišťovnou</w:t>
      </w:r>
      <w:r w:rsidRPr="009C077C">
        <w:rPr>
          <w:rStyle w:val="TextodstavceChar"/>
          <w:iCs/>
        </w:rPr>
        <w:t xml:space="preserve"> uznané do 3</w:t>
      </w:r>
      <w:r w:rsidR="00446F38">
        <w:rPr>
          <w:rStyle w:val="TextodstavceChar"/>
          <w:iCs/>
        </w:rPr>
        <w:t>1</w:t>
      </w:r>
      <w:r w:rsidRPr="009C077C">
        <w:rPr>
          <w:rStyle w:val="TextodstavceChar"/>
          <w:iCs/>
        </w:rPr>
        <w:t>.</w:t>
      </w:r>
      <w:r w:rsidR="004E33F1">
        <w:rPr>
          <w:rStyle w:val="TextodstavceChar"/>
          <w:iCs/>
        </w:rPr>
        <w:t> </w:t>
      </w:r>
      <w:r w:rsidR="00446F38">
        <w:rPr>
          <w:rStyle w:val="TextodstavceChar"/>
          <w:iCs/>
        </w:rPr>
        <w:t>května</w:t>
      </w:r>
      <w:r w:rsidRPr="009C077C">
        <w:rPr>
          <w:rStyle w:val="TextodstavceChar"/>
          <w:iCs/>
        </w:rPr>
        <w:t xml:space="preserve"> 201</w:t>
      </w:r>
      <w:r w:rsidR="0041488B">
        <w:rPr>
          <w:rStyle w:val="TextodstavceChar"/>
          <w:iCs/>
        </w:rPr>
        <w:t>8</w:t>
      </w:r>
      <w:r w:rsidRPr="009C077C">
        <w:rPr>
          <w:rStyle w:val="TextodstavceChar"/>
          <w:iCs/>
        </w:rPr>
        <w:t>.</w:t>
      </w:r>
    </w:p>
    <w:p w:rsidR="004B147F" w:rsidRPr="00B60E28" w:rsidRDefault="004B147F" w:rsidP="004B147F">
      <w:pPr>
        <w:rPr>
          <w:rStyle w:val="TextodstavceChar"/>
        </w:rPr>
      </w:pPr>
    </w:p>
    <w:p w:rsidR="004B147F" w:rsidRPr="00B60E28" w:rsidRDefault="004B147F" w:rsidP="004B147F">
      <w:pPr>
        <w:numPr>
          <w:ilvl w:val="0"/>
          <w:numId w:val="2"/>
        </w:numPr>
        <w:spacing w:after="120"/>
        <w:ind w:left="357"/>
        <w:rPr>
          <w:u w:val="single"/>
        </w:rPr>
      </w:pPr>
      <w:r w:rsidRPr="00B60E28">
        <w:rPr>
          <w:u w:val="single"/>
        </w:rPr>
        <w:t xml:space="preserve">Individuálně smluvně sjednaná složka úhrady </w:t>
      </w:r>
    </w:p>
    <w:p w:rsidR="004B147F" w:rsidRPr="00B60E28" w:rsidRDefault="004B147F" w:rsidP="004B147F">
      <w:pPr>
        <w:numPr>
          <w:ilvl w:val="1"/>
          <w:numId w:val="6"/>
        </w:numPr>
        <w:tabs>
          <w:tab w:val="clear" w:pos="717"/>
          <w:tab w:val="num" w:pos="851"/>
        </w:tabs>
        <w:spacing w:after="120"/>
        <w:ind w:left="851" w:hanging="494"/>
      </w:pPr>
      <w:r w:rsidRPr="00B60E28">
        <w:t>Výš</w:t>
      </w:r>
      <w:r w:rsidR="00446F38">
        <w:t>e</w:t>
      </w:r>
      <w:r w:rsidRPr="00B60E28">
        <w:t xml:space="preserve"> a způsob úhrady zdravotní</w:t>
      </w:r>
      <w:r w:rsidR="00446F38">
        <w:t>ch</w:t>
      </w:r>
      <w:r w:rsidRPr="00B60E28">
        <w:t xml:space="preserve"> </w:t>
      </w:r>
      <w:r w:rsidR="00446F38">
        <w:t>služeb</w:t>
      </w:r>
      <w:r w:rsidRPr="00B60E28">
        <w:t xml:space="preserve"> zařazen</w:t>
      </w:r>
      <w:r w:rsidR="00446F38">
        <w:t>ých</w:t>
      </w:r>
      <w:r w:rsidRPr="00B60E28">
        <w:t xml:space="preserve"> podle Klasifikace hospitalizovaných pacientů</w:t>
      </w:r>
      <w:r w:rsidRPr="00B60E28">
        <w:rPr>
          <w:rStyle w:val="Znakapoznpodarou"/>
        </w:rPr>
        <w:footnoteReference w:customMarkFollows="1" w:id="1"/>
        <w:t>4)</w:t>
      </w:r>
      <w:r w:rsidRPr="00B60E28">
        <w:t xml:space="preserve"> (dále jen „Klasifikace“) do </w:t>
      </w:r>
      <w:proofErr w:type="spellStart"/>
      <w:r w:rsidR="00953D96">
        <w:t>bazí</w:t>
      </w:r>
      <w:proofErr w:type="spellEnd"/>
    </w:p>
    <w:p w:rsidR="004B147F" w:rsidRPr="00F95769" w:rsidRDefault="004B147F" w:rsidP="004B147F">
      <w:pPr>
        <w:pStyle w:val="Textpsmene"/>
        <w:tabs>
          <w:tab w:val="clear" w:pos="425"/>
          <w:tab w:val="num" w:pos="1276"/>
        </w:tabs>
        <w:ind w:left="851" w:firstLine="1"/>
      </w:pPr>
      <w:bookmarkStart w:id="0" w:name="OLE_LINK3"/>
      <w:bookmarkStart w:id="1" w:name="OLE_LINK4"/>
      <w:r w:rsidRPr="00F95769">
        <w:t>0501,</w:t>
      </w:r>
      <w:bookmarkEnd w:id="0"/>
      <w:bookmarkEnd w:id="1"/>
      <w:r w:rsidRPr="00F95769">
        <w:t xml:space="preserve"> 0507, 051</w:t>
      </w:r>
      <w:r w:rsidR="0041488B">
        <w:t>1</w:t>
      </w:r>
      <w:r w:rsidRPr="00F95769">
        <w:t>, 051</w:t>
      </w:r>
      <w:r w:rsidR="0041488B">
        <w:t>6</w:t>
      </w:r>
      <w:r w:rsidRPr="00F95769">
        <w:t>,</w:t>
      </w:r>
      <w:r w:rsidR="0041488B">
        <w:t xml:space="preserve"> 0</w:t>
      </w:r>
      <w:r w:rsidR="0041488B" w:rsidRPr="00F95769">
        <w:t>522, 0523, 0524, 0526, 0527, 0528</w:t>
      </w:r>
    </w:p>
    <w:p w:rsidR="005C41C0" w:rsidRPr="006D64C2" w:rsidRDefault="00A611A1" w:rsidP="004B147F">
      <w:pPr>
        <w:pStyle w:val="Textpsmene"/>
        <w:tabs>
          <w:tab w:val="clear" w:pos="425"/>
          <w:tab w:val="num" w:pos="1276"/>
        </w:tabs>
        <w:ind w:left="851" w:firstLine="1"/>
      </w:pPr>
      <w:r>
        <w:rPr>
          <w:szCs w:val="24"/>
        </w:rPr>
        <w:t xml:space="preserve">0001, 0002, 0014, 0204, </w:t>
      </w:r>
      <w:r w:rsidR="0058120F" w:rsidRPr="00F95769">
        <w:t>0</w:t>
      </w:r>
      <w:r w:rsidR="006D64C2">
        <w:t>0802, 0804, 0818</w:t>
      </w:r>
      <w:r>
        <w:t>, 1101</w:t>
      </w:r>
    </w:p>
    <w:p w:rsidR="0058120F" w:rsidRPr="009F79DD" w:rsidRDefault="00F95769" w:rsidP="0058120F">
      <w:pPr>
        <w:pStyle w:val="Textodstavce"/>
        <w:numPr>
          <w:ilvl w:val="0"/>
          <w:numId w:val="0"/>
        </w:numPr>
        <w:ind w:left="425"/>
      </w:pPr>
      <w:r w:rsidRPr="0002264A">
        <w:t xml:space="preserve"> </w:t>
      </w:r>
      <w:r w:rsidR="00D46C97">
        <w:t xml:space="preserve">uvedených v Příloze </w:t>
      </w:r>
      <w:proofErr w:type="spellStart"/>
      <w:proofErr w:type="gramStart"/>
      <w:r w:rsidR="00D46C97">
        <w:t>č.</w:t>
      </w:r>
      <w:r w:rsidR="00B115C5">
        <w:t>x</w:t>
      </w:r>
      <w:proofErr w:type="spellEnd"/>
      <w:r w:rsidR="00D46C97">
        <w:t xml:space="preserve"> k této</w:t>
      </w:r>
      <w:proofErr w:type="gramEnd"/>
      <w:r w:rsidR="00D46C97">
        <w:t xml:space="preserve"> vyhlášce </w:t>
      </w:r>
      <w:r w:rsidR="0058120F" w:rsidRPr="0002264A">
        <w:t xml:space="preserve">(dále jen „vyjmenované </w:t>
      </w:r>
      <w:proofErr w:type="spellStart"/>
      <w:r w:rsidR="0058120F" w:rsidRPr="0002264A">
        <w:t>baze</w:t>
      </w:r>
      <w:proofErr w:type="spellEnd"/>
      <w:r w:rsidR="0058120F" w:rsidRPr="0002264A">
        <w:t>“)</w:t>
      </w:r>
      <w:r w:rsidR="0058120F" w:rsidRPr="009F79DD">
        <w:t xml:space="preserve"> </w:t>
      </w:r>
      <w:r w:rsidR="0058120F">
        <w:t>se sjedná ve smlouvě mezi zdravotní pojišťovnou a poskytovatelem</w:t>
      </w:r>
      <w:r w:rsidR="0058120F" w:rsidRPr="009F79DD">
        <w:t xml:space="preserve">. </w:t>
      </w:r>
      <w:r w:rsidR="0058120F">
        <w:t>I</w:t>
      </w:r>
      <w:r w:rsidR="0058120F" w:rsidRPr="009F79DD">
        <w:t>ndividuálně smluvně sjednaná složka úhrady může zahrnovat jiné hrazené služby, než je uvedeno ve větě první; v takovém případě se tato úhrada, stejně jako hrazené služby zařazené podle Klasifikace</w:t>
      </w:r>
      <w:r w:rsidR="0058120F" w:rsidRPr="009F79DD">
        <w:rPr>
          <w:rStyle w:val="Odkaznapoznpodarou"/>
        </w:rPr>
        <w:t>4)</w:t>
      </w:r>
      <w:r w:rsidR="0058120F" w:rsidRPr="009F79DD">
        <w:t xml:space="preserve"> do vyjmenovaných </w:t>
      </w:r>
      <w:proofErr w:type="spellStart"/>
      <w:r w:rsidR="0058120F">
        <w:t>bazí</w:t>
      </w:r>
      <w:proofErr w:type="spellEnd"/>
      <w:r w:rsidR="0058120F" w:rsidRPr="009F79DD">
        <w:t xml:space="preserve">, nezapočítávají do úhrady uvedené v bodě 3. </w:t>
      </w:r>
    </w:p>
    <w:p w:rsidR="0058120F" w:rsidRDefault="0058120F" w:rsidP="0058120F">
      <w:pPr>
        <w:pStyle w:val="Textodstavce"/>
        <w:numPr>
          <w:ilvl w:val="0"/>
          <w:numId w:val="0"/>
        </w:numPr>
        <w:ind w:left="425"/>
      </w:pPr>
      <w:r w:rsidRPr="0002264A">
        <w:t>Nedojde-li k dohodě o výši úhrady individuálně smluvně sjednané složky úhrady mezi poskytovatelem a zdravot</w:t>
      </w:r>
      <w:r>
        <w:t>ní pojišťovnou do 30. dubna 201</w:t>
      </w:r>
      <w:r w:rsidR="0041488B">
        <w:t>7</w:t>
      </w:r>
      <w:r w:rsidRPr="0002264A">
        <w:t xml:space="preserve">, zdravotní pojišťovna poskytne poskytovateli úhradu ve výši </w:t>
      </w:r>
      <m:oMath>
        <m:sSubSup>
          <m:sSubSupPr>
            <m:ctrlPr>
              <w:rPr>
                <w:rFonts w:ascii="Cambria Math" w:hAnsi="Cambria Math"/>
                <w:i/>
              </w:rPr>
            </m:ctrlPr>
          </m:sSubSupPr>
          <m:e>
            <m:r>
              <w:rPr>
                <w:rFonts w:ascii="Cambria Math" w:hAnsi="Cambria Math"/>
              </w:rPr>
              <m:t>ÚHR</m:t>
            </m:r>
          </m:e>
          <m:sub>
            <m:r>
              <w:rPr>
                <w:rFonts w:ascii="Cambria Math" w:hAnsi="Cambria Math"/>
              </w:rPr>
              <m:t xml:space="preserve"> zz</m:t>
            </m:r>
          </m:sub>
          <m:sup>
            <m:r>
              <w:rPr>
                <w:rFonts w:ascii="Cambria Math" w:hAnsi="Cambria Math"/>
              </w:rPr>
              <m:t>ho</m:t>
            </m:r>
          </m:sup>
        </m:sSubSup>
      </m:oMath>
      <w:r w:rsidRPr="0002264A">
        <w:t xml:space="preserve"> vypočtené</w:t>
      </w:r>
      <w:r w:rsidR="00E27661">
        <w:t xml:space="preserve"> </w:t>
      </w:r>
      <w:r w:rsidRPr="0002264A">
        <w:t>takto:</w:t>
      </w:r>
    </w:p>
    <w:p w:rsidR="0041488B" w:rsidRDefault="008B0B96" w:rsidP="0058120F">
      <w:pPr>
        <w:pStyle w:val="Textodstavce"/>
        <w:numPr>
          <w:ilvl w:val="0"/>
          <w:numId w:val="0"/>
        </w:numPr>
        <w:ind w:left="425"/>
      </w:pPr>
      <m:oMathPara>
        <m:oMath>
          <m:sSubSup>
            <m:sSubSupPr>
              <m:ctrlPr>
                <w:rPr>
                  <w:rFonts w:ascii="Cambria Math" w:hAnsi="Cambria Math"/>
                  <w:i/>
                </w:rPr>
              </m:ctrlPr>
            </m:sSubSupPr>
            <m:e>
              <m:r>
                <w:rPr>
                  <w:rFonts w:ascii="Cambria Math" w:hAnsi="Cambria Math"/>
                </w:rPr>
                <m:t>ÚHR</m:t>
              </m:r>
            </m:e>
            <m:sub>
              <m:r>
                <w:rPr>
                  <w:rFonts w:ascii="Cambria Math" w:hAnsi="Cambria Math"/>
                </w:rPr>
                <m:t xml:space="preserve"> zz</m:t>
              </m:r>
            </m:sub>
            <m:sup>
              <m:r>
                <w:rPr>
                  <w:rFonts w:ascii="Cambria Math" w:hAnsi="Cambria Math"/>
                </w:rPr>
                <m:t>ho</m:t>
              </m:r>
            </m:sup>
          </m:sSubSup>
          <m:r>
            <w:rPr>
              <w:rFonts w:ascii="Cambria Math" w:hAnsi="Cambria Math"/>
            </w:rPr>
            <m:t>=min</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ho</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2015</m:t>
                              </m:r>
                            </m:sup>
                          </m:sSubSup>
                        </m:num>
                        <m:den>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2015</m:t>
                              </m:r>
                            </m:sup>
                          </m:sSubSup>
                        </m:den>
                      </m:f>
                    </m:e>
                  </m:d>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2015</m:t>
                          </m:r>
                        </m:sup>
                      </m:sSubSup>
                    </m:e>
                  </m:d>
                </m:e>
              </m:nary>
            </m:e>
          </m:d>
          <m:r>
            <m:rPr>
              <m:sty m:val="p"/>
            </m:rPr>
            <w:rPr>
              <w:rFonts w:ascii="Cambria Math" w:hAnsi="Cambria Math"/>
            </w:rPr>
            <m:t>,</m:t>
          </m:r>
        </m:oMath>
      </m:oMathPara>
    </w:p>
    <w:p w:rsidR="0041488B" w:rsidRPr="004F7DDA" w:rsidRDefault="0041488B" w:rsidP="0058120F">
      <w:pPr>
        <w:pStyle w:val="Textodstavce"/>
        <w:numPr>
          <w:ilvl w:val="0"/>
          <w:numId w:val="0"/>
        </w:numPr>
        <w:ind w:left="425"/>
      </w:pPr>
    </w:p>
    <w:p w:rsidR="0058120F" w:rsidRPr="00F57D33" w:rsidRDefault="0058120F" w:rsidP="0058120F">
      <w:pPr>
        <w:pStyle w:val="Textodstavce"/>
        <w:numPr>
          <w:ilvl w:val="0"/>
          <w:numId w:val="0"/>
        </w:numPr>
        <w:ind w:left="425"/>
      </w:pPr>
      <w:r w:rsidRPr="00F57D33">
        <w:t>kde:</w:t>
      </w:r>
    </w:p>
    <w:p w:rsidR="0058120F" w:rsidRPr="00F57D33" w:rsidRDefault="008B0B96" w:rsidP="002B4EB3">
      <w:pPr>
        <w:pStyle w:val="Textodstavce"/>
        <w:numPr>
          <w:ilvl w:val="0"/>
          <w:numId w:val="0"/>
        </w:numPr>
        <w:tabs>
          <w:tab w:val="clear" w:pos="851"/>
          <w:tab w:val="left" w:pos="1418"/>
        </w:tabs>
        <w:ind w:left="1418" w:hanging="567"/>
      </w:pPr>
      <m:oMath>
        <m:sSubSup>
          <m:sSubSupPr>
            <m:ctrlPr>
              <w:rPr>
                <w:rFonts w:ascii="Cambria Math" w:hAnsi="Cambria Math"/>
                <w:i/>
              </w:rPr>
            </m:ctrlPr>
          </m:sSubSupPr>
          <m:e>
            <m:r>
              <w:rPr>
                <w:rFonts w:ascii="Cambria Math" w:hAnsi="Cambria Math"/>
              </w:rPr>
              <m:t>ÚHR</m:t>
            </m:r>
          </m:e>
          <m:sub>
            <m:r>
              <w:rPr>
                <w:rFonts w:ascii="Cambria Math" w:hAnsi="Cambria Math"/>
              </w:rPr>
              <m:t xml:space="preserve"> zz</m:t>
            </m:r>
          </m:sub>
          <m:sup>
            <m:r>
              <w:rPr>
                <w:rFonts w:ascii="Cambria Math" w:hAnsi="Cambria Math"/>
              </w:rPr>
              <m:t>ho</m:t>
            </m:r>
          </m:sup>
        </m:sSubSup>
      </m:oMath>
      <w:r w:rsidR="0058120F" w:rsidRPr="00F57D33">
        <w:tab/>
        <w:t>je maximální úhrada poskytovateli v hodnoceném období</w:t>
      </w:r>
    </w:p>
    <w:p w:rsidR="0058120F" w:rsidRDefault="0058120F" w:rsidP="002B4EB3">
      <w:pPr>
        <w:pStyle w:val="Textodstavce"/>
        <w:numPr>
          <w:ilvl w:val="0"/>
          <w:numId w:val="0"/>
        </w:numPr>
        <w:tabs>
          <w:tab w:val="clear" w:pos="851"/>
          <w:tab w:val="left" w:pos="1418"/>
        </w:tabs>
        <w:ind w:left="2124" w:hanging="1273"/>
      </w:pPr>
      <w:r w:rsidRPr="00F57D33">
        <w:fldChar w:fldCharType="begin"/>
      </w:r>
      <w:r w:rsidRPr="00F57D33">
        <w:instrText xml:space="preserve"> QUOTE </w:instrText>
      </w:r>
      <w:r w:rsidR="004F7DDA">
        <w:rPr>
          <w:noProof/>
        </w:rPr>
        <w:drawing>
          <wp:inline distT="0" distB="0" distL="0" distR="0">
            <wp:extent cx="342900" cy="190500"/>
            <wp:effectExtent l="0" t="0" r="0" b="0"/>
            <wp:docPr id="6"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sidRPr="00F57D33">
        <w:instrText xml:space="preserve"> </w:instrText>
      </w:r>
      <w:r w:rsidRPr="00F57D33">
        <w:fldChar w:fldCharType="end"/>
      </w:r>
      <m:oMath>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ho</m:t>
            </m:r>
          </m:sup>
        </m:sSubSup>
      </m:oMath>
      <w:r w:rsidRPr="00F57D33">
        <w:tab/>
        <w:t xml:space="preserve">je počet případů u daného poskytovatele ve vyjmenované bazi v hodnoceném období, kde </w:t>
      </w:r>
      <w:r w:rsidRPr="00F57D33">
        <w:rPr>
          <w:i/>
        </w:rPr>
        <w:t xml:space="preserve">i </w:t>
      </w:r>
      <w:r w:rsidRPr="00F57D33">
        <w:t xml:space="preserve">= 1 až n, kde n je počet vyjmenovaných </w:t>
      </w:r>
      <w:proofErr w:type="spellStart"/>
      <w:r w:rsidRPr="00F57D33">
        <w:t>bazí</w:t>
      </w:r>
      <w:proofErr w:type="spellEnd"/>
    </w:p>
    <w:p w:rsidR="0058120F" w:rsidRPr="00F57D33" w:rsidRDefault="0058120F" w:rsidP="002B4EB3">
      <w:pPr>
        <w:pStyle w:val="Textodstavce"/>
        <w:numPr>
          <w:ilvl w:val="0"/>
          <w:numId w:val="0"/>
        </w:numPr>
        <w:tabs>
          <w:tab w:val="clear" w:pos="851"/>
          <w:tab w:val="left" w:pos="1418"/>
        </w:tabs>
        <w:ind w:left="2124" w:hanging="1273"/>
      </w:pPr>
      <w:r w:rsidRPr="00F57D33">
        <w:fldChar w:fldCharType="begin"/>
      </w:r>
      <w:r w:rsidRPr="00F57D33">
        <w:instrText xml:space="preserve"> QUOTE </w:instrText>
      </w:r>
      <w:r w:rsidR="004F7DDA">
        <w:rPr>
          <w:noProof/>
        </w:rPr>
        <w:drawing>
          <wp:inline distT="0" distB="0" distL="0" distR="0">
            <wp:extent cx="504825" cy="209550"/>
            <wp:effectExtent l="0" t="0" r="9525" b="0"/>
            <wp:docPr id="9"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825" cy="209550"/>
                    </a:xfrm>
                    <a:prstGeom prst="rect">
                      <a:avLst/>
                    </a:prstGeom>
                    <a:noFill/>
                    <a:ln>
                      <a:noFill/>
                    </a:ln>
                  </pic:spPr>
                </pic:pic>
              </a:graphicData>
            </a:graphic>
          </wp:inline>
        </w:drawing>
      </w:r>
      <w:r w:rsidRPr="00F57D33">
        <w:instrText xml:space="preserve"> </w:instrText>
      </w:r>
      <w:r w:rsidRPr="00F57D33">
        <w:fldChar w:fldCharType="end"/>
      </w:r>
      <w:r w:rsidR="00F57D33" w:rsidRPr="00F57D33">
        <w:fldChar w:fldCharType="begin"/>
      </w:r>
      <w:r w:rsidR="00F57D33" w:rsidRPr="00F57D33">
        <w:instrText xml:space="preserve"> QUOTE </w:instrText>
      </w:r>
      <m:oMath>
        <m:sSubSup>
          <m:sSubSupPr>
            <m:ctrlPr>
              <w:rPr>
                <w:rFonts w:ascii="Cambria Math" w:hAnsi="Cambria Math"/>
                <w:i/>
              </w:rPr>
            </m:ctrlPr>
          </m:sSubSupPr>
          <m:e>
            <m:r>
              <m:rPr>
                <m:sty m:val="p"/>
              </m:rPr>
              <w:rPr>
                <w:rFonts w:ascii="Cambria Math" w:hAnsi="Cambria Math"/>
              </w:rPr>
              <m:t>ÚHR</m:t>
            </m:r>
          </m:e>
          <m:sub>
            <m:r>
              <m:rPr>
                <m:sty m:val="p"/>
              </m:rPr>
              <w:rPr>
                <w:rFonts w:ascii="Cambria Math" w:hAnsi="Cambria Math"/>
              </w:rPr>
              <m:t>i, zz</m:t>
            </m:r>
          </m:sub>
          <m:sup>
            <m:r>
              <m:rPr>
                <m:sty m:val="p"/>
              </m:rPr>
              <w:rPr>
                <w:rFonts w:ascii="Cambria Math" w:hAnsi="Cambria Math"/>
              </w:rPr>
              <m:t>2013</m:t>
            </m:r>
          </m:sup>
        </m:sSubSup>
      </m:oMath>
      <w:r w:rsidR="00F57D33" w:rsidRPr="00F57D33">
        <w:instrText xml:space="preserve"> </w:instrText>
      </w:r>
      <w:r w:rsidR="00F57D33" w:rsidRPr="00F57D33">
        <w:fldChar w:fldCharType="separate"/>
      </w:r>
      <m:oMath>
        <m:sSubSup>
          <m:sSubSupPr>
            <m:ctrlPr>
              <w:rPr>
                <w:rFonts w:ascii="Cambria Math" w:eastAsia="Calibri" w:hAnsi="Cambria Math"/>
                <w:i/>
                <w:sz w:val="22"/>
                <w:szCs w:val="22"/>
                <w:lang w:eastAsia="en-US"/>
              </w:rPr>
            </m:ctrlPr>
          </m:sSubSupPr>
          <m:e>
            <m:r>
              <m:rPr>
                <m:sty m:val="p"/>
              </m:rPr>
              <w:rPr>
                <w:rFonts w:ascii="Cambria Math" w:hAnsi="Cambria Math"/>
              </w:rPr>
              <m:t>ÚHR</m:t>
            </m:r>
          </m:e>
          <m:sub>
            <m:r>
              <m:rPr>
                <m:sty m:val="p"/>
              </m:rPr>
              <w:rPr>
                <w:rFonts w:ascii="Cambria Math" w:hAnsi="Cambria Math"/>
              </w:rPr>
              <m:t>i,zz</m:t>
            </m:r>
          </m:sub>
          <m:sup>
            <m:r>
              <m:rPr>
                <m:sty m:val="p"/>
              </m:rPr>
              <w:rPr>
                <w:rFonts w:ascii="Cambria Math" w:hAnsi="Cambria Math"/>
              </w:rPr>
              <m:t>2015</m:t>
            </m:r>
          </m:sup>
        </m:sSubSup>
      </m:oMath>
      <w:r w:rsidR="00F57D33" w:rsidRPr="00F57D33">
        <w:fldChar w:fldCharType="end"/>
      </w:r>
      <w:r w:rsidRPr="00F57D33">
        <w:tab/>
        <w:t>je celková úhrada poskytovateli za vyjmenovanou bazi v roce 201</w:t>
      </w:r>
      <w:r w:rsidR="005E2090">
        <w:t>5</w:t>
      </w:r>
      <w:r w:rsidRPr="00F57D33">
        <w:t xml:space="preserve">, kde </w:t>
      </w:r>
      <w:r w:rsidRPr="00F57D33">
        <w:rPr>
          <w:i/>
        </w:rPr>
        <w:t>i</w:t>
      </w:r>
      <w:r w:rsidRPr="00F57D33">
        <w:t xml:space="preserve"> = 1 až n, kde n je počet vyjmenovaných </w:t>
      </w:r>
      <w:proofErr w:type="spellStart"/>
      <w:r w:rsidRPr="00F57D33">
        <w:t>bazí</w:t>
      </w:r>
      <w:proofErr w:type="spellEnd"/>
    </w:p>
    <w:p w:rsidR="0058120F" w:rsidRPr="00F57D33" w:rsidRDefault="0058120F" w:rsidP="002B4EB3">
      <w:pPr>
        <w:pStyle w:val="Textodstavce"/>
        <w:numPr>
          <w:ilvl w:val="0"/>
          <w:numId w:val="0"/>
        </w:numPr>
        <w:tabs>
          <w:tab w:val="clear" w:pos="851"/>
          <w:tab w:val="left" w:pos="1418"/>
        </w:tabs>
        <w:ind w:left="2124" w:hanging="1273"/>
      </w:pPr>
      <w:r w:rsidRPr="00F57D33">
        <w:fldChar w:fldCharType="begin"/>
      </w:r>
      <w:r w:rsidRPr="00F57D33">
        <w:instrText xml:space="preserve"> QUOTE </w:instrText>
      </w:r>
      <w:r w:rsidR="004F7DDA">
        <w:rPr>
          <w:noProof/>
        </w:rPr>
        <w:drawing>
          <wp:inline distT="0" distB="0" distL="0" distR="0">
            <wp:extent cx="390525" cy="219075"/>
            <wp:effectExtent l="0" t="0" r="9525" b="9525"/>
            <wp:docPr id="13"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F57D33">
        <w:instrText xml:space="preserve"> </w:instrText>
      </w:r>
      <w:r w:rsidRPr="00F57D33">
        <w:fldChar w:fldCharType="end"/>
      </w:r>
      <m:oMath>
        <m:sSubSup>
          <m:sSubSupPr>
            <m:ctrlPr>
              <w:rPr>
                <w:rFonts w:ascii="Cambria Math" w:eastAsia="Calibri" w:hAnsi="Cambria Math"/>
                <w:i/>
                <w:sz w:val="22"/>
                <w:szCs w:val="22"/>
                <w:lang w:eastAsia="en-US"/>
              </w:rPr>
            </m:ctrlPr>
          </m:sSubSupPr>
          <m:e>
            <m:r>
              <w:rPr>
                <w:rFonts w:ascii="Cambria Math" w:hAnsi="Cambria Math"/>
              </w:rPr>
              <m:t>PP</m:t>
            </m:r>
          </m:e>
          <m:sub>
            <m:r>
              <w:rPr>
                <w:rFonts w:ascii="Cambria Math" w:hAnsi="Cambria Math"/>
              </w:rPr>
              <m:t>i,zz</m:t>
            </m:r>
          </m:sub>
          <m:sup>
            <m:r>
              <w:rPr>
                <w:rFonts w:ascii="Cambria Math" w:hAnsi="Cambria Math"/>
              </w:rPr>
              <m:t>2015</m:t>
            </m:r>
          </m:sup>
        </m:sSubSup>
      </m:oMath>
      <w:r w:rsidRPr="00F57D33">
        <w:tab/>
        <w:t>je počet případů u daného poskytovatele ve vyjmenované bazi v roce 201</w:t>
      </w:r>
      <w:r w:rsidR="000554DB">
        <w:t>5</w:t>
      </w:r>
      <w:r w:rsidRPr="00F57D33">
        <w:t xml:space="preserve"> kde </w:t>
      </w:r>
      <w:r w:rsidRPr="00F57D33">
        <w:rPr>
          <w:i/>
        </w:rPr>
        <w:t>i</w:t>
      </w:r>
      <w:r w:rsidRPr="00F57D33">
        <w:t xml:space="preserve"> = 1 až n, kde n je počet vyjmenovaných </w:t>
      </w:r>
      <w:proofErr w:type="spellStart"/>
      <w:r w:rsidRPr="00F57D33">
        <w:t>bazí</w:t>
      </w:r>
      <w:proofErr w:type="spellEnd"/>
      <w:r w:rsidRPr="00F57D33">
        <w:fldChar w:fldCharType="begin"/>
      </w:r>
      <w:r w:rsidRPr="00F57D33">
        <w:instrText xml:space="preserve"> QUOTE </w:instrText>
      </w:r>
      <w:r w:rsidR="004F7DDA">
        <w:rPr>
          <w:noProof/>
        </w:rPr>
        <w:drawing>
          <wp:inline distT="0" distB="0" distL="0" distR="0">
            <wp:extent cx="266700" cy="171450"/>
            <wp:effectExtent l="0" t="0" r="0" b="0"/>
            <wp:docPr id="16"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sidRPr="00F57D33">
        <w:instrText xml:space="preserve"> </w:instrText>
      </w:r>
      <w:r w:rsidRPr="00F57D33">
        <w:fldChar w:fldCharType="end"/>
      </w:r>
    </w:p>
    <w:p w:rsidR="0058120F" w:rsidRPr="00F57D33" w:rsidRDefault="0058120F" w:rsidP="002B4EB3">
      <w:pPr>
        <w:pStyle w:val="Textodstavce"/>
        <w:numPr>
          <w:ilvl w:val="0"/>
          <w:numId w:val="0"/>
        </w:numPr>
        <w:tabs>
          <w:tab w:val="clear" w:pos="851"/>
          <w:tab w:val="left" w:pos="1418"/>
        </w:tabs>
        <w:ind w:left="1418" w:hanging="567"/>
      </w:pPr>
      <w:r w:rsidRPr="00F57D33">
        <w:lastRenderedPageBreak/>
        <w:t xml:space="preserve">min </w:t>
      </w:r>
      <w:r w:rsidRPr="00F57D33">
        <w:tab/>
      </w:r>
      <w:r w:rsidR="002B4EB3" w:rsidRPr="00F57D33">
        <w:tab/>
      </w:r>
      <w:r w:rsidRPr="00F57D33">
        <w:t>je funkce minimum, která vybere z oboru hodnot hodnotu nejnižší</w:t>
      </w:r>
    </w:p>
    <w:p w:rsidR="00D46C97" w:rsidRPr="00B60E28" w:rsidRDefault="00D46C97" w:rsidP="004B147F">
      <w:pPr>
        <w:ind w:left="426"/>
      </w:pPr>
    </w:p>
    <w:p w:rsidR="00865F52" w:rsidRPr="00ED4855" w:rsidRDefault="00F374EA" w:rsidP="00F374EA">
      <w:pPr>
        <w:numPr>
          <w:ilvl w:val="1"/>
          <w:numId w:val="6"/>
        </w:numPr>
      </w:pPr>
      <w:r w:rsidRPr="0002264A">
        <w:t>Výše úhrad léčivých přípravků a potravin pro zvláštní lékařské účely (dále jen „léčivý přípravek“) označených symbolem „S“ podle § 39 odst. 1 vyhlášky č. 376/2011 Sb., kterou se provádějí některá ustanovení zákona o veřejném zdravotním pojištění, se stanoví podle poskytovatelem vykázan</w:t>
      </w:r>
      <w:r w:rsidR="00853F00">
        <w:t>ých</w:t>
      </w:r>
      <w:r w:rsidRPr="0002264A">
        <w:t xml:space="preserve"> a </w:t>
      </w:r>
      <w:r w:rsidRPr="0002264A">
        <w:rPr>
          <w:rStyle w:val="TextodstavceChar"/>
        </w:rPr>
        <w:t>zdravotní pojišťovnou uznan</w:t>
      </w:r>
      <w:r w:rsidR="00853F00">
        <w:rPr>
          <w:rStyle w:val="TextodstavceChar"/>
        </w:rPr>
        <w:t>ých</w:t>
      </w:r>
      <w:r w:rsidRPr="0002264A">
        <w:rPr>
          <w:rStyle w:val="TextodstavceChar"/>
        </w:rPr>
        <w:t xml:space="preserve"> </w:t>
      </w:r>
      <w:r w:rsidRPr="0002264A">
        <w:t>léčiv</w:t>
      </w:r>
      <w:r w:rsidR="00853F00">
        <w:t>ých</w:t>
      </w:r>
      <w:r w:rsidRPr="0002264A">
        <w:t xml:space="preserve"> přípravk</w:t>
      </w:r>
      <w:r w:rsidR="00853F00">
        <w:t>ů</w:t>
      </w:r>
      <w:r w:rsidRPr="0002264A">
        <w:t xml:space="preserve">, maximálně však </w:t>
      </w:r>
      <w:r w:rsidR="00853F00">
        <w:t>do</w:t>
      </w:r>
      <w:r w:rsidRPr="0002264A">
        <w:t xml:space="preserve"> </w:t>
      </w:r>
      <w:r w:rsidR="00853F00">
        <w:t xml:space="preserve">celkové </w:t>
      </w:r>
      <w:r w:rsidRPr="00ED4855">
        <w:t>výš</w:t>
      </w:r>
      <w:r w:rsidR="00853F00" w:rsidRPr="00ED4855">
        <w:t>e</w:t>
      </w:r>
      <w:r w:rsidRPr="00ED4855">
        <w:t xml:space="preserve"> </w:t>
      </w:r>
      <w:r w:rsidR="00853F00" w:rsidRPr="00ED4855">
        <w:t>106 % úhrady náležející poskytovateli za tyto léčivé přípravky v roce 201</w:t>
      </w:r>
      <w:r w:rsidR="000554DB">
        <w:t>6</w:t>
      </w:r>
      <w:r w:rsidR="00865F52" w:rsidRPr="00ED4855">
        <w:t xml:space="preserve"> s výjimkou následujících onemocnění</w:t>
      </w:r>
    </w:p>
    <w:p w:rsidR="00865F52" w:rsidRPr="00ED4855" w:rsidRDefault="00865F52" w:rsidP="00865F52">
      <w:pPr>
        <w:ind w:left="717"/>
      </w:pPr>
    </w:p>
    <w:p w:rsidR="00ED4855" w:rsidRPr="00ED4855" w:rsidRDefault="00ED4855" w:rsidP="00ED4855">
      <w:pPr>
        <w:numPr>
          <w:ilvl w:val="4"/>
          <w:numId w:val="6"/>
        </w:numPr>
      </w:pPr>
      <w:proofErr w:type="spellStart"/>
      <w:r w:rsidRPr="00ED4855">
        <w:t>Fabryho</w:t>
      </w:r>
      <w:proofErr w:type="spellEnd"/>
      <w:r w:rsidRPr="00ED4855">
        <w:t xml:space="preserve">  choroba,</w:t>
      </w:r>
    </w:p>
    <w:p w:rsidR="00ED4855" w:rsidRPr="00ED4855" w:rsidRDefault="00ED4855" w:rsidP="00ED4855">
      <w:pPr>
        <w:numPr>
          <w:ilvl w:val="4"/>
          <w:numId w:val="6"/>
        </w:numPr>
      </w:pPr>
      <w:proofErr w:type="spellStart"/>
      <w:r w:rsidRPr="00ED4855">
        <w:t>Gaucherova</w:t>
      </w:r>
      <w:proofErr w:type="spellEnd"/>
      <w:r w:rsidRPr="00ED4855">
        <w:t xml:space="preserve"> choroba,</w:t>
      </w:r>
    </w:p>
    <w:p w:rsidR="00ED4855" w:rsidRPr="00ED4855" w:rsidRDefault="00ED4855" w:rsidP="00ED4855">
      <w:pPr>
        <w:numPr>
          <w:ilvl w:val="4"/>
          <w:numId w:val="6"/>
        </w:numPr>
      </w:pPr>
      <w:proofErr w:type="spellStart"/>
      <w:r w:rsidRPr="00ED4855">
        <w:t>Niemen</w:t>
      </w:r>
      <w:proofErr w:type="spellEnd"/>
      <w:r w:rsidRPr="00ED4855">
        <w:t>-Pickova choroba,</w:t>
      </w:r>
    </w:p>
    <w:p w:rsidR="00ED4855" w:rsidRPr="00ED4855" w:rsidRDefault="00ED4855" w:rsidP="00ED4855">
      <w:pPr>
        <w:numPr>
          <w:ilvl w:val="4"/>
          <w:numId w:val="6"/>
        </w:numPr>
      </w:pPr>
      <w:proofErr w:type="spellStart"/>
      <w:r w:rsidRPr="00ED4855">
        <w:t>Mukopolysacharidóza</w:t>
      </w:r>
      <w:proofErr w:type="spellEnd"/>
      <w:r w:rsidRPr="00ED4855">
        <w:t xml:space="preserve"> I,</w:t>
      </w:r>
    </w:p>
    <w:p w:rsidR="00ED4855" w:rsidRPr="00ED4855" w:rsidRDefault="00ED4855" w:rsidP="00ED4855">
      <w:pPr>
        <w:numPr>
          <w:ilvl w:val="4"/>
          <w:numId w:val="6"/>
        </w:numPr>
      </w:pPr>
      <w:proofErr w:type="spellStart"/>
      <w:r w:rsidRPr="00ED4855">
        <w:t>Mukopolysacharidóza</w:t>
      </w:r>
      <w:proofErr w:type="spellEnd"/>
      <w:r w:rsidRPr="00ED4855">
        <w:t xml:space="preserve"> II,</w:t>
      </w:r>
    </w:p>
    <w:p w:rsidR="00ED4855" w:rsidRPr="00ED4855" w:rsidRDefault="00ED4855" w:rsidP="00ED4855">
      <w:pPr>
        <w:numPr>
          <w:ilvl w:val="4"/>
          <w:numId w:val="6"/>
        </w:numPr>
      </w:pPr>
      <w:proofErr w:type="spellStart"/>
      <w:r w:rsidRPr="00ED4855">
        <w:t>Mukopolysacharidóza</w:t>
      </w:r>
      <w:proofErr w:type="spellEnd"/>
      <w:r w:rsidRPr="00ED4855">
        <w:t xml:space="preserve"> VI,</w:t>
      </w:r>
    </w:p>
    <w:p w:rsidR="00ED4855" w:rsidRPr="00ED4855" w:rsidRDefault="00ED4855" w:rsidP="00ED4855">
      <w:pPr>
        <w:numPr>
          <w:ilvl w:val="4"/>
          <w:numId w:val="6"/>
        </w:numPr>
      </w:pPr>
      <w:proofErr w:type="spellStart"/>
      <w:r w:rsidRPr="00ED4855">
        <w:t>Pompeho</w:t>
      </w:r>
      <w:proofErr w:type="spellEnd"/>
      <w:r w:rsidRPr="00ED4855">
        <w:t xml:space="preserve"> choroba,</w:t>
      </w:r>
    </w:p>
    <w:p w:rsidR="00ED4855" w:rsidRPr="00ED4855" w:rsidRDefault="00ED4855" w:rsidP="00ED4855">
      <w:pPr>
        <w:numPr>
          <w:ilvl w:val="4"/>
          <w:numId w:val="6"/>
        </w:numPr>
      </w:pPr>
      <w:proofErr w:type="spellStart"/>
      <w:r w:rsidRPr="00ED4855">
        <w:t>Hyperamonemie</w:t>
      </w:r>
      <w:proofErr w:type="spellEnd"/>
      <w:r w:rsidRPr="00ED4855">
        <w:t xml:space="preserve"> u dětí s dědičnou poruchou metabolismu urey a </w:t>
      </w:r>
      <w:proofErr w:type="spellStart"/>
      <w:r w:rsidRPr="00ED4855">
        <w:t>glutaminu</w:t>
      </w:r>
      <w:proofErr w:type="spellEnd"/>
      <w:r w:rsidRPr="00ED4855">
        <w:t xml:space="preserve"> a</w:t>
      </w:r>
    </w:p>
    <w:p w:rsidR="00ED4855" w:rsidRPr="00ED4855" w:rsidRDefault="00ED4855" w:rsidP="00ED4855">
      <w:pPr>
        <w:numPr>
          <w:ilvl w:val="4"/>
          <w:numId w:val="6"/>
        </w:numPr>
      </w:pPr>
      <w:r w:rsidRPr="00ED4855">
        <w:t xml:space="preserve">Dědičná </w:t>
      </w:r>
      <w:proofErr w:type="spellStart"/>
      <w:r w:rsidRPr="00ED4855">
        <w:t>tyrozinemie</w:t>
      </w:r>
      <w:proofErr w:type="spellEnd"/>
      <w:r w:rsidRPr="00ED4855">
        <w:t xml:space="preserve"> typu I,</w:t>
      </w:r>
    </w:p>
    <w:p w:rsidR="00865F52" w:rsidRPr="00ED4855" w:rsidRDefault="00865F52" w:rsidP="00865F52">
      <w:pPr>
        <w:ind w:left="717"/>
      </w:pPr>
    </w:p>
    <w:p w:rsidR="00F374EA" w:rsidRPr="0002264A" w:rsidRDefault="00865F52" w:rsidP="00865F52">
      <w:pPr>
        <w:ind w:left="717"/>
      </w:pPr>
      <w:r w:rsidRPr="00ED4855">
        <w:t xml:space="preserve">které budou hrazeny po předchozím souhlasu zdravotní pojišťovny a nebudou započítávány do </w:t>
      </w:r>
      <w:r w:rsidR="00ED4855">
        <w:t>celkové výše úhrady</w:t>
      </w:r>
      <w:r w:rsidR="00C40182">
        <w:t xml:space="preserve"> </w:t>
      </w:r>
      <w:r w:rsidR="00C40182" w:rsidRPr="00ED4855">
        <w:t>náležející poskytovateli</w:t>
      </w:r>
      <w:r w:rsidR="00C40182">
        <w:t xml:space="preserve"> za </w:t>
      </w:r>
      <w:r w:rsidR="00C40182" w:rsidRPr="0002264A">
        <w:t>léčiv</w:t>
      </w:r>
      <w:r w:rsidR="00C40182">
        <w:t>é přípravky</w:t>
      </w:r>
      <w:r w:rsidR="00541277">
        <w:t xml:space="preserve"> </w:t>
      </w:r>
      <w:r w:rsidR="00541277" w:rsidRPr="0002264A">
        <w:t>označených symbolem „S“</w:t>
      </w:r>
      <w:r w:rsidRPr="00ED4855">
        <w:t>.</w:t>
      </w:r>
    </w:p>
    <w:p w:rsidR="00F374EA" w:rsidRPr="0002264A" w:rsidRDefault="00F374EA" w:rsidP="00F374EA">
      <w:pPr>
        <w:ind w:left="717"/>
      </w:pPr>
    </w:p>
    <w:p w:rsidR="00F374EA" w:rsidRDefault="00F374EA" w:rsidP="00853F00">
      <w:pPr>
        <w:ind w:left="709"/>
      </w:pPr>
      <w:r w:rsidRPr="00BA2F81">
        <w:t>Do celkového limitu úhrady se započítávají i léčivé přípravky předepsané v referenčním období na recept v případě, že v hodnoceném období jsou tyto léčivé přípravky vykazovány jako zvlášť účtované léčivé přípravky a současně pokud v hodnoceném období dále splňují podmínky pro léčivé přípravky označené symbolem</w:t>
      </w:r>
      <w:r w:rsidRPr="0002264A">
        <w:t xml:space="preserve"> „S“ podle vyhlášky</w:t>
      </w:r>
      <w:r>
        <w:t xml:space="preserve"> č. 376/2011 Sb.</w:t>
      </w:r>
    </w:p>
    <w:p w:rsidR="00F374EA" w:rsidRDefault="00F374EA" w:rsidP="00F374EA">
      <w:pPr>
        <w:pStyle w:val="Odstavecseseznamem"/>
      </w:pPr>
    </w:p>
    <w:p w:rsidR="00E95A40" w:rsidRPr="00E95A40" w:rsidRDefault="00E95A40" w:rsidP="007806A0">
      <w:pPr>
        <w:pStyle w:val="Textbodu"/>
        <w:numPr>
          <w:ilvl w:val="0"/>
          <w:numId w:val="8"/>
        </w:numPr>
        <w:spacing w:after="120"/>
      </w:pPr>
      <w:r>
        <w:rPr>
          <w:u w:val="single"/>
        </w:rPr>
        <w:t>Hospitalizační složka úhrady</w:t>
      </w:r>
      <w:r w:rsidR="002B660F">
        <w:t xml:space="preserve"> </w:t>
      </w:r>
    </w:p>
    <w:p w:rsidR="00C3282A" w:rsidRDefault="007806A0" w:rsidP="00110670">
      <w:pPr>
        <w:pStyle w:val="Textbodu"/>
        <w:numPr>
          <w:ilvl w:val="0"/>
          <w:numId w:val="0"/>
        </w:numPr>
        <w:spacing w:after="120"/>
        <w:ind w:left="142"/>
      </w:pPr>
      <w:r w:rsidRPr="004677C7">
        <w:rPr>
          <w:u w:val="single"/>
        </w:rPr>
        <w:t>Úhrada formou případového paušálu</w:t>
      </w:r>
      <w:r w:rsidRPr="0094731E">
        <w:t xml:space="preserve"> (PU</w:t>
      </w:r>
      <w:r w:rsidRPr="00E95A40">
        <w:rPr>
          <w:vertAlign w:val="subscript"/>
        </w:rPr>
        <w:t>drg201</w:t>
      </w:r>
      <w:r w:rsidR="004C7E13">
        <w:rPr>
          <w:vertAlign w:val="subscript"/>
        </w:rPr>
        <w:t>7</w:t>
      </w:r>
      <w:r w:rsidRPr="0094731E">
        <w:t>) zahrnuje hrazené služby zařazené podle Klasifikace do skupin vztažených k diagnóze uvedených v </w:t>
      </w:r>
      <w:r w:rsidRPr="00E95A40">
        <w:rPr>
          <w:szCs w:val="24"/>
        </w:rPr>
        <w:t xml:space="preserve">příloze č. </w:t>
      </w:r>
      <w:r w:rsidR="00C3282A" w:rsidRPr="00E95A40">
        <w:rPr>
          <w:szCs w:val="24"/>
        </w:rPr>
        <w:t>…. k</w:t>
      </w:r>
      <w:r w:rsidRPr="00E95A40">
        <w:rPr>
          <w:szCs w:val="24"/>
        </w:rPr>
        <w:t xml:space="preserve"> vyhlášce  a</w:t>
      </w:r>
      <w:r w:rsidRPr="0094731E">
        <w:t> stanoví se takto:</w:t>
      </w:r>
    </w:p>
    <w:p w:rsidR="00110670" w:rsidRDefault="00110670" w:rsidP="00110670">
      <w:pPr>
        <w:pStyle w:val="Textbodu"/>
        <w:numPr>
          <w:ilvl w:val="0"/>
          <w:numId w:val="0"/>
        </w:numPr>
        <w:spacing w:after="120"/>
        <w:ind w:left="709" w:hanging="567"/>
      </w:pPr>
      <w:r w:rsidRPr="00110670">
        <w:t>3.1.</w:t>
      </w:r>
      <w:r w:rsidRPr="00110670">
        <w:tab/>
      </w:r>
      <w:r>
        <w:t>Případy hospitalizací se při výpočtu CM</w:t>
      </w:r>
      <w:r>
        <w:rPr>
          <w:vertAlign w:val="subscript"/>
        </w:rPr>
        <w:t>201</w:t>
      </w:r>
      <w:r w:rsidR="004F7DDA">
        <w:rPr>
          <w:vertAlign w:val="subscript"/>
        </w:rPr>
        <w:t>7</w:t>
      </w:r>
      <w:r>
        <w:t xml:space="preserve"> a CM</w:t>
      </w:r>
      <w:r>
        <w:rPr>
          <w:vertAlign w:val="subscript"/>
        </w:rPr>
        <w:t>201</w:t>
      </w:r>
      <w:r w:rsidR="004F7DDA">
        <w:rPr>
          <w:vertAlign w:val="subscript"/>
        </w:rPr>
        <w:t>5</w:t>
      </w:r>
      <w:r>
        <w:t xml:space="preserve"> rozumí případy hospitalizací přepočtené podle pravidel pro Klasifikaci a sestavování případů hospitalizací platných v roce 201</w:t>
      </w:r>
      <w:r w:rsidR="004F7DDA">
        <w:t>7</w:t>
      </w:r>
      <w:r>
        <w:t>.</w:t>
      </w:r>
    </w:p>
    <w:p w:rsidR="00110670" w:rsidRDefault="00110670" w:rsidP="00110670">
      <w:pPr>
        <w:pStyle w:val="Textbodu"/>
        <w:numPr>
          <w:ilvl w:val="0"/>
          <w:numId w:val="0"/>
        </w:numPr>
        <w:spacing w:after="120"/>
        <w:ind w:left="709" w:hanging="567"/>
      </w:pPr>
      <w:r>
        <w:t>3.2.</w:t>
      </w:r>
      <w:r>
        <w:tab/>
        <w:t xml:space="preserve">Léčivé přípravky vyjmuté z platby případovým paušálem a uvedené v příloze č. …… k vyhlášce uhradí zdravotní pojišťovna poskytovateli ve výši </w:t>
      </w:r>
      <w:r w:rsidR="00A256CA">
        <w:t>dle platného číselníku.</w:t>
      </w:r>
    </w:p>
    <w:p w:rsidR="00110670" w:rsidRPr="00110670" w:rsidRDefault="00110670" w:rsidP="00110670">
      <w:pPr>
        <w:pStyle w:val="Textbodu"/>
        <w:numPr>
          <w:ilvl w:val="0"/>
          <w:numId w:val="0"/>
        </w:numPr>
        <w:spacing w:after="120"/>
        <w:ind w:left="709" w:hanging="567"/>
      </w:pPr>
      <w:r>
        <w:t>3.3.</w:t>
      </w:r>
      <w:r>
        <w:tab/>
        <w:t>Úhrada formou případového paušálu se spočte následovně:</w:t>
      </w:r>
    </w:p>
    <w:p w:rsidR="007806A0" w:rsidRPr="004F7DDA" w:rsidRDefault="008B0B96" w:rsidP="007806A0">
      <w:pPr>
        <w:pStyle w:val="Textbodu"/>
        <w:numPr>
          <w:ilvl w:val="0"/>
          <w:numId w:val="0"/>
        </w:numPr>
        <w:ind w:left="426"/>
      </w:pPr>
      <m:oMathPara>
        <m:oMath>
          <m:sSub>
            <m:sSubPr>
              <m:ctrlPr>
                <w:rPr>
                  <w:rFonts w:ascii="Cambria Math" w:hAnsi="Cambria Math"/>
                  <w:i/>
                  <w:sz w:val="22"/>
                  <w:szCs w:val="22"/>
                  <w:lang w:eastAsia="en-US"/>
                </w:rPr>
              </m:ctrlPr>
            </m:sSubPr>
            <m:e>
              <m:r>
                <w:rPr>
                  <w:rFonts w:ascii="Cambria Math" w:hAnsi="Cambria Math"/>
                </w:rPr>
                <m:t>CELK PU</m:t>
              </m:r>
            </m:e>
            <m:sub>
              <m:r>
                <w:rPr>
                  <w:rFonts w:ascii="Cambria Math" w:hAnsi="Cambria Math"/>
                </w:rPr>
                <m:t>drg,2017</m:t>
              </m:r>
            </m:sub>
          </m:sSub>
          <m:r>
            <w:rPr>
              <w:rFonts w:ascii="Cambria Math" w:hAnsi="Cambria Math"/>
            </w:rPr>
            <m:t>=min</m:t>
          </m:r>
          <m:d>
            <m:dPr>
              <m:begChr m:val="{"/>
              <m:endChr m:val="}"/>
              <m:ctrlPr>
                <w:rPr>
                  <w:rFonts w:ascii="Cambria Math" w:hAnsi="Cambria Math"/>
                  <w:i/>
                  <w:sz w:val="22"/>
                  <w:szCs w:val="22"/>
                  <w:lang w:eastAsia="en-US"/>
                </w:rPr>
              </m:ctrlPr>
            </m:dPr>
            <m:e>
              <m:r>
                <w:rPr>
                  <w:rFonts w:ascii="Cambria Math" w:hAnsi="Cambria Math"/>
                </w:rPr>
                <m:t>1;</m:t>
              </m:r>
              <m:f>
                <m:fPr>
                  <m:ctrlPr>
                    <w:rPr>
                      <w:rFonts w:ascii="Cambria Math" w:hAnsi="Cambria Math"/>
                      <w:i/>
                      <w:sz w:val="22"/>
                      <w:szCs w:val="22"/>
                      <w:lang w:eastAsia="en-US"/>
                    </w:rPr>
                  </m:ctrlPr>
                </m:fPr>
                <m:num>
                  <m:sSub>
                    <m:sSubPr>
                      <m:ctrlPr>
                        <w:rPr>
                          <w:rFonts w:ascii="Cambria Math" w:hAnsi="Cambria Math"/>
                          <w:i/>
                          <w:sz w:val="22"/>
                          <w:szCs w:val="22"/>
                          <w:lang w:eastAsia="en-US"/>
                        </w:rPr>
                      </m:ctrlPr>
                    </m:sSubPr>
                    <m:e>
                      <m:r>
                        <w:rPr>
                          <w:rFonts w:ascii="Cambria Math" w:hAnsi="Cambria Math"/>
                        </w:rPr>
                        <m:t>CM</m:t>
                      </m:r>
                    </m:e>
                    <m:sub>
                      <m:r>
                        <w:rPr>
                          <w:rFonts w:ascii="Cambria Math" w:hAnsi="Cambria Math"/>
                        </w:rPr>
                        <m:t>red, 2017</m:t>
                      </m:r>
                    </m:sub>
                  </m:sSub>
                </m:num>
                <m:den>
                  <m:r>
                    <w:rPr>
                      <w:rFonts w:ascii="Cambria Math" w:hAnsi="Cambria Math"/>
                    </w:rPr>
                    <m:t>0,99</m:t>
                  </m:r>
                  <m:sSub>
                    <m:sSubPr>
                      <m:ctrlPr>
                        <w:rPr>
                          <w:rFonts w:ascii="Cambria Math" w:hAnsi="Cambria Math"/>
                          <w:i/>
                          <w:sz w:val="22"/>
                          <w:szCs w:val="22"/>
                          <w:lang w:eastAsia="en-US"/>
                        </w:rPr>
                      </m:ctrlPr>
                    </m:sSubPr>
                    <m:e>
                      <m:r>
                        <w:rPr>
                          <w:rFonts w:ascii="Cambria Math" w:hAnsi="Cambria Math"/>
                        </w:rPr>
                        <m:t>*CM</m:t>
                      </m:r>
                    </m:e>
                    <m:sub>
                      <m:r>
                        <w:rPr>
                          <w:rFonts w:ascii="Cambria Math" w:hAnsi="Cambria Math"/>
                        </w:rPr>
                        <m:t>2015</m:t>
                      </m:r>
                    </m:sub>
                  </m:sSub>
                </m:den>
              </m:f>
            </m:e>
          </m:d>
          <m:r>
            <w:rPr>
              <w:rFonts w:ascii="Cambria Math" w:hAnsi="Cambria Math"/>
            </w:rPr>
            <m:t>*IPU-</m:t>
          </m:r>
          <m:sSub>
            <m:sSubPr>
              <m:ctrlPr>
                <w:rPr>
                  <w:rFonts w:ascii="Cambria Math" w:hAnsi="Cambria Math"/>
                  <w:i/>
                  <w:sz w:val="22"/>
                  <w:szCs w:val="22"/>
                  <w:lang w:eastAsia="en-US"/>
                </w:rPr>
              </m:ctrlPr>
            </m:sSubPr>
            <m:e>
              <m:r>
                <w:rPr>
                  <w:rFonts w:ascii="Cambria Math" w:hAnsi="Cambria Math"/>
                </w:rPr>
                <m:t>EM</m:t>
              </m:r>
            </m:e>
            <m:sub>
              <m:r>
                <w:rPr>
                  <w:rFonts w:ascii="Cambria Math" w:hAnsi="Cambria Math"/>
                </w:rPr>
                <m:t>2017</m:t>
              </m:r>
            </m:sub>
          </m:sSub>
        </m:oMath>
      </m:oMathPara>
    </w:p>
    <w:p w:rsidR="00B02AEC" w:rsidRDefault="00B02AEC" w:rsidP="007806A0">
      <w:pPr>
        <w:pStyle w:val="Textbodu"/>
        <w:numPr>
          <w:ilvl w:val="0"/>
          <w:numId w:val="0"/>
        </w:numPr>
        <w:ind w:left="426"/>
      </w:pPr>
    </w:p>
    <w:p w:rsidR="00B02AEC" w:rsidRPr="00B02AEC" w:rsidRDefault="00B02AEC" w:rsidP="007806A0">
      <w:pPr>
        <w:pStyle w:val="Textbodu"/>
        <w:numPr>
          <w:ilvl w:val="0"/>
          <w:numId w:val="0"/>
        </w:numPr>
        <w:ind w:left="426"/>
        <w:rPr>
          <w:sz w:val="22"/>
          <w:vertAlign w:val="subscript"/>
        </w:rPr>
      </w:pPr>
      <w:r>
        <w:t>kde IPU = 1,0</w:t>
      </w:r>
      <w:r w:rsidR="005F1B51">
        <w:t>55</w:t>
      </w:r>
      <w:r>
        <w:t xml:space="preserve"> * PU</w:t>
      </w:r>
      <w:r>
        <w:rPr>
          <w:vertAlign w:val="subscript"/>
        </w:rPr>
        <w:t>drg,201</w:t>
      </w:r>
      <w:r w:rsidR="005F1B51">
        <w:rPr>
          <w:vertAlign w:val="subscript"/>
        </w:rPr>
        <w:t>5</w:t>
      </w:r>
      <w:r>
        <w:t xml:space="preserve">  </w:t>
      </w:r>
    </w:p>
    <w:p w:rsidR="007806A0" w:rsidRPr="0094731E" w:rsidRDefault="007A01BB" w:rsidP="007806A0">
      <w:pPr>
        <w:pStyle w:val="Textbodu"/>
        <w:numPr>
          <w:ilvl w:val="0"/>
          <w:numId w:val="0"/>
        </w:numPr>
        <w:ind w:left="426"/>
        <w:rPr>
          <w:vertAlign w:val="subscript"/>
        </w:rPr>
      </w:pPr>
      <w:r>
        <w:t xml:space="preserve"> </w:t>
      </w:r>
    </w:p>
    <w:p w:rsidR="007A01BB" w:rsidRDefault="007A01BB" w:rsidP="007806A0">
      <w:pPr>
        <w:spacing w:after="120"/>
        <w:ind w:left="1418" w:hanging="992"/>
        <w:rPr>
          <w:szCs w:val="24"/>
        </w:rPr>
      </w:pPr>
      <w:r>
        <w:rPr>
          <w:szCs w:val="24"/>
        </w:rPr>
        <w:t>PU</w:t>
      </w:r>
      <w:r>
        <w:rPr>
          <w:szCs w:val="24"/>
          <w:vertAlign w:val="subscript"/>
        </w:rPr>
        <w:t>drg,201</w:t>
      </w:r>
      <w:r w:rsidR="005F1B51">
        <w:rPr>
          <w:szCs w:val="24"/>
          <w:vertAlign w:val="subscript"/>
        </w:rPr>
        <w:t>5</w:t>
      </w:r>
      <w:r>
        <w:rPr>
          <w:szCs w:val="24"/>
          <w:vertAlign w:val="subscript"/>
        </w:rPr>
        <w:tab/>
      </w:r>
      <w:r>
        <w:rPr>
          <w:szCs w:val="24"/>
        </w:rPr>
        <w:t>je celková výše úhrady za poskytovatelem vykázan</w:t>
      </w:r>
      <w:r w:rsidR="00B02AEC">
        <w:rPr>
          <w:szCs w:val="24"/>
        </w:rPr>
        <w:t>é</w:t>
      </w:r>
      <w:r>
        <w:rPr>
          <w:szCs w:val="24"/>
        </w:rPr>
        <w:t xml:space="preserve"> a zdravotní pojišťovnou uznané hrazené služby poskytnuté během hospitalizací ukončených v roce 201</w:t>
      </w:r>
      <w:r w:rsidR="005F1B51">
        <w:rPr>
          <w:szCs w:val="24"/>
        </w:rPr>
        <w:t>5</w:t>
      </w:r>
      <w:r>
        <w:rPr>
          <w:szCs w:val="24"/>
        </w:rPr>
        <w:t xml:space="preserve">, které jsou podle Klasifikace zařazeny do skupin vztažených k diagnóze </w:t>
      </w:r>
      <w:r w:rsidRPr="0094731E">
        <w:t>uvedených v </w:t>
      </w:r>
      <w:r w:rsidRPr="00E95A40">
        <w:rPr>
          <w:szCs w:val="24"/>
        </w:rPr>
        <w:t>příloze č. …. k</w:t>
      </w:r>
      <w:r>
        <w:rPr>
          <w:szCs w:val="24"/>
        </w:rPr>
        <w:t xml:space="preserve"> vyhlášce, včetně vypořádání regulačních omezení s výjimkou regulace na předepsané léčivé přípravky a zdravotnické prostředky a regulace na vyžádanou péči </w:t>
      </w:r>
      <w:r>
        <w:rPr>
          <w:szCs w:val="24"/>
        </w:rPr>
        <w:lastRenderedPageBreak/>
        <w:t>ve vyjmenovaných odbornostech</w:t>
      </w:r>
      <w:r w:rsidR="00D054B8">
        <w:rPr>
          <w:szCs w:val="24"/>
        </w:rPr>
        <w:t>, zvýšené o hodnotu extramurální péče oceněné hodnotami bodu platnými v hodnoceném období včetně nákladů na zvlášť účtovaný materiál a zvlášť účtované léčivé přípravky snížená o úhradu léčivých přípravků uvedených v příloze č. ……. k vyhlášce.</w:t>
      </w:r>
    </w:p>
    <w:p w:rsidR="004A6870" w:rsidRDefault="004A6870" w:rsidP="004A6870">
      <w:pPr>
        <w:tabs>
          <w:tab w:val="left" w:pos="426"/>
        </w:tabs>
        <w:ind w:left="1418" w:hanging="1418"/>
        <w:rPr>
          <w:szCs w:val="24"/>
        </w:rPr>
      </w:pPr>
      <w:r>
        <w:rPr>
          <w:szCs w:val="24"/>
        </w:rPr>
        <w:tab/>
        <w:t>CM</w:t>
      </w:r>
      <w:r>
        <w:rPr>
          <w:szCs w:val="24"/>
          <w:vertAlign w:val="subscript"/>
        </w:rPr>
        <w:t>201</w:t>
      </w:r>
      <w:r w:rsidR="005F1B51">
        <w:rPr>
          <w:szCs w:val="24"/>
          <w:vertAlign w:val="subscript"/>
        </w:rPr>
        <w:t>5</w:t>
      </w:r>
      <w:r>
        <w:rPr>
          <w:szCs w:val="24"/>
        </w:rPr>
        <w:tab/>
        <w:t>počet případů hospitalizací ukončených v roce 201</w:t>
      </w:r>
      <w:r w:rsidR="005F1B51">
        <w:rPr>
          <w:szCs w:val="24"/>
        </w:rPr>
        <w:t>5</w:t>
      </w:r>
      <w:r>
        <w:rPr>
          <w:szCs w:val="24"/>
        </w:rPr>
        <w:t xml:space="preserve"> a zdravotní pojišťovnou uznaných, které jsou podle Klasifikace zařazeny do skupin vztažených k diagnóze uvedených v příloze č. ……. k vyhlášce vynásobených indexy těchto skupin stanovenými právním předpisem upravujícím hodnoty bodu a výši úhrad pro rok 201</w:t>
      </w:r>
      <w:r w:rsidR="005F1B51">
        <w:rPr>
          <w:szCs w:val="24"/>
        </w:rPr>
        <w:t>7</w:t>
      </w:r>
      <w:r>
        <w:rPr>
          <w:szCs w:val="24"/>
        </w:rPr>
        <w:t xml:space="preserve"> (dále jen „indexy“)</w:t>
      </w:r>
    </w:p>
    <w:p w:rsidR="004677C7" w:rsidRDefault="004677C7" w:rsidP="004A6870">
      <w:pPr>
        <w:tabs>
          <w:tab w:val="left" w:pos="426"/>
        </w:tabs>
        <w:ind w:left="1418" w:hanging="1418"/>
      </w:pPr>
      <w:r>
        <w:rPr>
          <w:szCs w:val="24"/>
        </w:rPr>
        <w:tab/>
        <w:t>E</w:t>
      </w:r>
      <w:r w:rsidR="00D054B8">
        <w:rPr>
          <w:szCs w:val="24"/>
        </w:rPr>
        <w:t>M</w:t>
      </w:r>
      <w:r>
        <w:rPr>
          <w:szCs w:val="24"/>
          <w:vertAlign w:val="subscript"/>
        </w:rPr>
        <w:t>201</w:t>
      </w:r>
      <w:r w:rsidR="005F1B51">
        <w:rPr>
          <w:szCs w:val="24"/>
          <w:vertAlign w:val="subscript"/>
        </w:rPr>
        <w:t>7</w:t>
      </w:r>
      <w:r>
        <w:rPr>
          <w:szCs w:val="24"/>
          <w:vertAlign w:val="subscript"/>
        </w:rPr>
        <w:tab/>
      </w:r>
      <w:r w:rsidRPr="00E23D81">
        <w:t xml:space="preserve">je </w:t>
      </w:r>
      <w:r w:rsidRPr="00E23D81">
        <w:rPr>
          <w:szCs w:val="24"/>
        </w:rPr>
        <w:t xml:space="preserve">celková hodnota </w:t>
      </w:r>
      <w:r w:rsidRPr="00E23D81">
        <w:t>vyžádané extramurální péče</w:t>
      </w:r>
      <w:r w:rsidRPr="00E23D81">
        <w:rPr>
          <w:szCs w:val="24"/>
        </w:rPr>
        <w:t xml:space="preserve"> v rámci případů hospitalizací poskytovatelem vykázaných a zdravotní pojišťovnou uznaných, které byly ukončeny </w:t>
      </w:r>
      <w:r>
        <w:rPr>
          <w:szCs w:val="24"/>
        </w:rPr>
        <w:t>v roce 201</w:t>
      </w:r>
      <w:r w:rsidR="005F1B51">
        <w:rPr>
          <w:szCs w:val="24"/>
        </w:rPr>
        <w:t>7</w:t>
      </w:r>
      <w:r w:rsidRPr="00E23D81">
        <w:rPr>
          <w:szCs w:val="24"/>
        </w:rPr>
        <w:t>, oceněná hodnotami bodu platnými v</w:t>
      </w:r>
      <w:r>
        <w:rPr>
          <w:szCs w:val="24"/>
        </w:rPr>
        <w:t> roce 201</w:t>
      </w:r>
      <w:r w:rsidR="005F1B51">
        <w:rPr>
          <w:szCs w:val="24"/>
        </w:rPr>
        <w:t>7</w:t>
      </w:r>
      <w:r w:rsidRPr="00E23D81">
        <w:rPr>
          <w:szCs w:val="24"/>
        </w:rPr>
        <w:t xml:space="preserve"> včetně nákladů na zvlášť účtovaný materiál a zvlášť účtované léčivé přípravky</w:t>
      </w:r>
      <w:r w:rsidRPr="00E23D81">
        <w:t>.</w:t>
      </w:r>
    </w:p>
    <w:p w:rsidR="00D054B8" w:rsidRDefault="00D054B8" w:rsidP="004A6870">
      <w:pPr>
        <w:tabs>
          <w:tab w:val="left" w:pos="426"/>
        </w:tabs>
        <w:ind w:left="1418" w:hanging="1418"/>
      </w:pPr>
      <w:r>
        <w:tab/>
      </w:r>
    </w:p>
    <w:p w:rsidR="00D054B8" w:rsidRDefault="008B0B96" w:rsidP="004A6870">
      <w:pPr>
        <w:tabs>
          <w:tab w:val="left" w:pos="426"/>
        </w:tabs>
        <w:ind w:left="1418" w:hanging="1418"/>
      </w:pPr>
      <m:oMath>
        <m:sSub>
          <m:sSubPr>
            <m:ctrlPr>
              <w:rPr>
                <w:rFonts w:ascii="Cambria Math" w:hAnsi="Cambria Math"/>
                <w:i/>
                <w:sz w:val="22"/>
                <w:szCs w:val="22"/>
                <w:lang w:eastAsia="en-US"/>
              </w:rPr>
            </m:ctrlPr>
          </m:sSubPr>
          <m:e>
            <m:r>
              <w:rPr>
                <w:rFonts w:ascii="Cambria Math" w:hAnsi="Cambria Math"/>
              </w:rPr>
              <m:t>CM</m:t>
            </m:r>
          </m:e>
          <m:sub>
            <m:r>
              <w:rPr>
                <w:rFonts w:ascii="Cambria Math" w:hAnsi="Cambria Math"/>
              </w:rPr>
              <m:t>red,2017</m:t>
            </m:r>
          </m:sub>
        </m:sSub>
        <m:r>
          <w:rPr>
            <w:rFonts w:ascii="Cambria Math" w:hAnsi="Cambria Math"/>
          </w:rPr>
          <m:t>=min</m:t>
        </m:r>
        <m:d>
          <m:dPr>
            <m:begChr m:val="{"/>
            <m:endChr m:val="}"/>
            <m:ctrlPr>
              <w:rPr>
                <w:rFonts w:ascii="Cambria Math" w:hAnsi="Cambria Math"/>
                <w:i/>
                <w:sz w:val="22"/>
                <w:szCs w:val="22"/>
                <w:lang w:eastAsia="en-US"/>
              </w:rPr>
            </m:ctrlPr>
          </m:dPr>
          <m:e>
            <m:sSub>
              <m:sSubPr>
                <m:ctrlPr>
                  <w:rPr>
                    <w:rFonts w:ascii="Cambria Math" w:hAnsi="Cambria Math"/>
                    <w:i/>
                    <w:sz w:val="22"/>
                    <w:szCs w:val="22"/>
                    <w:lang w:eastAsia="en-US"/>
                  </w:rPr>
                </m:ctrlPr>
              </m:sSubPr>
              <m:e>
                <m:r>
                  <w:rPr>
                    <w:rFonts w:ascii="Cambria Math" w:hAnsi="Cambria Math"/>
                  </w:rPr>
                  <m:t>CM</m:t>
                </m:r>
              </m:e>
              <m:sub>
                <m:r>
                  <w:rPr>
                    <w:rFonts w:ascii="Cambria Math" w:hAnsi="Cambria Math"/>
                  </w:rPr>
                  <m:t>2017</m:t>
                </m:r>
              </m:sub>
            </m:sSub>
            <m:r>
              <w:rPr>
                <w:rFonts w:ascii="Cambria Math" w:hAnsi="Cambria Math"/>
              </w:rPr>
              <m:t>;</m:t>
            </m:r>
            <m:sSup>
              <m:sSupPr>
                <m:ctrlPr>
                  <w:rPr>
                    <w:rFonts w:ascii="Cambria Math" w:hAnsi="Cambria Math"/>
                    <w:i/>
                    <w:sz w:val="22"/>
                    <w:szCs w:val="22"/>
                    <w:lang w:eastAsia="en-US"/>
                  </w:rPr>
                </m:ctrlPr>
              </m:sSupPr>
              <m:e>
                <m:d>
                  <m:dPr>
                    <m:ctrlPr>
                      <w:rPr>
                        <w:rFonts w:ascii="Cambria Math" w:hAnsi="Cambria Math"/>
                        <w:i/>
                        <w:sz w:val="22"/>
                        <w:szCs w:val="22"/>
                        <w:lang w:eastAsia="en-US"/>
                      </w:rPr>
                    </m:ctrlPr>
                  </m:dPr>
                  <m:e>
                    <m:sSub>
                      <m:sSubPr>
                        <m:ctrlPr>
                          <w:rPr>
                            <w:rFonts w:ascii="Cambria Math" w:hAnsi="Cambria Math"/>
                            <w:i/>
                            <w:sz w:val="22"/>
                            <w:szCs w:val="22"/>
                            <w:lang w:eastAsia="en-US"/>
                          </w:rPr>
                        </m:ctrlPr>
                      </m:sSubPr>
                      <m:e>
                        <m:r>
                          <w:rPr>
                            <w:rFonts w:ascii="Cambria Math" w:hAnsi="Cambria Math"/>
                          </w:rPr>
                          <m:t>CM</m:t>
                        </m:r>
                      </m:e>
                      <m:sub>
                        <m:r>
                          <w:rPr>
                            <w:rFonts w:ascii="Cambria Math" w:hAnsi="Cambria Math"/>
                          </w:rPr>
                          <m:t>2017</m:t>
                        </m:r>
                      </m:sub>
                    </m:sSub>
                  </m:e>
                </m:d>
              </m:e>
              <m:sup>
                <m:r>
                  <w:rPr>
                    <w:rFonts w:ascii="Cambria Math" w:hAnsi="Cambria Math"/>
                  </w:rPr>
                  <m:t>0,2</m:t>
                </m:r>
              </m:sup>
            </m:sSup>
            <m:r>
              <w:rPr>
                <w:rFonts w:ascii="Cambria Math" w:hAnsi="Cambria Math"/>
              </w:rPr>
              <m:t xml:space="preserve">* </m:t>
            </m:r>
            <m:sSup>
              <m:sSupPr>
                <m:ctrlPr>
                  <w:rPr>
                    <w:rFonts w:ascii="Cambria Math" w:hAnsi="Cambria Math"/>
                    <w:i/>
                    <w:sz w:val="22"/>
                    <w:szCs w:val="22"/>
                    <w:lang w:eastAsia="en-US"/>
                  </w:rPr>
                </m:ctrlPr>
              </m:sSupPr>
              <m:e>
                <m:d>
                  <m:dPr>
                    <m:ctrlPr>
                      <w:rPr>
                        <w:rFonts w:ascii="Cambria Math" w:hAnsi="Cambria Math"/>
                        <w:i/>
                        <w:sz w:val="22"/>
                        <w:szCs w:val="22"/>
                        <w:lang w:eastAsia="en-US"/>
                      </w:rPr>
                    </m:ctrlPr>
                  </m:dPr>
                  <m:e>
                    <m:r>
                      <w:rPr>
                        <w:rFonts w:ascii="Cambria Math" w:hAnsi="Cambria Math"/>
                      </w:rPr>
                      <m:t xml:space="preserve">1,05* </m:t>
                    </m:r>
                    <m:sSub>
                      <m:sSubPr>
                        <m:ctrlPr>
                          <w:rPr>
                            <w:rFonts w:ascii="Cambria Math" w:hAnsi="Cambria Math"/>
                            <w:i/>
                            <w:sz w:val="22"/>
                            <w:szCs w:val="22"/>
                            <w:lang w:eastAsia="en-US"/>
                          </w:rPr>
                        </m:ctrlPr>
                      </m:sSubPr>
                      <m:e>
                        <m:r>
                          <w:rPr>
                            <w:rFonts w:ascii="Cambria Math" w:hAnsi="Cambria Math"/>
                          </w:rPr>
                          <m:t>PP</m:t>
                        </m:r>
                      </m:e>
                      <m:sub>
                        <m:r>
                          <w:rPr>
                            <w:rFonts w:ascii="Cambria Math" w:hAnsi="Cambria Math"/>
                          </w:rPr>
                          <m:t>drg,2017</m:t>
                        </m:r>
                      </m:sub>
                    </m:sSub>
                    <m:r>
                      <w:rPr>
                        <w:rFonts w:ascii="Cambria Math" w:hAnsi="Cambria Math"/>
                      </w:rPr>
                      <m:t xml:space="preserve">* </m:t>
                    </m:r>
                    <m:f>
                      <m:fPr>
                        <m:ctrlPr>
                          <w:rPr>
                            <w:rFonts w:ascii="Cambria Math" w:hAnsi="Cambria Math"/>
                            <w:i/>
                            <w:sz w:val="22"/>
                            <w:szCs w:val="22"/>
                            <w:lang w:eastAsia="en-US"/>
                          </w:rPr>
                        </m:ctrlPr>
                      </m:fPr>
                      <m:num>
                        <m:sSub>
                          <m:sSubPr>
                            <m:ctrlPr>
                              <w:rPr>
                                <w:rFonts w:ascii="Cambria Math" w:hAnsi="Cambria Math"/>
                                <w:i/>
                                <w:sz w:val="22"/>
                                <w:szCs w:val="22"/>
                                <w:lang w:eastAsia="en-US"/>
                              </w:rPr>
                            </m:ctrlPr>
                          </m:sSubPr>
                          <m:e>
                            <m:r>
                              <w:rPr>
                                <w:rFonts w:ascii="Cambria Math" w:hAnsi="Cambria Math"/>
                              </w:rPr>
                              <m:t>CM</m:t>
                            </m:r>
                          </m:e>
                          <m:sub>
                            <m:r>
                              <w:rPr>
                                <w:rFonts w:ascii="Cambria Math" w:hAnsi="Cambria Math"/>
                              </w:rPr>
                              <m:t>2015</m:t>
                            </m:r>
                          </m:sub>
                        </m:sSub>
                      </m:num>
                      <m:den>
                        <m:sSub>
                          <m:sSubPr>
                            <m:ctrlPr>
                              <w:rPr>
                                <w:rFonts w:ascii="Cambria Math" w:hAnsi="Cambria Math"/>
                                <w:i/>
                                <w:sz w:val="22"/>
                                <w:szCs w:val="22"/>
                                <w:lang w:eastAsia="en-US"/>
                              </w:rPr>
                            </m:ctrlPr>
                          </m:sSubPr>
                          <m:e>
                            <m:r>
                              <w:rPr>
                                <w:rFonts w:ascii="Cambria Math" w:hAnsi="Cambria Math"/>
                              </w:rPr>
                              <m:t>PP</m:t>
                            </m:r>
                          </m:e>
                          <m:sub>
                            <m:r>
                              <w:rPr>
                                <w:rFonts w:ascii="Cambria Math" w:hAnsi="Cambria Math"/>
                              </w:rPr>
                              <m:t>drg, 2015</m:t>
                            </m:r>
                          </m:sub>
                        </m:sSub>
                      </m:den>
                    </m:f>
                  </m:e>
                </m:d>
              </m:e>
              <m:sup>
                <m:r>
                  <w:rPr>
                    <w:rFonts w:ascii="Cambria Math" w:hAnsi="Cambria Math"/>
                  </w:rPr>
                  <m:t>0,8</m:t>
                </m:r>
              </m:sup>
            </m:sSup>
          </m:e>
        </m:d>
      </m:oMath>
      <w:r w:rsidR="00D054B8">
        <w:t>,</w:t>
      </w:r>
    </w:p>
    <w:p w:rsidR="00D054B8" w:rsidRPr="004677C7" w:rsidRDefault="00D054B8" w:rsidP="004A6870">
      <w:pPr>
        <w:tabs>
          <w:tab w:val="left" w:pos="426"/>
        </w:tabs>
        <w:ind w:left="1418" w:hanging="1418"/>
        <w:rPr>
          <w:szCs w:val="24"/>
          <w:vertAlign w:val="subscript"/>
        </w:rPr>
      </w:pPr>
    </w:p>
    <w:p w:rsidR="00110670" w:rsidRDefault="00110670" w:rsidP="008921B8">
      <w:pPr>
        <w:spacing w:after="120"/>
        <w:ind w:left="1418" w:hanging="992"/>
        <w:rPr>
          <w:szCs w:val="24"/>
        </w:rPr>
      </w:pPr>
      <w:r>
        <w:t>CM</w:t>
      </w:r>
      <w:r w:rsidR="005F1B51">
        <w:rPr>
          <w:vertAlign w:val="subscript"/>
        </w:rPr>
        <w:t>2017</w:t>
      </w:r>
      <w:r>
        <w:tab/>
      </w:r>
      <w:r>
        <w:rPr>
          <w:szCs w:val="24"/>
        </w:rPr>
        <w:t>počet případů hospitalizací poskytovatelem vykázaných a zdravotní pojišťovnou uznaných,</w:t>
      </w:r>
      <w:r w:rsidR="005F1B51">
        <w:rPr>
          <w:szCs w:val="24"/>
        </w:rPr>
        <w:t xml:space="preserve"> které byly ukončeny v roce 2017</w:t>
      </w:r>
      <w:r>
        <w:rPr>
          <w:szCs w:val="24"/>
        </w:rPr>
        <w:t>, které jsou podle Klasifikace zařazeny do skupin vztažených k diagnóze, vynásobených indexy 201</w:t>
      </w:r>
      <w:r w:rsidR="005F1B51">
        <w:rPr>
          <w:szCs w:val="24"/>
        </w:rPr>
        <w:t>7</w:t>
      </w:r>
    </w:p>
    <w:p w:rsidR="00110670" w:rsidRDefault="00110670" w:rsidP="008921B8">
      <w:pPr>
        <w:spacing w:after="120"/>
        <w:ind w:left="1418" w:hanging="992"/>
        <w:rPr>
          <w:szCs w:val="24"/>
        </w:rPr>
      </w:pPr>
      <w:r>
        <w:rPr>
          <w:szCs w:val="24"/>
        </w:rPr>
        <w:t>PP</w:t>
      </w:r>
      <w:r>
        <w:rPr>
          <w:szCs w:val="24"/>
          <w:vertAlign w:val="subscript"/>
        </w:rPr>
        <w:t>drg,201</w:t>
      </w:r>
      <w:r w:rsidR="005F1B51">
        <w:rPr>
          <w:szCs w:val="24"/>
          <w:vertAlign w:val="subscript"/>
        </w:rPr>
        <w:t>7</w:t>
      </w:r>
      <w:r>
        <w:rPr>
          <w:szCs w:val="24"/>
        </w:rPr>
        <w:tab/>
        <w:t>počet poskytovatelem vykázaných a zdravotní pojišťovnou uznaných hospitalizací, ukončených v roce 201</w:t>
      </w:r>
      <w:r w:rsidR="005F1B51">
        <w:rPr>
          <w:szCs w:val="24"/>
        </w:rPr>
        <w:t>7</w:t>
      </w:r>
      <w:r>
        <w:rPr>
          <w:szCs w:val="24"/>
        </w:rPr>
        <w:t>, zařazených do skupin vztažených k diagnóze podle Klasifikace, které jsou uvedeny v příloze č. ………….. k vyhlášce</w:t>
      </w:r>
    </w:p>
    <w:p w:rsidR="00110670" w:rsidRPr="00110670" w:rsidRDefault="00110670" w:rsidP="00110670">
      <w:pPr>
        <w:spacing w:after="120"/>
        <w:ind w:left="1418" w:hanging="992"/>
      </w:pPr>
      <w:r>
        <w:rPr>
          <w:szCs w:val="24"/>
        </w:rPr>
        <w:t>PP</w:t>
      </w:r>
      <w:r>
        <w:rPr>
          <w:szCs w:val="24"/>
          <w:vertAlign w:val="subscript"/>
        </w:rPr>
        <w:t>drg,201</w:t>
      </w:r>
      <w:r w:rsidR="005F1B51">
        <w:rPr>
          <w:szCs w:val="24"/>
          <w:vertAlign w:val="subscript"/>
        </w:rPr>
        <w:t>5</w:t>
      </w:r>
      <w:r>
        <w:rPr>
          <w:szCs w:val="24"/>
        </w:rPr>
        <w:tab/>
        <w:t>počet poskytovatelem vykázaných a zdravotní pojišťovnou uznaných hospitalizací, ukončených v roce 201</w:t>
      </w:r>
      <w:r w:rsidR="005F1B51">
        <w:rPr>
          <w:szCs w:val="24"/>
        </w:rPr>
        <w:t>5</w:t>
      </w:r>
      <w:r>
        <w:rPr>
          <w:szCs w:val="24"/>
        </w:rPr>
        <w:t>, zařazených do skupin vztažených k diagnóze podle Klasifikace, které jsou uvedeny v příloze č. ………….. k vyhlášce</w:t>
      </w:r>
    </w:p>
    <w:p w:rsidR="00110670" w:rsidRDefault="00110670" w:rsidP="008921B8">
      <w:pPr>
        <w:spacing w:after="120"/>
        <w:ind w:left="1418" w:hanging="992"/>
      </w:pPr>
    </w:p>
    <w:p w:rsidR="00D26416" w:rsidRDefault="00D26416" w:rsidP="00D26416">
      <w:pPr>
        <w:pStyle w:val="Odstavecseseznamem"/>
        <w:numPr>
          <w:ilvl w:val="0"/>
          <w:numId w:val="10"/>
        </w:numPr>
      </w:pPr>
      <w:r w:rsidRPr="00DE3421">
        <w:t>V případě hrazených služeb poskytnutých zahraničním pojištěncům a dále v případě, že poskytovatel poskytne v roce 2015 nebo hodn</w:t>
      </w:r>
      <w:r>
        <w:t>oceném období hrazené služby 50</w:t>
      </w:r>
      <w:r w:rsidRPr="00DE3421">
        <w:t xml:space="preserve"> a méně pojištěncům příslušné zdravotní pojišťovny, hradí se tyto hrazené služby podle seznamu výkonů s hodnotou bodu ve výši 1</w:t>
      </w:r>
      <w:r w:rsidRPr="00543498">
        <w:t>,03</w:t>
      </w:r>
      <w:r w:rsidRPr="00DE3421">
        <w:t xml:space="preserve"> Kč. </w:t>
      </w:r>
    </w:p>
    <w:p w:rsidR="00D26416" w:rsidRDefault="00D26416" w:rsidP="00D26416">
      <w:pPr>
        <w:pStyle w:val="Odstavecseseznamem"/>
        <w:ind w:left="360"/>
      </w:pPr>
    </w:p>
    <w:p w:rsidR="000A5569" w:rsidRDefault="000A5569" w:rsidP="000A5569">
      <w:pPr>
        <w:pStyle w:val="Textbodu"/>
        <w:numPr>
          <w:ilvl w:val="0"/>
          <w:numId w:val="10"/>
        </w:numPr>
        <w:spacing w:after="120"/>
      </w:pPr>
      <w:r w:rsidRPr="009F79DD">
        <w:rPr>
          <w:u w:val="single"/>
        </w:rPr>
        <w:t>Ambulantní složka úhrady</w:t>
      </w:r>
      <w:r w:rsidRPr="009F79DD">
        <w:rPr>
          <w:b/>
        </w:rPr>
        <w:t xml:space="preserve"> </w:t>
      </w:r>
      <w:r w:rsidRPr="009F79DD">
        <w:t>zahrnuje úhradu specializované ambulantní zdravotní péče, hrazených služeb v odbornostech 603 a 604 podle seznamu výkonů, hrazených služeb poskytovaných poskytovateli v oboru všeobecné praktické lékařství a poskytovateli v oboru praktické lékařství pro děti a dorost, hrazených služeb poskytovaných poskytovateli v oboru zubní lékařství, hrazených služeb ve vyjmenovaných odbornostech, zdravotnické dopravní služby, lékařské pohotovostní služby a hrazených služeb poskytovaných poskytovateli v odbornostech 902, 903, 905, 911, 914, 919, 921, 925 a 927 (dále jen „ambulantní péče“) s výjimkou výkonů, kterými se vykazuje vyšetření pacienta při příjmu k hospitalizaci a při propuštění z hospitalizace.</w:t>
      </w:r>
    </w:p>
    <w:p w:rsidR="00D26416" w:rsidRDefault="00D26416" w:rsidP="00D26416">
      <w:pPr>
        <w:pStyle w:val="Odstavecseseznamem"/>
      </w:pPr>
    </w:p>
    <w:p w:rsidR="00D26416" w:rsidRDefault="00D26416" w:rsidP="00D26416">
      <w:pPr>
        <w:pStyle w:val="Textbodu"/>
        <w:numPr>
          <w:ilvl w:val="1"/>
          <w:numId w:val="10"/>
        </w:numPr>
        <w:spacing w:after="120"/>
      </w:pPr>
      <w:r>
        <w:t xml:space="preserve">Pro </w:t>
      </w:r>
      <w:r w:rsidRPr="00896083">
        <w:t>hrazené služby poskytované poskytovateli v oboru všeobecné praktické lékařství a</w:t>
      </w:r>
      <w:r>
        <w:t xml:space="preserve"> </w:t>
      </w:r>
      <w:r w:rsidRPr="00896083">
        <w:t xml:space="preserve">poskytovateli v oboru praktické lékařství pro děti a dorost, hrazené </w:t>
      </w:r>
      <w:r w:rsidRPr="00896083">
        <w:rPr>
          <w:rStyle w:val="Siln"/>
          <w:b w:val="0"/>
          <w:szCs w:val="22"/>
        </w:rPr>
        <w:t xml:space="preserve">kombinovanou kapitačně výkonovou platbou, kombinovanou kapitačně výkonovou platbou s dorovnáním </w:t>
      </w:r>
      <w:proofErr w:type="spellStart"/>
      <w:r w:rsidRPr="00896083">
        <w:rPr>
          <w:rStyle w:val="Siln"/>
          <w:b w:val="0"/>
          <w:szCs w:val="22"/>
        </w:rPr>
        <w:t>kapitace</w:t>
      </w:r>
      <w:proofErr w:type="spellEnd"/>
      <w:r w:rsidRPr="00896083">
        <w:rPr>
          <w:rStyle w:val="Siln"/>
          <w:b w:val="0"/>
          <w:szCs w:val="22"/>
        </w:rPr>
        <w:t xml:space="preserve"> nebo podle seznamu výkonů, se hodnota bodu a výše úhrad hrazených služeb stanoví v příloze č. 2 k této vyhlášce</w:t>
      </w:r>
      <w:r w:rsidRPr="00896083">
        <w:t xml:space="preserve">, s výjimkou regulačních omezení uvedených v části D) </w:t>
      </w:r>
      <w:r>
        <w:t xml:space="preserve">a E) </w:t>
      </w:r>
      <w:r w:rsidRPr="00896083">
        <w:t>přílohy č. 2 k této vyhlášce, která se pro hrazené služby poskytované poskytovateli v oboru všeobecné praktické lékařství a poskytovateli v oboru praktické lékařství pro děti a dorost nepoužijí</w:t>
      </w:r>
      <w:r>
        <w:t>.</w:t>
      </w:r>
    </w:p>
    <w:p w:rsidR="00D26416" w:rsidRDefault="00D26416" w:rsidP="00D26416">
      <w:pPr>
        <w:pStyle w:val="Textbodu"/>
        <w:numPr>
          <w:ilvl w:val="1"/>
          <w:numId w:val="10"/>
        </w:numPr>
        <w:spacing w:after="120"/>
      </w:pPr>
      <w:r>
        <w:lastRenderedPageBreak/>
        <w:t xml:space="preserve">Pro </w:t>
      </w:r>
      <w:r w:rsidRPr="00896083">
        <w:t xml:space="preserve">specializovanou ambulantní zdravotní péči hrazenou podle seznamu výkonů a poskytovatele v odbornostech 903, </w:t>
      </w:r>
      <w:r w:rsidRPr="00543498">
        <w:t>905, 919 a 927 podle seznamu výkonů se</w:t>
      </w:r>
      <w:r w:rsidRPr="00543498">
        <w:rPr>
          <w:b/>
          <w:bCs/>
        </w:rPr>
        <w:t xml:space="preserve"> </w:t>
      </w:r>
      <w:r w:rsidRPr="00543498">
        <w:t>hodnota bodu stanoví v části A) bodu 1 a 2 přílohy č. 3 k této vyhlášce, s výjimkou výpočtu celkové úhrady podle části A) bodu 2 přílohy č. 3 k této vyhlášce a regulačních omezení uvedených v části B) přílohy č. 3 k této vyhlášce, která se pro specializovanou ambulantní zdravotní péči hrazenou podle seznamu výkonů a poskytovatele v odbornostech 903, 905, 919 a 927 nepoužijí</w:t>
      </w:r>
      <w:r>
        <w:t>.</w:t>
      </w:r>
    </w:p>
    <w:p w:rsidR="00D26416" w:rsidRDefault="00D26416" w:rsidP="00D26416">
      <w:pPr>
        <w:pStyle w:val="Textbodu"/>
        <w:numPr>
          <w:ilvl w:val="1"/>
          <w:numId w:val="10"/>
        </w:numPr>
        <w:spacing w:after="120"/>
      </w:pPr>
      <w:r>
        <w:t xml:space="preserve">Pro </w:t>
      </w:r>
      <w:r w:rsidRPr="00543498">
        <w:t>hrazené služby poskytované v odbornostech 603 a 604 podle seznamu výkonů hrazené podle seznamu výkonů se</w:t>
      </w:r>
      <w:r w:rsidRPr="00543498">
        <w:rPr>
          <w:b/>
          <w:bCs/>
        </w:rPr>
        <w:t xml:space="preserve"> </w:t>
      </w:r>
      <w:r w:rsidRPr="00543498">
        <w:t>hodnota bodu stanoví v části A) bodu 1 přílohy č. 4 k této vyhlášce, s výjimkou regulačních omezení uvedených v části B) přílohy č. 4 k této vyhlášce, která se pro hrazené služby poskytované v odbornostech 603 a 604 nepoužijí</w:t>
      </w:r>
      <w:r>
        <w:t>.</w:t>
      </w:r>
    </w:p>
    <w:p w:rsidR="00D26416" w:rsidRPr="00D26416" w:rsidRDefault="00D26416" w:rsidP="00D26416">
      <w:pPr>
        <w:pStyle w:val="Textbodu"/>
        <w:numPr>
          <w:ilvl w:val="1"/>
          <w:numId w:val="10"/>
        </w:numPr>
        <w:spacing w:after="120"/>
        <w:rPr>
          <w:rStyle w:val="Siln"/>
          <w:b w:val="0"/>
          <w:bCs w:val="0"/>
        </w:rPr>
      </w:pPr>
      <w:r>
        <w:t xml:space="preserve">Pro </w:t>
      </w:r>
      <w:r w:rsidRPr="00543498">
        <w:t xml:space="preserve">hrazené služby poskytované ve vyjmenovaných odbornostech hrazené podle seznamu výkonů se výsledná hodnota </w:t>
      </w:r>
      <w:r w:rsidRPr="00543498">
        <w:rPr>
          <w:rStyle w:val="Siln"/>
          <w:b w:val="0"/>
          <w:szCs w:val="22"/>
        </w:rPr>
        <w:t>bodu stanoví ve výši hodnoty bodu podle bodů 1 a 2 přílohy č. 5 k této vyhlášce</w:t>
      </w:r>
      <w:r>
        <w:rPr>
          <w:rStyle w:val="Siln"/>
          <w:b w:val="0"/>
          <w:szCs w:val="22"/>
        </w:rPr>
        <w:t>.</w:t>
      </w:r>
    </w:p>
    <w:p w:rsidR="00D26416" w:rsidRDefault="00D26416" w:rsidP="00D26416">
      <w:pPr>
        <w:pStyle w:val="Textbodu"/>
        <w:numPr>
          <w:ilvl w:val="1"/>
          <w:numId w:val="10"/>
        </w:numPr>
        <w:spacing w:after="120"/>
      </w:pPr>
      <w:r>
        <w:rPr>
          <w:rStyle w:val="Siln"/>
          <w:b w:val="0"/>
          <w:szCs w:val="22"/>
        </w:rPr>
        <w:t xml:space="preserve">Pro </w:t>
      </w:r>
      <w:r w:rsidRPr="00543498">
        <w:t xml:space="preserve">hrazené služby poskytované v odbornostech 911, 914, 921 a 925 podle seznamu výkonů hrazené podle seznamu výkonů se hodnota </w:t>
      </w:r>
      <w:r w:rsidRPr="00543498">
        <w:rPr>
          <w:rStyle w:val="Siln"/>
          <w:b w:val="0"/>
          <w:szCs w:val="22"/>
        </w:rPr>
        <w:t xml:space="preserve">bodu stanoví v bodě 1 a 3 přílohy č. 6 </w:t>
      </w:r>
      <w:r w:rsidRPr="00543498">
        <w:t>k této vyhlášce</w:t>
      </w:r>
      <w:r>
        <w:t>.</w:t>
      </w:r>
    </w:p>
    <w:p w:rsidR="00D26416" w:rsidRDefault="00D26416" w:rsidP="00D26416">
      <w:pPr>
        <w:pStyle w:val="Textbodu"/>
        <w:numPr>
          <w:ilvl w:val="1"/>
          <w:numId w:val="10"/>
        </w:numPr>
        <w:spacing w:after="120"/>
      </w:pPr>
      <w:r>
        <w:t xml:space="preserve">Pro </w:t>
      </w:r>
      <w:r w:rsidRPr="00543498">
        <w:t xml:space="preserve">hrazené služby poskytované v odbornostech 902 a 917 podle seznamu výkonů hrazené podle seznamu výkonů se hodnota </w:t>
      </w:r>
      <w:r w:rsidRPr="00543498">
        <w:rPr>
          <w:rStyle w:val="Siln"/>
          <w:b w:val="0"/>
          <w:szCs w:val="22"/>
        </w:rPr>
        <w:t xml:space="preserve">bodu stanoví v bodě 1 a 2 přílohy č. 7 k této vyhlášce, s výjimkou </w:t>
      </w:r>
      <w:r w:rsidRPr="00543498">
        <w:t>výpočtu celkové úhrady podle bodu 2 přílohy č. 7 k této vyhlášce</w:t>
      </w:r>
      <w:r w:rsidRPr="00543498">
        <w:rPr>
          <w:rStyle w:val="Siln"/>
          <w:b w:val="0"/>
          <w:szCs w:val="22"/>
        </w:rPr>
        <w:t xml:space="preserve">, </w:t>
      </w:r>
      <w:r w:rsidRPr="00543498">
        <w:t>který se pro hrazené služby poskytované ve vyjmenovaných odbornostech hrazené podle seznamu výkonů nepoužije</w:t>
      </w:r>
      <w:r>
        <w:t>.</w:t>
      </w:r>
    </w:p>
    <w:p w:rsidR="00D26416" w:rsidRPr="00D26416" w:rsidRDefault="00D26416" w:rsidP="00D26416">
      <w:pPr>
        <w:pStyle w:val="Textbodu"/>
        <w:numPr>
          <w:ilvl w:val="1"/>
          <w:numId w:val="10"/>
        </w:numPr>
        <w:spacing w:after="120"/>
        <w:rPr>
          <w:rStyle w:val="Siln"/>
          <w:b w:val="0"/>
          <w:bCs w:val="0"/>
        </w:rPr>
      </w:pPr>
      <w:r>
        <w:t xml:space="preserve">Pro </w:t>
      </w:r>
      <w:r w:rsidRPr="00543498">
        <w:t xml:space="preserve">výkony poskytované poskytovateli zdravotnické dopravní služby hrazené podle seznamu výkonů se výsledná hodnota </w:t>
      </w:r>
      <w:r w:rsidRPr="00543498">
        <w:rPr>
          <w:rStyle w:val="Siln"/>
          <w:b w:val="0"/>
          <w:szCs w:val="22"/>
        </w:rPr>
        <w:t>bodu stanoví ve výši hodnoty bodu podle bodu 1 písm. a) a b) přílohy</w:t>
      </w:r>
      <w:r w:rsidRPr="00543498" w:rsidDel="001B1554">
        <w:t xml:space="preserve"> </w:t>
      </w:r>
      <w:r w:rsidRPr="00543498">
        <w:rPr>
          <w:rStyle w:val="Siln"/>
          <w:b w:val="0"/>
          <w:szCs w:val="22"/>
        </w:rPr>
        <w:t>č. 8 k této vyhlášce</w:t>
      </w:r>
      <w:r>
        <w:rPr>
          <w:rStyle w:val="Siln"/>
          <w:b w:val="0"/>
          <w:szCs w:val="22"/>
        </w:rPr>
        <w:t>.</w:t>
      </w:r>
    </w:p>
    <w:p w:rsidR="00D26416" w:rsidRDefault="00D26416" w:rsidP="00D26416">
      <w:pPr>
        <w:pStyle w:val="Textbodu"/>
        <w:numPr>
          <w:ilvl w:val="1"/>
          <w:numId w:val="10"/>
        </w:numPr>
        <w:spacing w:after="120"/>
      </w:pPr>
      <w:r>
        <w:t>H</w:t>
      </w:r>
      <w:r w:rsidRPr="00543498">
        <w:t>razené služby poskytované poskytovateli v oboru zubní lékařství</w:t>
      </w:r>
      <w:r w:rsidRPr="00896083">
        <w:t xml:space="preserve"> se hradí podle § 8</w:t>
      </w:r>
      <w:r>
        <w:t>.</w:t>
      </w:r>
    </w:p>
    <w:p w:rsidR="00D26416" w:rsidRDefault="00D26416" w:rsidP="00D26416">
      <w:pPr>
        <w:pStyle w:val="Textbodu"/>
        <w:numPr>
          <w:ilvl w:val="1"/>
          <w:numId w:val="10"/>
        </w:numPr>
        <w:spacing w:after="120"/>
      </w:pPr>
      <w:r>
        <w:t>H</w:t>
      </w:r>
      <w:r w:rsidRPr="00896083">
        <w:t>razené služby poskytované v rámci lékařské pohotovostní služby se hradí podle § 14</w:t>
      </w:r>
      <w:r>
        <w:t>.</w:t>
      </w:r>
    </w:p>
    <w:p w:rsidR="00D26416" w:rsidRDefault="00D26416" w:rsidP="00D26416">
      <w:pPr>
        <w:pStyle w:val="Textbodu"/>
        <w:numPr>
          <w:ilvl w:val="1"/>
          <w:numId w:val="10"/>
        </w:numPr>
        <w:spacing w:after="120"/>
      </w:pPr>
      <w:r>
        <w:t>M</w:t>
      </w:r>
      <w:r w:rsidRPr="009F79DD">
        <w:t>aximální úhrada za p</w:t>
      </w:r>
      <w:r>
        <w:t>oskytovatelem vykázané hrazené služby podle bodů 5.1 až 5</w:t>
      </w:r>
      <w:r w:rsidRPr="009F79DD">
        <w:t>.9 se stanoví ve výši</w:t>
      </w:r>
      <w:r>
        <w:t>:</w:t>
      </w:r>
    </w:p>
    <w:p w:rsidR="000A5569" w:rsidRPr="00B45035" w:rsidRDefault="00110670" w:rsidP="00110670">
      <w:pPr>
        <w:pStyle w:val="Textbodu"/>
        <w:numPr>
          <w:ilvl w:val="0"/>
          <w:numId w:val="0"/>
        </w:numPr>
        <w:tabs>
          <w:tab w:val="left" w:pos="708"/>
        </w:tabs>
        <w:spacing w:after="120"/>
        <w:ind w:left="567"/>
        <w:rPr>
          <w:vertAlign w:val="subscript"/>
        </w:rPr>
      </w:pPr>
      <w:proofErr w:type="spellStart"/>
      <w:r>
        <w:t>Úhr_amb</w:t>
      </w:r>
      <w:r>
        <w:rPr>
          <w:vertAlign w:val="subscript"/>
        </w:rPr>
        <w:t>max</w:t>
      </w:r>
      <w:proofErr w:type="spellEnd"/>
      <w:r>
        <w:t xml:space="preserve"> = Úhr_amb</w:t>
      </w:r>
      <w:r>
        <w:rPr>
          <w:vertAlign w:val="subscript"/>
        </w:rPr>
        <w:t>201</w:t>
      </w:r>
      <w:r w:rsidR="000554DB">
        <w:rPr>
          <w:vertAlign w:val="subscript"/>
        </w:rPr>
        <w:t>5</w:t>
      </w:r>
      <w:r w:rsidR="00865F52">
        <w:t xml:space="preserve"> * 1,0</w:t>
      </w:r>
      <w:r w:rsidR="000554DB">
        <w:t>55</w:t>
      </w:r>
      <w:r w:rsidR="00865F52">
        <w:t xml:space="preserve"> </w:t>
      </w:r>
      <w:r w:rsidR="00B45035">
        <w:rPr>
          <w:vertAlign w:val="subscript"/>
        </w:rPr>
        <w:t xml:space="preserve"> </w:t>
      </w:r>
    </w:p>
    <w:p w:rsidR="000A5569" w:rsidRDefault="000A5569" w:rsidP="000A5569">
      <w:pPr>
        <w:pStyle w:val="Textbodu"/>
        <w:numPr>
          <w:ilvl w:val="0"/>
          <w:numId w:val="0"/>
        </w:numPr>
        <w:tabs>
          <w:tab w:val="left" w:pos="708"/>
        </w:tabs>
        <w:spacing w:after="120"/>
        <w:ind w:left="360"/>
      </w:pPr>
      <w:r>
        <w:t xml:space="preserve">   kde:</w:t>
      </w:r>
    </w:p>
    <w:p w:rsidR="000A5569" w:rsidRPr="009F79DD" w:rsidRDefault="000A5569" w:rsidP="000A5569">
      <w:pPr>
        <w:pStyle w:val="Textbodu"/>
        <w:numPr>
          <w:ilvl w:val="0"/>
          <w:numId w:val="0"/>
        </w:numPr>
        <w:tabs>
          <w:tab w:val="left" w:pos="708"/>
        </w:tabs>
        <w:spacing w:after="120"/>
        <w:ind w:left="360"/>
      </w:pPr>
    </w:p>
    <w:p w:rsidR="000A5569" w:rsidRPr="009F79DD" w:rsidRDefault="000A5569" w:rsidP="000A5569">
      <w:pPr>
        <w:pStyle w:val="Textbodu"/>
        <w:numPr>
          <w:ilvl w:val="0"/>
          <w:numId w:val="0"/>
        </w:numPr>
        <w:tabs>
          <w:tab w:val="left" w:pos="708"/>
        </w:tabs>
        <w:spacing w:after="120"/>
        <w:ind w:left="2835" w:hanging="2267"/>
      </w:pPr>
      <w:r w:rsidRPr="009F79DD">
        <w:fldChar w:fldCharType="begin"/>
      </w:r>
      <w:r w:rsidRPr="009F79DD">
        <w:instrText xml:space="preserve"> QUOTE </w:instrText>
      </w:r>
      <w:r w:rsidR="004F7DDA">
        <w:rPr>
          <w:noProof/>
        </w:rPr>
        <w:drawing>
          <wp:inline distT="0" distB="0" distL="0" distR="0">
            <wp:extent cx="819150" cy="190500"/>
            <wp:effectExtent l="0" t="0" r="0" b="0"/>
            <wp:docPr id="19"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90500"/>
                    </a:xfrm>
                    <a:prstGeom prst="rect">
                      <a:avLst/>
                    </a:prstGeom>
                    <a:noFill/>
                    <a:ln>
                      <a:noFill/>
                    </a:ln>
                  </pic:spPr>
                </pic:pic>
              </a:graphicData>
            </a:graphic>
          </wp:inline>
        </w:drawing>
      </w:r>
      <w:r w:rsidRPr="009F79DD">
        <w:instrText xml:space="preserve"> </w:instrText>
      </w:r>
      <w:r w:rsidRPr="009F79DD">
        <w:fldChar w:fldCharType="end"/>
      </w:r>
      <w:proofErr w:type="spellStart"/>
      <w:r w:rsidR="007E32B8">
        <w:t>Úhr_amb</w:t>
      </w:r>
      <w:r w:rsidR="007E32B8">
        <w:rPr>
          <w:vertAlign w:val="subscript"/>
        </w:rPr>
        <w:t>max</w:t>
      </w:r>
      <w:proofErr w:type="spellEnd"/>
      <w:r w:rsidRPr="009F79DD">
        <w:tab/>
        <w:t>je maximální možná celková úhrada poskytovateli za hrazené</w:t>
      </w:r>
      <w:r>
        <w:t xml:space="preserve"> </w:t>
      </w:r>
      <w:r w:rsidRPr="009F79DD">
        <w:t>služby</w:t>
      </w:r>
      <w:r>
        <w:t xml:space="preserve">, včetně zvlášť účtovaných léčivých přípravků a zvlášť účtovaného materiálu, </w:t>
      </w:r>
      <w:r w:rsidRPr="009F79DD">
        <w:t>s výjimkou zvlášť účtovaných léčivých přípravků označených symbolem „S“ podle § 39 odst. 1 vyhlášky č. 376/2011 Sb.</w:t>
      </w:r>
      <w:r w:rsidR="00B115C5">
        <w:t>,</w:t>
      </w:r>
      <w:r w:rsidR="00B115C5" w:rsidRPr="00B115C5">
        <w:t xml:space="preserve"> </w:t>
      </w:r>
      <w:r w:rsidR="00B115C5" w:rsidRPr="00896083">
        <w:t xml:space="preserve">poskytnuté v hodnoceném období podle odstavců </w:t>
      </w:r>
      <w:r w:rsidR="00B115C5">
        <w:t>5</w:t>
      </w:r>
      <w:r w:rsidR="00B115C5" w:rsidRPr="00896083">
        <w:t xml:space="preserve">.1 až </w:t>
      </w:r>
      <w:r w:rsidR="00B115C5">
        <w:t>5</w:t>
      </w:r>
      <w:r w:rsidR="00B115C5" w:rsidRPr="00896083">
        <w:t>.9</w:t>
      </w:r>
    </w:p>
    <w:p w:rsidR="000A5569" w:rsidRPr="009F79DD" w:rsidRDefault="000A5569" w:rsidP="000A5569">
      <w:pPr>
        <w:pStyle w:val="Textbodu"/>
        <w:numPr>
          <w:ilvl w:val="0"/>
          <w:numId w:val="0"/>
        </w:numPr>
        <w:tabs>
          <w:tab w:val="left" w:pos="708"/>
        </w:tabs>
        <w:spacing w:after="120"/>
        <w:ind w:left="2835" w:hanging="2268"/>
      </w:pPr>
      <w:r w:rsidRPr="009F79DD">
        <w:fldChar w:fldCharType="begin"/>
      </w:r>
      <w:r w:rsidRPr="009F79DD">
        <w:instrText xml:space="preserve"> QUOTE </w:instrText>
      </w:r>
      <w:r w:rsidR="004F7DDA">
        <w:rPr>
          <w:noProof/>
        </w:rPr>
        <w:drawing>
          <wp:inline distT="0" distB="0" distL="0" distR="0">
            <wp:extent cx="714375" cy="190500"/>
            <wp:effectExtent l="0" t="0" r="9525" b="0"/>
            <wp:docPr id="20"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190500"/>
                    </a:xfrm>
                    <a:prstGeom prst="rect">
                      <a:avLst/>
                    </a:prstGeom>
                    <a:noFill/>
                    <a:ln>
                      <a:noFill/>
                    </a:ln>
                  </pic:spPr>
                </pic:pic>
              </a:graphicData>
            </a:graphic>
          </wp:inline>
        </w:drawing>
      </w:r>
      <w:r w:rsidRPr="009F79DD">
        <w:instrText xml:space="preserve"> </w:instrText>
      </w:r>
      <w:r w:rsidRPr="009F79DD">
        <w:fldChar w:fldCharType="end"/>
      </w:r>
      <w:r w:rsidR="007E32B8">
        <w:t>Úhr_amb</w:t>
      </w:r>
      <w:r w:rsidR="007E32B8">
        <w:rPr>
          <w:vertAlign w:val="subscript"/>
        </w:rPr>
        <w:t>201</w:t>
      </w:r>
      <w:r w:rsidR="00B115C5">
        <w:rPr>
          <w:vertAlign w:val="subscript"/>
        </w:rPr>
        <w:t>5</w:t>
      </w:r>
      <w:r w:rsidRPr="009F79DD">
        <w:tab/>
      </w:r>
      <w:r w:rsidR="00B115C5">
        <w:t xml:space="preserve">je celková výše úhrady poskytovateli </w:t>
      </w:r>
      <w:r w:rsidR="00B115C5" w:rsidRPr="00896083">
        <w:t>za hrazené služby poskytnuté v </w:t>
      </w:r>
      <w:r w:rsidR="00B115C5">
        <w:t>roce 2015</w:t>
      </w:r>
      <w:r w:rsidR="00B115C5" w:rsidRPr="00896083">
        <w:t xml:space="preserve"> podle odstavců </w:t>
      </w:r>
      <w:r w:rsidR="00B115C5">
        <w:t>6</w:t>
      </w:r>
      <w:r w:rsidR="00B115C5" w:rsidRPr="00896083">
        <w:t xml:space="preserve">.1 až </w:t>
      </w:r>
      <w:r w:rsidR="00B115C5">
        <w:t>6</w:t>
      </w:r>
      <w:r w:rsidR="00B115C5" w:rsidRPr="00896083">
        <w:t>.9</w:t>
      </w:r>
      <w:r w:rsidR="00B115C5">
        <w:t xml:space="preserve">, </w:t>
      </w:r>
      <w:proofErr w:type="gramStart"/>
      <w:r w:rsidR="00B115C5">
        <w:t xml:space="preserve">včetně </w:t>
      </w:r>
      <w:r w:rsidR="00B115C5" w:rsidRPr="00896083">
        <w:t xml:space="preserve"> </w:t>
      </w:r>
      <w:r w:rsidR="00B115C5">
        <w:t>úhrady</w:t>
      </w:r>
      <w:proofErr w:type="gramEnd"/>
      <w:r w:rsidR="00B115C5">
        <w:t xml:space="preserve"> za </w:t>
      </w:r>
      <w:r w:rsidR="00B115C5" w:rsidRPr="00896083">
        <w:t>zvlášť účtované léčivé přípravky a zvlášť účtovaný materiál s výjimkou zvlášť účtovaných léčivých přípravků označených symbolem „S“ podle § 39 odst. 1 vyhlášky č.</w:t>
      </w:r>
      <w:r w:rsidR="00B115C5">
        <w:t> </w:t>
      </w:r>
      <w:r w:rsidR="00B115C5" w:rsidRPr="00896083">
        <w:t>376/2011 Sb</w:t>
      </w:r>
      <w:r w:rsidRPr="009F79DD">
        <w:t>.</w:t>
      </w:r>
      <w:r>
        <w:t xml:space="preserve"> </w:t>
      </w:r>
    </w:p>
    <w:p w:rsidR="00B115C5" w:rsidRPr="00B115C5" w:rsidRDefault="00B115C5" w:rsidP="00B115C5">
      <w:pPr>
        <w:pStyle w:val="Textbodu"/>
        <w:numPr>
          <w:ilvl w:val="1"/>
          <w:numId w:val="10"/>
        </w:numPr>
        <w:spacing w:after="120"/>
      </w:pPr>
      <w:r>
        <w:t xml:space="preserve">Pro </w:t>
      </w:r>
      <w:r w:rsidRPr="009F79DD">
        <w:t>nasmlouvaný výkon 09563 podle seznamu výkonů se stan</w:t>
      </w:r>
      <w:r>
        <w:t xml:space="preserve">oví hodnota bodu ve výši 1 Kč, </w:t>
      </w:r>
      <w:r w:rsidRPr="009F79DD">
        <w:t>pro nasmlouvaný výkon 88101 podle seznamu výkonů se sta</w:t>
      </w:r>
      <w:r>
        <w:t xml:space="preserve">noví hodnota bodu ve výši 1 Kč. Pro výkony </w:t>
      </w:r>
      <w:r w:rsidRPr="00896083">
        <w:rPr>
          <w:szCs w:val="24"/>
        </w:rPr>
        <w:t xml:space="preserve">mamografického </w:t>
      </w:r>
      <w:proofErr w:type="spellStart"/>
      <w:r w:rsidRPr="00896083">
        <w:rPr>
          <w:szCs w:val="24"/>
        </w:rPr>
        <w:t>screeningu</w:t>
      </w:r>
      <w:proofErr w:type="spellEnd"/>
      <w:r w:rsidRPr="00896083">
        <w:rPr>
          <w:szCs w:val="24"/>
        </w:rPr>
        <w:t>,</w:t>
      </w:r>
      <w:r w:rsidRPr="00896083">
        <w:t xml:space="preserve"> </w:t>
      </w:r>
      <w:proofErr w:type="spellStart"/>
      <w:r w:rsidRPr="00896083">
        <w:t>screeningu</w:t>
      </w:r>
      <w:proofErr w:type="spellEnd"/>
      <w:r w:rsidRPr="00896083">
        <w:t xml:space="preserve"> karcinomu děložního hrdla a</w:t>
      </w:r>
      <w:r w:rsidRPr="00896083">
        <w:rPr>
          <w:szCs w:val="24"/>
        </w:rPr>
        <w:t xml:space="preserve"> </w:t>
      </w:r>
      <w:proofErr w:type="spellStart"/>
      <w:r w:rsidRPr="00896083">
        <w:rPr>
          <w:szCs w:val="24"/>
        </w:rPr>
        <w:t>screeningu</w:t>
      </w:r>
      <w:proofErr w:type="spellEnd"/>
      <w:r w:rsidRPr="00896083">
        <w:rPr>
          <w:szCs w:val="24"/>
        </w:rPr>
        <w:t xml:space="preserve"> kolorektálního karcinomu</w:t>
      </w:r>
      <w:r>
        <w:t xml:space="preserve"> </w:t>
      </w:r>
      <w:r w:rsidRPr="00896083">
        <w:t xml:space="preserve">podle seznamu výkonů se stanoví hodnota bodu ve výši </w:t>
      </w:r>
      <w:r w:rsidRPr="00896083">
        <w:lastRenderedPageBreak/>
        <w:t>1</w:t>
      </w:r>
      <w:r>
        <w:t>,03</w:t>
      </w:r>
      <w:r w:rsidRPr="00896083">
        <w:t xml:space="preserve"> Kč. Výkony uvedené ve větě první </w:t>
      </w:r>
      <w:r>
        <w:t xml:space="preserve">a druhé </w:t>
      </w:r>
      <w:r w:rsidRPr="00896083">
        <w:t xml:space="preserve">zdravotní pojišťovna nezahrne do výpočtu </w:t>
      </w:r>
      <w:r w:rsidRPr="00896083">
        <w:rPr>
          <w:szCs w:val="24"/>
        </w:rPr>
        <w:t xml:space="preserve">regulace podle bodů </w:t>
      </w:r>
      <w:r>
        <w:rPr>
          <w:szCs w:val="24"/>
        </w:rPr>
        <w:t>5</w:t>
      </w:r>
      <w:r w:rsidRPr="00896083">
        <w:rPr>
          <w:szCs w:val="24"/>
        </w:rPr>
        <w:t xml:space="preserve">.1 až </w:t>
      </w:r>
      <w:r>
        <w:rPr>
          <w:szCs w:val="24"/>
        </w:rPr>
        <w:t>5</w:t>
      </w:r>
      <w:r w:rsidRPr="00896083">
        <w:rPr>
          <w:szCs w:val="24"/>
        </w:rPr>
        <w:t>.10</w:t>
      </w:r>
      <w:r>
        <w:rPr>
          <w:szCs w:val="24"/>
        </w:rPr>
        <w:t>.</w:t>
      </w:r>
    </w:p>
    <w:p w:rsidR="00B115C5" w:rsidRPr="009F79DD" w:rsidRDefault="00B115C5" w:rsidP="00B115C5">
      <w:pPr>
        <w:pStyle w:val="Textbodu"/>
        <w:numPr>
          <w:ilvl w:val="1"/>
          <w:numId w:val="10"/>
        </w:numPr>
        <w:spacing w:after="120"/>
      </w:pPr>
      <w:r>
        <w:t>Léčivé přípravky uvedené v příloze č. ……… k vyhlášce uhradí zdravotní pojišťovna poskytovateli ve výši dle platného číselníku.</w:t>
      </w:r>
    </w:p>
    <w:p w:rsidR="004B147F" w:rsidRPr="00B60E28" w:rsidRDefault="000A5569" w:rsidP="00B60E28">
      <w:pPr>
        <w:pStyle w:val="Textbodu"/>
        <w:numPr>
          <w:ilvl w:val="0"/>
          <w:numId w:val="10"/>
        </w:numPr>
        <w:tabs>
          <w:tab w:val="clear" w:pos="360"/>
          <w:tab w:val="left" w:pos="284"/>
          <w:tab w:val="num" w:pos="567"/>
        </w:tabs>
        <w:spacing w:after="120"/>
        <w:ind w:left="567" w:hanging="567"/>
      </w:pPr>
      <w:r>
        <w:t xml:space="preserve">     </w:t>
      </w:r>
      <w:r w:rsidR="004B147F" w:rsidRPr="00B60E28">
        <w:t xml:space="preserve">Pokud dojde </w:t>
      </w:r>
      <w:r w:rsidR="00124D07" w:rsidRPr="00B60E28">
        <w:t xml:space="preserve">u </w:t>
      </w:r>
      <w:r w:rsidR="00B115C5">
        <w:t>Poskytovatele</w:t>
      </w:r>
      <w:r w:rsidR="00124D07" w:rsidRPr="00B60E28">
        <w:t xml:space="preserve"> </w:t>
      </w:r>
      <w:r w:rsidR="004B147F" w:rsidRPr="00B60E28">
        <w:t>ke změnám v rozsahu a struktuře poskytované hrazené péče v porovnání s referenčním obdobím a zdravotní pojišťovna tyto změny odsouhlasí, zohlední je ve smlouvě, včetně vyčíslení dopadů do úhrad.</w:t>
      </w:r>
    </w:p>
    <w:p w:rsidR="0074040F" w:rsidRPr="00B60E28" w:rsidRDefault="000E5620" w:rsidP="00B60E28">
      <w:pPr>
        <w:pStyle w:val="Textbodu"/>
        <w:numPr>
          <w:ilvl w:val="0"/>
          <w:numId w:val="10"/>
        </w:numPr>
        <w:tabs>
          <w:tab w:val="clear" w:pos="360"/>
          <w:tab w:val="num" w:pos="567"/>
          <w:tab w:val="left" w:pos="708"/>
        </w:tabs>
        <w:spacing w:after="120"/>
        <w:ind w:left="567" w:hanging="567"/>
      </w:pPr>
      <w:r>
        <w:t>Z</w:t>
      </w:r>
      <w:r w:rsidR="0074040F" w:rsidRPr="00B60E28">
        <w:t>dravotní péč</w:t>
      </w:r>
      <w:r>
        <w:t>e</w:t>
      </w:r>
      <w:r w:rsidR="0074040F" w:rsidRPr="00B60E28">
        <w:t xml:space="preserve"> hrazen</w:t>
      </w:r>
      <w:r>
        <w:t>á</w:t>
      </w:r>
      <w:r w:rsidR="0074040F" w:rsidRPr="00B60E28">
        <w:t xml:space="preserve"> podle seznamu výkonů, </w:t>
      </w:r>
      <w:r>
        <w:t>zdravotní péče</w:t>
      </w:r>
      <w:r w:rsidR="0074040F" w:rsidRPr="00B60E28">
        <w:t xml:space="preserve"> poskytovan</w:t>
      </w:r>
      <w:r>
        <w:t>á</w:t>
      </w:r>
      <w:r w:rsidR="0074040F" w:rsidRPr="00B60E28">
        <w:t xml:space="preserve"> zahraničním pojištěncům</w:t>
      </w:r>
      <w:r>
        <w:t xml:space="preserve"> a nutná a neodkladná péče poskytovaná nesmluvními poskytovateli zdravotních služeb</w:t>
      </w:r>
      <w:r w:rsidR="0074040F" w:rsidRPr="00B60E28">
        <w:t xml:space="preserve">, </w:t>
      </w:r>
      <w:r>
        <w:t>bude hrazena v</w:t>
      </w:r>
      <w:r w:rsidR="0074040F" w:rsidRPr="00B60E28">
        <w:t xml:space="preserve"> hodnot</w:t>
      </w:r>
      <w:r>
        <w:t>ě</w:t>
      </w:r>
      <w:r w:rsidR="0074040F" w:rsidRPr="00B60E28">
        <w:t xml:space="preserve"> bodu </w:t>
      </w:r>
      <w:r w:rsidR="009E4FD2">
        <w:t xml:space="preserve">pro hospitalizační případy </w:t>
      </w:r>
      <w:r w:rsidR="0074040F" w:rsidRPr="00B60E28">
        <w:t xml:space="preserve">ve výši </w:t>
      </w:r>
      <w:r w:rsidR="007E32B8">
        <w:t>1,-</w:t>
      </w:r>
      <w:r w:rsidR="0074040F" w:rsidRPr="00B60E28">
        <w:t xml:space="preserve"> Kč</w:t>
      </w:r>
      <w:r w:rsidR="009E4FD2">
        <w:t>, pro výkony provedené v ambulantním režimu v h</w:t>
      </w:r>
      <w:r w:rsidR="00B115C5">
        <w:t>odnotách bodu uvedených v bodě 5</w:t>
      </w:r>
      <w:r w:rsidR="0074040F" w:rsidRPr="00B60E28">
        <w:t>.</w:t>
      </w:r>
    </w:p>
    <w:p w:rsidR="004B147F" w:rsidRPr="00B60E28" w:rsidRDefault="004B147F" w:rsidP="00B60E28">
      <w:pPr>
        <w:pStyle w:val="Textbodu"/>
        <w:numPr>
          <w:ilvl w:val="0"/>
          <w:numId w:val="10"/>
        </w:numPr>
        <w:tabs>
          <w:tab w:val="clear" w:pos="360"/>
          <w:tab w:val="num" w:pos="567"/>
        </w:tabs>
        <w:spacing w:after="120"/>
        <w:ind w:left="567" w:hanging="567"/>
      </w:pPr>
      <w:r w:rsidRPr="00B60E28">
        <w:t xml:space="preserve">Zdravotní pojišťovna může </w:t>
      </w:r>
      <w:r w:rsidR="00B115C5">
        <w:t>Poskytovateli</w:t>
      </w:r>
      <w:r w:rsidRPr="00B60E28">
        <w:t xml:space="preserve"> poskytnout měsíční předběžnou úhradu ve výši </w:t>
      </w:r>
      <w:r w:rsidR="00B115C5">
        <w:t xml:space="preserve">105,5% </w:t>
      </w:r>
      <w:r w:rsidRPr="00B60E28">
        <w:t xml:space="preserve">jedné dvanáctiny objemu úhrady </w:t>
      </w:r>
      <w:r w:rsidR="001F7F69">
        <w:t xml:space="preserve">náležející </w:t>
      </w:r>
      <w:r w:rsidR="00B115C5">
        <w:t>Poskytovateli</w:t>
      </w:r>
      <w:r w:rsidR="001F7F69">
        <w:t xml:space="preserve"> v příslušném referenčním období po vypořádání všech regulačních opatření s výjimkou regulace preskripce</w:t>
      </w:r>
      <w:bookmarkStart w:id="2" w:name="_GoBack"/>
      <w:bookmarkEnd w:id="2"/>
      <w:r w:rsidR="001F7F69">
        <w:t>.</w:t>
      </w:r>
      <w:r w:rsidRPr="00B60E28">
        <w:t xml:space="preserve"> Předběžná úhrada za hodnocené období bude finančně vypořádána v rámci celkového finančního vypořádání, včetně regulačních omezení, a to nejpozději do </w:t>
      </w:r>
      <w:r w:rsidR="001F7F69">
        <w:t>30. 6. 201</w:t>
      </w:r>
      <w:r w:rsidR="00B115C5">
        <w:t>8</w:t>
      </w:r>
      <w:r w:rsidR="001F7F69">
        <w:t>.</w:t>
      </w:r>
      <w:r w:rsidRPr="00B60E28">
        <w:t xml:space="preserve"> </w:t>
      </w:r>
    </w:p>
    <w:p w:rsidR="004B147F" w:rsidRPr="00B60E28" w:rsidRDefault="004B147F" w:rsidP="004B147F">
      <w:pPr>
        <w:pStyle w:val="Zhlav"/>
        <w:tabs>
          <w:tab w:val="clear" w:pos="4536"/>
          <w:tab w:val="clear" w:pos="9072"/>
        </w:tabs>
        <w:rPr>
          <w:b/>
        </w:rPr>
      </w:pPr>
    </w:p>
    <w:p w:rsidR="001D6029" w:rsidRDefault="001D6029" w:rsidP="001D6029">
      <w:pPr>
        <w:pStyle w:val="Zhlav"/>
        <w:numPr>
          <w:ilvl w:val="1"/>
          <w:numId w:val="1"/>
        </w:numPr>
        <w:tabs>
          <w:tab w:val="clear" w:pos="1440"/>
          <w:tab w:val="clear" w:pos="4536"/>
          <w:tab w:val="clear" w:pos="9072"/>
        </w:tabs>
        <w:ind w:left="425" w:hanging="425"/>
        <w:rPr>
          <w:b/>
        </w:rPr>
      </w:pPr>
      <w:r w:rsidRPr="009C077C">
        <w:rPr>
          <w:b/>
        </w:rPr>
        <w:t>Regulační omezení</w:t>
      </w:r>
    </w:p>
    <w:p w:rsidR="007E32B8" w:rsidRDefault="007E32B8" w:rsidP="007E32B8">
      <w:pPr>
        <w:pStyle w:val="Zhlav"/>
        <w:tabs>
          <w:tab w:val="clear" w:pos="4536"/>
          <w:tab w:val="clear" w:pos="9072"/>
        </w:tabs>
        <w:ind w:left="425"/>
        <w:rPr>
          <w:b/>
        </w:rPr>
      </w:pPr>
    </w:p>
    <w:p w:rsidR="001F7F69" w:rsidRPr="002476E7" w:rsidRDefault="001F7F69" w:rsidP="001F7F69">
      <w:pPr>
        <w:pStyle w:val="Textbodu"/>
        <w:numPr>
          <w:ilvl w:val="0"/>
          <w:numId w:val="15"/>
        </w:numPr>
        <w:tabs>
          <w:tab w:val="clear" w:pos="2062"/>
          <w:tab w:val="num" w:pos="426"/>
        </w:tabs>
        <w:spacing w:after="120"/>
        <w:ind w:left="2064" w:hanging="2064"/>
        <w:rPr>
          <w:b/>
        </w:rPr>
      </w:pPr>
      <w:r w:rsidRPr="009F79DD">
        <w:rPr>
          <w:b/>
        </w:rPr>
        <w:t>Regulační omezení úhrady formou případového paušálu</w:t>
      </w:r>
    </w:p>
    <w:p w:rsidR="001F7F69" w:rsidRPr="009C077C" w:rsidRDefault="001F7F69" w:rsidP="007E32B8">
      <w:pPr>
        <w:pStyle w:val="Zhlav"/>
        <w:tabs>
          <w:tab w:val="clear" w:pos="4536"/>
          <w:tab w:val="clear" w:pos="9072"/>
        </w:tabs>
        <w:ind w:left="425"/>
        <w:rPr>
          <w:b/>
        </w:rPr>
      </w:pPr>
    </w:p>
    <w:p w:rsidR="0037374B" w:rsidRPr="00A41AEF" w:rsidRDefault="0037374B" w:rsidP="0037374B">
      <w:pPr>
        <w:pStyle w:val="Textpsmene"/>
        <w:numPr>
          <w:ilvl w:val="1"/>
          <w:numId w:val="17"/>
        </w:numPr>
        <w:tabs>
          <w:tab w:val="clear" w:pos="792"/>
          <w:tab w:val="num" w:pos="426"/>
        </w:tabs>
        <w:spacing w:after="120"/>
        <w:ind w:left="425" w:hanging="425"/>
        <w:rPr>
          <w:szCs w:val="24"/>
        </w:rPr>
      </w:pPr>
      <w:r>
        <w:t>Revizi jednotlivého případu podle bodu 1.4 písm. a) zdravotní pojišťovna uplatní pouze</w:t>
      </w:r>
    </w:p>
    <w:p w:rsidR="0037374B" w:rsidRDefault="0037374B" w:rsidP="0037374B">
      <w:pPr>
        <w:pStyle w:val="Textpsmene"/>
        <w:numPr>
          <w:ilvl w:val="4"/>
          <w:numId w:val="17"/>
        </w:numPr>
        <w:spacing w:after="120"/>
        <w:ind w:left="782" w:hanging="357"/>
        <w:rPr>
          <w:szCs w:val="24"/>
        </w:rPr>
      </w:pPr>
      <w:r>
        <w:rPr>
          <w:szCs w:val="24"/>
        </w:rPr>
        <w:t xml:space="preserve">na případy v DRG </w:t>
      </w:r>
      <w:proofErr w:type="spellStart"/>
      <w:r>
        <w:rPr>
          <w:szCs w:val="24"/>
        </w:rPr>
        <w:t>bazi</w:t>
      </w:r>
      <w:proofErr w:type="spellEnd"/>
      <w:r>
        <w:rPr>
          <w:szCs w:val="24"/>
        </w:rPr>
        <w:t>, v níž poskytovatel vykázal 10 či méně než 10 případů, nebo</w:t>
      </w:r>
    </w:p>
    <w:p w:rsidR="0037374B" w:rsidRDefault="0037374B" w:rsidP="0037374B">
      <w:pPr>
        <w:pStyle w:val="Textpsmene"/>
        <w:numPr>
          <w:ilvl w:val="4"/>
          <w:numId w:val="17"/>
        </w:numPr>
        <w:spacing w:after="120"/>
        <w:ind w:left="782" w:hanging="357"/>
        <w:rPr>
          <w:szCs w:val="24"/>
        </w:rPr>
      </w:pPr>
      <w:r>
        <w:rPr>
          <w:szCs w:val="24"/>
        </w:rPr>
        <w:t xml:space="preserve">maximálně na X případů v DRG </w:t>
      </w:r>
      <w:proofErr w:type="spellStart"/>
      <w:r>
        <w:rPr>
          <w:szCs w:val="24"/>
        </w:rPr>
        <w:t>bazi</w:t>
      </w:r>
      <w:proofErr w:type="spellEnd"/>
      <w:r>
        <w:rPr>
          <w:szCs w:val="24"/>
        </w:rPr>
        <w:t xml:space="preserve">, v níž poskytovatel vykázal více než 10 případů a na níž nebyla uplatněna revize podle bodu 1.4 písmene b) nebo c), kde X se vypočítá jako 10 případů plus 10 % případů vykázaných v dané DRG </w:t>
      </w:r>
      <w:proofErr w:type="spellStart"/>
      <w:r>
        <w:rPr>
          <w:szCs w:val="24"/>
        </w:rPr>
        <w:t>bazi</w:t>
      </w:r>
      <w:proofErr w:type="spellEnd"/>
      <w:r>
        <w:rPr>
          <w:szCs w:val="24"/>
        </w:rPr>
        <w:t>.</w:t>
      </w:r>
    </w:p>
    <w:p w:rsidR="0037374B" w:rsidRPr="00C2015C" w:rsidRDefault="0037374B" w:rsidP="0037374B">
      <w:pPr>
        <w:pStyle w:val="Textpsmene"/>
        <w:numPr>
          <w:ilvl w:val="1"/>
          <w:numId w:val="17"/>
        </w:numPr>
        <w:tabs>
          <w:tab w:val="clear" w:pos="792"/>
          <w:tab w:val="num" w:pos="426"/>
        </w:tabs>
        <w:spacing w:after="120"/>
        <w:ind w:left="425" w:hanging="425"/>
        <w:rPr>
          <w:szCs w:val="24"/>
        </w:rPr>
      </w:pPr>
      <w:r>
        <w:t xml:space="preserve">Na DRG </w:t>
      </w:r>
      <w:proofErr w:type="spellStart"/>
      <w:r>
        <w:t>baze</w:t>
      </w:r>
      <w:proofErr w:type="spellEnd"/>
      <w:r w:rsidRPr="00C2015C">
        <w:rPr>
          <w:szCs w:val="24"/>
        </w:rPr>
        <w:t>, v nichž poskytova</w:t>
      </w:r>
      <w:r>
        <w:rPr>
          <w:szCs w:val="24"/>
        </w:rPr>
        <w:t>tel</w:t>
      </w:r>
      <w:r w:rsidRPr="00C2015C">
        <w:rPr>
          <w:szCs w:val="24"/>
        </w:rPr>
        <w:t xml:space="preserve"> vykázal více než 10 případů, uplatní pojišťovna revize podle bodu 1.</w:t>
      </w:r>
      <w:r>
        <w:rPr>
          <w:szCs w:val="24"/>
        </w:rPr>
        <w:t>4</w:t>
      </w:r>
      <w:r w:rsidRPr="00C2015C">
        <w:rPr>
          <w:szCs w:val="24"/>
        </w:rPr>
        <w:t xml:space="preserve"> písm. b) nebo c), s výjimkou případů popsaných v bodě 1.2 písm. b)</w:t>
      </w:r>
      <w:r>
        <w:rPr>
          <w:szCs w:val="24"/>
        </w:rPr>
        <w:t>.</w:t>
      </w:r>
    </w:p>
    <w:p w:rsidR="0037374B" w:rsidRPr="00896083" w:rsidRDefault="0037374B" w:rsidP="0037374B">
      <w:pPr>
        <w:pStyle w:val="Textpsmene"/>
        <w:numPr>
          <w:ilvl w:val="1"/>
          <w:numId w:val="17"/>
        </w:numPr>
        <w:tabs>
          <w:tab w:val="clear" w:pos="792"/>
          <w:tab w:val="num" w:pos="426"/>
        </w:tabs>
        <w:spacing w:after="120"/>
        <w:ind w:left="425" w:hanging="425"/>
        <w:rPr>
          <w:szCs w:val="24"/>
        </w:rPr>
      </w:pPr>
      <w:r w:rsidRPr="00896083">
        <w:t xml:space="preserve">Pokud zdravotní pojišťovna zjistí při kontrole odchylky od pravidel ve vykazování a kódování podle Klasifikace, v jejichž důsledku došlo k nesprávnému zařazení případu do DRG skupiny s vyšší hodnotou relativní váhy  u konkrétního poskytovatele, sníží poskytovatelem vykázaný a pojišťovnou uznaný </w:t>
      </w:r>
      <m:oMath>
        <m:sSub>
          <m:sSubPr>
            <m:ctrlPr>
              <w:rPr>
                <w:rFonts w:ascii="Cambria Math" w:hAnsi="Cambria Math"/>
                <w:i/>
              </w:rPr>
            </m:ctrlPr>
          </m:sSubPr>
          <m:e>
            <m:r>
              <w:rPr>
                <w:rFonts w:ascii="Cambria Math" w:hAnsi="Cambria Math"/>
              </w:rPr>
              <m:t>CM</m:t>
            </m:r>
          </m:e>
          <m:sub>
            <m:r>
              <w:rPr>
                <w:rFonts w:ascii="Cambria Math" w:hAnsi="Cambria Math"/>
              </w:rPr>
              <m:t>2017</m:t>
            </m:r>
          </m:sub>
        </m:sSub>
      </m:oMath>
      <w:r w:rsidRPr="00896083">
        <w:t xml:space="preserve"> takto:</w:t>
      </w:r>
    </w:p>
    <w:p w:rsidR="0037374B" w:rsidRPr="00896083" w:rsidRDefault="0037374B" w:rsidP="0037374B">
      <w:pPr>
        <w:ind w:left="540"/>
        <w:rPr>
          <w:szCs w:val="24"/>
        </w:rPr>
      </w:pPr>
    </w:p>
    <w:p w:rsidR="0037374B" w:rsidRPr="00896083" w:rsidRDefault="0037374B" w:rsidP="0037374B">
      <w:pPr>
        <w:numPr>
          <w:ilvl w:val="0"/>
          <w:numId w:val="14"/>
        </w:numPr>
        <w:tabs>
          <w:tab w:val="clear" w:pos="525"/>
        </w:tabs>
        <w:ind w:left="1418"/>
        <w:rPr>
          <w:szCs w:val="24"/>
        </w:rPr>
      </w:pPr>
      <w:r w:rsidRPr="00896083">
        <w:rPr>
          <w:szCs w:val="24"/>
        </w:rPr>
        <w:t xml:space="preserve">při revizi jednotlivého případu sníží </w:t>
      </w:r>
      <m:oMath>
        <m:r>
          <w:rPr>
            <w:rFonts w:ascii="Cambria Math" w:hAnsi="Cambria Math"/>
            <w:szCs w:val="24"/>
          </w:rPr>
          <m:t>CM</m:t>
        </m:r>
      </m:oMath>
      <w:r w:rsidRPr="00896083">
        <w:rPr>
          <w:szCs w:val="24"/>
        </w:rPr>
        <w:t xml:space="preserve"> o:</w:t>
      </w:r>
    </w:p>
    <w:p w:rsidR="0037374B" w:rsidRPr="00896083" w:rsidRDefault="0037374B" w:rsidP="0037374B">
      <w:pPr>
        <w:ind w:left="1418"/>
      </w:pPr>
    </w:p>
    <w:p w:rsidR="0037374B" w:rsidRPr="00433611" w:rsidRDefault="0037374B" w:rsidP="0037374B">
      <w:pPr>
        <w:ind w:left="1418"/>
      </w:pPr>
      <w:r w:rsidRPr="00896083">
        <w:t>(</w:t>
      </w:r>
      <w:proofErr w:type="spellStart"/>
      <w:r w:rsidRPr="00896083">
        <w:t>CM</w:t>
      </w:r>
      <w:r w:rsidRPr="00896083">
        <w:rPr>
          <w:szCs w:val="24"/>
          <w:vertAlign w:val="subscript"/>
        </w:rPr>
        <w:t>původní</w:t>
      </w:r>
      <w:proofErr w:type="spellEnd"/>
      <w:r w:rsidRPr="00896083">
        <w:t xml:space="preserve"> – </w:t>
      </w:r>
      <w:proofErr w:type="spellStart"/>
      <w:r w:rsidRPr="00896083">
        <w:t>CM</w:t>
      </w:r>
      <w:r w:rsidRPr="00896083">
        <w:rPr>
          <w:szCs w:val="24"/>
          <w:vertAlign w:val="subscript"/>
        </w:rPr>
        <w:t>revidovaný</w:t>
      </w:r>
      <w:proofErr w:type="spellEnd"/>
      <w:r w:rsidRPr="00896083">
        <w:t>) x 2</w:t>
      </w:r>
    </w:p>
    <w:p w:rsidR="0037374B" w:rsidRPr="00896083" w:rsidRDefault="0037374B" w:rsidP="0037374B">
      <w:pPr>
        <w:ind w:left="1418"/>
      </w:pPr>
    </w:p>
    <w:p w:rsidR="0037374B" w:rsidRPr="00896083" w:rsidRDefault="0037374B" w:rsidP="0037374B">
      <w:pPr>
        <w:ind w:left="1418"/>
        <w:rPr>
          <w:szCs w:val="24"/>
        </w:rPr>
      </w:pPr>
      <w:r w:rsidRPr="00896083">
        <w:t>nebo</w:t>
      </w:r>
    </w:p>
    <w:p w:rsidR="0037374B" w:rsidRPr="00896083" w:rsidRDefault="0037374B" w:rsidP="0037374B">
      <w:pPr>
        <w:rPr>
          <w:szCs w:val="24"/>
        </w:rPr>
      </w:pPr>
    </w:p>
    <w:p w:rsidR="0037374B" w:rsidRPr="00896083" w:rsidRDefault="0037374B" w:rsidP="0037374B">
      <w:pPr>
        <w:numPr>
          <w:ilvl w:val="0"/>
          <w:numId w:val="14"/>
        </w:numPr>
        <w:tabs>
          <w:tab w:val="clear" w:pos="525"/>
        </w:tabs>
        <w:ind w:left="1418"/>
        <w:rPr>
          <w:szCs w:val="24"/>
        </w:rPr>
      </w:pPr>
      <w:r w:rsidRPr="00896083">
        <w:rPr>
          <w:szCs w:val="24"/>
        </w:rPr>
        <w:t xml:space="preserve">při revizi, při které bylo prokázáno statisticky méně významné množství nesprávně zařazených případů v jedné DRG </w:t>
      </w:r>
      <w:proofErr w:type="spellStart"/>
      <w:r w:rsidRPr="00896083">
        <w:rPr>
          <w:szCs w:val="24"/>
        </w:rPr>
        <w:t>bazi</w:t>
      </w:r>
      <w:proofErr w:type="spellEnd"/>
      <w:r w:rsidRPr="00896083">
        <w:rPr>
          <w:szCs w:val="24"/>
        </w:rPr>
        <w:t>, sníží CM o:</w:t>
      </w:r>
    </w:p>
    <w:p w:rsidR="0037374B" w:rsidRPr="00896083" w:rsidRDefault="0037374B" w:rsidP="0037374B">
      <w:pPr>
        <w:ind w:left="540"/>
        <w:rPr>
          <w:szCs w:val="24"/>
          <w:u w:val="single"/>
        </w:rPr>
      </w:pPr>
    </w:p>
    <w:p w:rsidR="0037374B" w:rsidRPr="00433611" w:rsidRDefault="0037374B" w:rsidP="0037374B">
      <w:pPr>
        <w:ind w:left="1134"/>
      </w:pPr>
      <w:r w:rsidRPr="00896083">
        <w:rPr>
          <w:szCs w:val="24"/>
        </w:rPr>
        <w:t>((</w:t>
      </w:r>
      <w:proofErr w:type="spellStart"/>
      <w:r w:rsidRPr="00896083">
        <w:rPr>
          <w:szCs w:val="24"/>
        </w:rPr>
        <w:t>CM</w:t>
      </w:r>
      <w:r w:rsidRPr="00896083">
        <w:rPr>
          <w:szCs w:val="24"/>
          <w:vertAlign w:val="subscript"/>
        </w:rPr>
        <w:t>původní</w:t>
      </w:r>
      <w:proofErr w:type="spellEnd"/>
      <w:r w:rsidRPr="00896083">
        <w:rPr>
          <w:szCs w:val="24"/>
        </w:rPr>
        <w:t xml:space="preserve"> – </w:t>
      </w:r>
      <w:proofErr w:type="spellStart"/>
      <w:r w:rsidRPr="00896083">
        <w:rPr>
          <w:szCs w:val="24"/>
        </w:rPr>
        <w:t>CM</w:t>
      </w:r>
      <w:r w:rsidRPr="00896083">
        <w:rPr>
          <w:szCs w:val="24"/>
          <w:vertAlign w:val="subscript"/>
        </w:rPr>
        <w:t>revidovaný</w:t>
      </w:r>
      <w:proofErr w:type="spellEnd"/>
      <w:r w:rsidRPr="00896083">
        <w:rPr>
          <w:szCs w:val="24"/>
        </w:rPr>
        <w:t xml:space="preserve"> ) / (</w:t>
      </w:r>
      <w:proofErr w:type="spellStart"/>
      <w:r w:rsidRPr="00896083">
        <w:rPr>
          <w:szCs w:val="24"/>
        </w:rPr>
        <w:t>CM</w:t>
      </w:r>
      <w:r w:rsidRPr="00896083">
        <w:rPr>
          <w:szCs w:val="24"/>
          <w:vertAlign w:val="subscript"/>
        </w:rPr>
        <w:t>původní</w:t>
      </w:r>
      <w:proofErr w:type="spellEnd"/>
      <w:r w:rsidRPr="00896083">
        <w:rPr>
          <w:szCs w:val="24"/>
        </w:rPr>
        <w:t xml:space="preserve"> )) x Σ CM </w:t>
      </w:r>
      <w:proofErr w:type="spellStart"/>
      <w:r w:rsidRPr="00896083">
        <w:rPr>
          <w:szCs w:val="24"/>
        </w:rPr>
        <w:t>baze</w:t>
      </w:r>
      <w:proofErr w:type="spellEnd"/>
      <w:r w:rsidRPr="00896083">
        <w:rPr>
          <w:szCs w:val="24"/>
        </w:rPr>
        <w:t xml:space="preserve"> x 0,2</w:t>
      </w:r>
    </w:p>
    <w:p w:rsidR="0037374B" w:rsidRPr="00896083" w:rsidRDefault="0037374B" w:rsidP="0037374B">
      <w:pPr>
        <w:ind w:left="1134"/>
      </w:pPr>
    </w:p>
    <w:p w:rsidR="0037374B" w:rsidRPr="00896083" w:rsidRDefault="0037374B" w:rsidP="0037374B">
      <w:pPr>
        <w:ind w:left="1134"/>
        <w:rPr>
          <w:szCs w:val="24"/>
        </w:rPr>
      </w:pPr>
      <w:r w:rsidRPr="00896083">
        <w:t>nebo</w:t>
      </w:r>
    </w:p>
    <w:p w:rsidR="0037374B" w:rsidRPr="00896083" w:rsidRDefault="0037374B" w:rsidP="0037374B">
      <w:pPr>
        <w:ind w:left="1134"/>
        <w:rPr>
          <w:szCs w:val="24"/>
        </w:rPr>
      </w:pPr>
    </w:p>
    <w:p w:rsidR="0037374B" w:rsidRPr="00896083" w:rsidRDefault="0037374B" w:rsidP="0037374B">
      <w:pPr>
        <w:numPr>
          <w:ilvl w:val="0"/>
          <w:numId w:val="14"/>
        </w:numPr>
        <w:tabs>
          <w:tab w:val="clear" w:pos="525"/>
        </w:tabs>
        <w:ind w:left="1418"/>
        <w:rPr>
          <w:szCs w:val="24"/>
        </w:rPr>
      </w:pPr>
      <w:r w:rsidRPr="00896083">
        <w:rPr>
          <w:szCs w:val="24"/>
        </w:rPr>
        <w:lastRenderedPageBreak/>
        <w:t xml:space="preserve">při revizi, při které bylo prokázáno statisticky významné množství nesprávně zařazených případů v jedné DRG </w:t>
      </w:r>
      <w:proofErr w:type="spellStart"/>
      <w:r w:rsidRPr="00896083">
        <w:rPr>
          <w:szCs w:val="24"/>
        </w:rPr>
        <w:t>bazi</w:t>
      </w:r>
      <w:proofErr w:type="spellEnd"/>
      <w:r w:rsidRPr="00896083">
        <w:rPr>
          <w:szCs w:val="24"/>
        </w:rPr>
        <w:t>, sníží CM o:</w:t>
      </w:r>
    </w:p>
    <w:p w:rsidR="0037374B" w:rsidRPr="00896083" w:rsidRDefault="0037374B" w:rsidP="0037374B">
      <w:pPr>
        <w:ind w:left="1058"/>
        <w:rPr>
          <w:szCs w:val="24"/>
        </w:rPr>
      </w:pPr>
    </w:p>
    <w:p w:rsidR="0037374B" w:rsidRPr="00896083" w:rsidRDefault="0037374B" w:rsidP="0037374B">
      <w:pPr>
        <w:ind w:left="1058"/>
        <w:rPr>
          <w:szCs w:val="24"/>
        </w:rPr>
      </w:pPr>
      <w:r w:rsidRPr="00896083">
        <w:rPr>
          <w:szCs w:val="24"/>
        </w:rPr>
        <w:t>((</w:t>
      </w:r>
      <w:proofErr w:type="spellStart"/>
      <w:r w:rsidRPr="00896083">
        <w:rPr>
          <w:szCs w:val="24"/>
        </w:rPr>
        <w:t>CM</w:t>
      </w:r>
      <w:r w:rsidRPr="00896083">
        <w:rPr>
          <w:szCs w:val="24"/>
          <w:vertAlign w:val="subscript"/>
        </w:rPr>
        <w:t>původní</w:t>
      </w:r>
      <w:proofErr w:type="spellEnd"/>
      <w:r w:rsidRPr="00896083">
        <w:rPr>
          <w:szCs w:val="24"/>
        </w:rPr>
        <w:t xml:space="preserve"> – </w:t>
      </w:r>
      <w:proofErr w:type="spellStart"/>
      <w:r w:rsidRPr="00896083">
        <w:rPr>
          <w:szCs w:val="24"/>
        </w:rPr>
        <w:t>CM</w:t>
      </w:r>
      <w:r w:rsidRPr="00896083">
        <w:rPr>
          <w:szCs w:val="24"/>
          <w:vertAlign w:val="subscript"/>
        </w:rPr>
        <w:t>revidovaný</w:t>
      </w:r>
      <w:proofErr w:type="spellEnd"/>
      <w:r w:rsidRPr="00896083">
        <w:rPr>
          <w:szCs w:val="24"/>
          <w:vertAlign w:val="subscript"/>
        </w:rPr>
        <w:t xml:space="preserve"> </w:t>
      </w:r>
      <w:r w:rsidRPr="00896083">
        <w:rPr>
          <w:szCs w:val="24"/>
        </w:rPr>
        <w:t>) / (</w:t>
      </w:r>
      <w:proofErr w:type="spellStart"/>
      <w:r w:rsidRPr="00896083">
        <w:rPr>
          <w:szCs w:val="24"/>
        </w:rPr>
        <w:t>CM</w:t>
      </w:r>
      <w:r w:rsidRPr="00896083">
        <w:rPr>
          <w:szCs w:val="24"/>
          <w:vertAlign w:val="subscript"/>
        </w:rPr>
        <w:t>původní</w:t>
      </w:r>
      <w:proofErr w:type="spellEnd"/>
      <w:r w:rsidRPr="00896083">
        <w:rPr>
          <w:szCs w:val="24"/>
          <w:vertAlign w:val="subscript"/>
        </w:rPr>
        <w:t xml:space="preserve"> </w:t>
      </w:r>
      <w:r w:rsidRPr="00896083">
        <w:rPr>
          <w:szCs w:val="24"/>
        </w:rPr>
        <w:t xml:space="preserve">)) x Σ CM </w:t>
      </w:r>
      <w:proofErr w:type="spellStart"/>
      <w:r w:rsidRPr="00896083">
        <w:rPr>
          <w:szCs w:val="24"/>
        </w:rPr>
        <w:t>baze</w:t>
      </w:r>
      <w:proofErr w:type="spellEnd"/>
      <w:r w:rsidRPr="00896083">
        <w:rPr>
          <w:szCs w:val="24"/>
        </w:rPr>
        <w:t xml:space="preserve"> x 0,8</w:t>
      </w:r>
      <w:r w:rsidRPr="00896083">
        <w:t>,</w:t>
      </w:r>
    </w:p>
    <w:p w:rsidR="0037374B" w:rsidRPr="00896083" w:rsidRDefault="0037374B" w:rsidP="0037374B">
      <w:pPr>
        <w:rPr>
          <w:szCs w:val="24"/>
        </w:rPr>
      </w:pPr>
    </w:p>
    <w:p w:rsidR="0037374B" w:rsidRPr="00896083" w:rsidRDefault="0037374B" w:rsidP="0037374B">
      <w:pPr>
        <w:ind w:left="1058"/>
        <w:rPr>
          <w:szCs w:val="24"/>
        </w:rPr>
      </w:pPr>
      <w:r w:rsidRPr="00896083">
        <w:rPr>
          <w:szCs w:val="24"/>
        </w:rPr>
        <w:t>kde:</w:t>
      </w:r>
    </w:p>
    <w:p w:rsidR="0037374B" w:rsidRPr="00896083" w:rsidRDefault="0037374B" w:rsidP="0037374B">
      <w:pPr>
        <w:spacing w:before="278" w:line="274" w:lineRule="exact"/>
        <w:ind w:left="2268" w:hanging="1134"/>
        <w:rPr>
          <w:spacing w:val="1"/>
        </w:rPr>
      </w:pPr>
      <w:r w:rsidRPr="00896083">
        <w:rPr>
          <w:spacing w:val="1"/>
        </w:rPr>
        <w:t xml:space="preserve">CM </w:t>
      </w:r>
      <w:proofErr w:type="spellStart"/>
      <w:r w:rsidRPr="00896083">
        <w:rPr>
          <w:spacing w:val="1"/>
        </w:rPr>
        <w:t>baze</w:t>
      </w:r>
      <w:proofErr w:type="spellEnd"/>
      <w:r w:rsidRPr="00896083">
        <w:rPr>
          <w:spacing w:val="1"/>
        </w:rPr>
        <w:tab/>
        <w:t xml:space="preserve">součet relativních vah příslušné DRG </w:t>
      </w:r>
      <w:proofErr w:type="spellStart"/>
      <w:r w:rsidRPr="00896083">
        <w:rPr>
          <w:spacing w:val="1"/>
        </w:rPr>
        <w:t>baze</w:t>
      </w:r>
      <w:proofErr w:type="spellEnd"/>
    </w:p>
    <w:p w:rsidR="0037374B" w:rsidRPr="00896083" w:rsidRDefault="0037374B" w:rsidP="0037374B">
      <w:pPr>
        <w:spacing w:before="278" w:line="274" w:lineRule="exact"/>
        <w:ind w:left="2268" w:hanging="1134"/>
        <w:rPr>
          <w:spacing w:val="1"/>
        </w:rPr>
      </w:pPr>
      <w:r w:rsidRPr="00896083">
        <w:rPr>
          <w:spacing w:val="1"/>
        </w:rPr>
        <w:t xml:space="preserve">DRG </w:t>
      </w:r>
      <w:proofErr w:type="spellStart"/>
      <w:r w:rsidRPr="00896083">
        <w:rPr>
          <w:spacing w:val="1"/>
        </w:rPr>
        <w:t>baze</w:t>
      </w:r>
      <w:proofErr w:type="spellEnd"/>
      <w:r w:rsidRPr="00896083">
        <w:rPr>
          <w:spacing w:val="1"/>
        </w:rPr>
        <w:t xml:space="preserve"> </w:t>
      </w:r>
      <w:r w:rsidRPr="00896083">
        <w:rPr>
          <w:spacing w:val="1"/>
        </w:rPr>
        <w:tab/>
        <w:t>agregované skupiny ze skupin vztažených k diagnóze podle Klasifikace. Jsou dány prvními 4 znaky z pětičíselného kódu DRG skupiny.</w:t>
      </w:r>
    </w:p>
    <w:p w:rsidR="0037374B" w:rsidRPr="00896083" w:rsidRDefault="0037374B" w:rsidP="0037374B">
      <w:pPr>
        <w:spacing w:before="278" w:line="274" w:lineRule="exact"/>
        <w:ind w:left="2268" w:hanging="1134"/>
        <w:rPr>
          <w:spacing w:val="1"/>
        </w:rPr>
      </w:pPr>
      <w:r w:rsidRPr="00896083">
        <w:rPr>
          <w:spacing w:val="1"/>
        </w:rPr>
        <w:t>DRG skupina</w:t>
      </w:r>
      <w:r w:rsidRPr="00896083">
        <w:rPr>
          <w:spacing w:val="1"/>
        </w:rPr>
        <w:tab/>
        <w:t>skupina ze skupin vztažených k diagnóze podle Klasifikace</w:t>
      </w:r>
    </w:p>
    <w:p w:rsidR="0037374B" w:rsidRPr="00896083" w:rsidRDefault="0037374B" w:rsidP="0037374B">
      <w:pPr>
        <w:spacing w:before="278" w:line="274" w:lineRule="exact"/>
        <w:ind w:left="2268" w:hanging="1134"/>
        <w:rPr>
          <w:spacing w:val="1"/>
        </w:rPr>
      </w:pPr>
      <w:r w:rsidRPr="00896083">
        <w:rPr>
          <w:spacing w:val="1"/>
        </w:rPr>
        <w:t>Relativní váha</w:t>
      </w:r>
      <w:r w:rsidRPr="00896083">
        <w:rPr>
          <w:spacing w:val="1"/>
        </w:rPr>
        <w:tab/>
        <w:t xml:space="preserve">index </w:t>
      </w:r>
      <w:r>
        <w:rPr>
          <w:spacing w:val="1"/>
        </w:rPr>
        <w:t>201</w:t>
      </w:r>
      <w:r w:rsidR="003D2A11">
        <w:rPr>
          <w:spacing w:val="1"/>
        </w:rPr>
        <w:t>7</w:t>
      </w:r>
      <w:r w:rsidRPr="00896083">
        <w:rPr>
          <w:spacing w:val="1"/>
        </w:rPr>
        <w:t>, který je uvedený pro každ</w:t>
      </w:r>
      <w:r>
        <w:rPr>
          <w:spacing w:val="1"/>
        </w:rPr>
        <w:t xml:space="preserve">ou DRG skupinu v příloze č. </w:t>
      </w:r>
      <w:r w:rsidR="003D2A11">
        <w:rPr>
          <w:spacing w:val="1"/>
        </w:rPr>
        <w:t>x</w:t>
      </w:r>
      <w:r>
        <w:rPr>
          <w:spacing w:val="1"/>
        </w:rPr>
        <w:t xml:space="preserve"> </w:t>
      </w:r>
      <w:r w:rsidRPr="00896083">
        <w:rPr>
          <w:spacing w:val="1"/>
        </w:rPr>
        <w:t>k této vyhlášce</w:t>
      </w:r>
    </w:p>
    <w:p w:rsidR="0037374B" w:rsidRPr="00896083" w:rsidRDefault="0037374B" w:rsidP="0037374B">
      <w:pPr>
        <w:spacing w:before="278" w:line="274" w:lineRule="exact"/>
        <w:ind w:left="2268" w:hanging="1134"/>
        <w:rPr>
          <w:spacing w:val="1"/>
        </w:rPr>
      </w:pPr>
      <w:r w:rsidRPr="00896083">
        <w:rPr>
          <w:spacing w:val="1"/>
        </w:rPr>
        <w:t xml:space="preserve">Statisticky významný počet případů příslušné DRG </w:t>
      </w:r>
      <w:proofErr w:type="spellStart"/>
      <w:r w:rsidRPr="00896083">
        <w:rPr>
          <w:spacing w:val="1"/>
        </w:rPr>
        <w:t>baze</w:t>
      </w:r>
      <w:proofErr w:type="spellEnd"/>
      <w:r w:rsidRPr="00896083">
        <w:rPr>
          <w:spacing w:val="1"/>
        </w:rPr>
        <w:tab/>
      </w:r>
    </w:p>
    <w:p w:rsidR="0037374B" w:rsidRPr="00896083" w:rsidRDefault="0037374B" w:rsidP="0037374B">
      <w:pPr>
        <w:ind w:left="2268" w:hanging="2"/>
        <w:rPr>
          <w:spacing w:val="1"/>
        </w:rPr>
      </w:pPr>
      <w:r w:rsidRPr="00896083">
        <w:rPr>
          <w:spacing w:val="1"/>
        </w:rPr>
        <w:t xml:space="preserve">více než 5 % případů ze statisticky významného náhodného vzorku, minimálně však 30 případů v rámci příslušné DRG </w:t>
      </w:r>
      <w:proofErr w:type="spellStart"/>
      <w:r w:rsidRPr="00896083">
        <w:rPr>
          <w:spacing w:val="1"/>
        </w:rPr>
        <w:t>baze</w:t>
      </w:r>
      <w:proofErr w:type="spellEnd"/>
      <w:r w:rsidRPr="00896083">
        <w:rPr>
          <w:spacing w:val="1"/>
        </w:rPr>
        <w:t xml:space="preserve"> u příslušného poskytovatele</w:t>
      </w:r>
    </w:p>
    <w:p w:rsidR="0037374B" w:rsidRPr="00896083" w:rsidRDefault="0037374B" w:rsidP="0037374B">
      <w:pPr>
        <w:spacing w:before="278" w:line="274" w:lineRule="exact"/>
        <w:ind w:left="2268" w:hanging="1134"/>
        <w:rPr>
          <w:szCs w:val="24"/>
        </w:rPr>
      </w:pPr>
      <w:r w:rsidRPr="00896083">
        <w:rPr>
          <w:szCs w:val="24"/>
        </w:rPr>
        <w:t xml:space="preserve">Statisticky méně významný počet případů příslušné DRG </w:t>
      </w:r>
      <w:proofErr w:type="spellStart"/>
      <w:r w:rsidRPr="00896083">
        <w:rPr>
          <w:szCs w:val="24"/>
        </w:rPr>
        <w:t>baze</w:t>
      </w:r>
      <w:proofErr w:type="spellEnd"/>
      <w:r w:rsidRPr="00896083">
        <w:rPr>
          <w:szCs w:val="24"/>
        </w:rPr>
        <w:t xml:space="preserve"> </w:t>
      </w:r>
      <w:r w:rsidRPr="00896083">
        <w:rPr>
          <w:szCs w:val="24"/>
        </w:rPr>
        <w:tab/>
      </w:r>
    </w:p>
    <w:p w:rsidR="0037374B" w:rsidRPr="00896083" w:rsidRDefault="0037374B" w:rsidP="0037374B">
      <w:pPr>
        <w:ind w:left="2268" w:hanging="2"/>
        <w:rPr>
          <w:spacing w:val="1"/>
        </w:rPr>
      </w:pPr>
      <w:r w:rsidRPr="00896083">
        <w:rPr>
          <w:spacing w:val="1"/>
        </w:rPr>
        <w:t xml:space="preserve">méně než 5 % případů ze statisticky významného náhodného vzorku, minimálně však 10 případů v rámci příslušné DRG </w:t>
      </w:r>
      <w:proofErr w:type="spellStart"/>
      <w:r w:rsidRPr="00896083">
        <w:rPr>
          <w:spacing w:val="1"/>
        </w:rPr>
        <w:t>baze</w:t>
      </w:r>
      <w:proofErr w:type="spellEnd"/>
      <w:r w:rsidRPr="00896083">
        <w:rPr>
          <w:spacing w:val="1"/>
        </w:rPr>
        <w:t xml:space="preserve"> u příslušného poskytovatele</w:t>
      </w:r>
    </w:p>
    <w:p w:rsidR="0037374B" w:rsidRPr="00896083" w:rsidRDefault="0037374B" w:rsidP="0037374B">
      <w:pPr>
        <w:spacing w:before="278" w:line="274" w:lineRule="exact"/>
        <w:ind w:left="2268" w:hanging="1134"/>
      </w:pPr>
      <w:proofErr w:type="spellStart"/>
      <w:r w:rsidRPr="00896083">
        <w:t>CM</w:t>
      </w:r>
      <w:r w:rsidRPr="00896083">
        <w:rPr>
          <w:vertAlign w:val="subscript"/>
        </w:rPr>
        <w:t>původní</w:t>
      </w:r>
      <w:proofErr w:type="spellEnd"/>
      <w:r w:rsidRPr="00896083">
        <w:rPr>
          <w:vertAlign w:val="subscript"/>
        </w:rPr>
        <w:tab/>
      </w:r>
      <w:r w:rsidRPr="00896083">
        <w:t xml:space="preserve">počet případů hospitalizací ukončených v hodnoceném období, které jsou podle Klasifikace zařazeny do skupin vztažených k diagnóze, vynásobený indexy těchto skupin, které jsou uvedeny v příloze č.  </w:t>
      </w:r>
      <w:r w:rsidR="003D2A11">
        <w:t xml:space="preserve">x </w:t>
      </w:r>
      <w:r w:rsidRPr="00896083">
        <w:t xml:space="preserve">k této vyhlášce, vykázaných poskytovatelem před provedením kontroly zdravotní pojišťovnou </w:t>
      </w:r>
    </w:p>
    <w:p w:rsidR="0037374B" w:rsidRPr="00D77F2A" w:rsidRDefault="0037374B" w:rsidP="0037374B">
      <w:pPr>
        <w:spacing w:before="278" w:line="274" w:lineRule="exact"/>
        <w:ind w:left="2268" w:hanging="1134"/>
        <w:rPr>
          <w:b/>
          <w:szCs w:val="24"/>
        </w:rPr>
      </w:pPr>
      <w:proofErr w:type="spellStart"/>
      <w:r w:rsidRPr="00896083">
        <w:t>CM</w:t>
      </w:r>
      <w:r w:rsidRPr="00896083">
        <w:rPr>
          <w:szCs w:val="24"/>
          <w:vertAlign w:val="subscript"/>
        </w:rPr>
        <w:t>revidovaný</w:t>
      </w:r>
      <w:proofErr w:type="spellEnd"/>
      <w:r w:rsidRPr="00896083">
        <w:rPr>
          <w:szCs w:val="24"/>
          <w:vertAlign w:val="subscript"/>
        </w:rPr>
        <w:tab/>
      </w:r>
      <w:r w:rsidRPr="00896083">
        <w:rPr>
          <w:szCs w:val="24"/>
        </w:rPr>
        <w:t xml:space="preserve">počet  případů hospitalizací ukončených v hodnoceném období, které jsou podle Klasifikace zařazeny do skupin vztažených k diagnóze, vynásobený indexy těchto skupin, které jsou uvedeny v příloze č. </w:t>
      </w:r>
      <w:r w:rsidR="003D2A11">
        <w:rPr>
          <w:szCs w:val="24"/>
        </w:rPr>
        <w:t xml:space="preserve">x </w:t>
      </w:r>
      <w:r w:rsidRPr="00896083">
        <w:rPr>
          <w:szCs w:val="24"/>
        </w:rPr>
        <w:t>k této vyhlášce, poskytovatelem vykázaných a zdravotní pojišťovnou uznaných na základě kontroly</w:t>
      </w:r>
    </w:p>
    <w:p w:rsidR="001F7F69" w:rsidRPr="001F7F69" w:rsidRDefault="001F7F69" w:rsidP="001F7F69">
      <w:pPr>
        <w:pStyle w:val="Textbodu"/>
        <w:numPr>
          <w:ilvl w:val="0"/>
          <w:numId w:val="0"/>
        </w:numPr>
        <w:spacing w:after="120"/>
        <w:ind w:left="426"/>
      </w:pPr>
    </w:p>
    <w:p w:rsidR="001F7F69" w:rsidRPr="001B6EB7" w:rsidRDefault="001F7F69" w:rsidP="00B45035">
      <w:pPr>
        <w:pStyle w:val="Textbodu"/>
        <w:numPr>
          <w:ilvl w:val="0"/>
          <w:numId w:val="17"/>
        </w:numPr>
        <w:spacing w:after="120"/>
      </w:pPr>
      <w:r w:rsidRPr="001B6EB7">
        <w:rPr>
          <w:b/>
        </w:rPr>
        <w:t>Regulační omezení na předepsané léčivé přípravky, zdravotnické prostředky a na vyžádanou péči</w:t>
      </w:r>
    </w:p>
    <w:p w:rsidR="00B45035" w:rsidRPr="00896083" w:rsidRDefault="00B45035" w:rsidP="00B45035">
      <w:pPr>
        <w:pStyle w:val="Odstavecseseznamem"/>
        <w:numPr>
          <w:ilvl w:val="1"/>
          <w:numId w:val="33"/>
        </w:numPr>
      </w:pPr>
      <w:r w:rsidRPr="00896083">
        <w:t xml:space="preserve">Pokud </w:t>
      </w:r>
      <w:r w:rsidR="00B115C5" w:rsidRPr="00896083">
        <w:t>poskytovatel dosáhne v hodnoceném období průměrné úhrady za předepsané léčivé přípravky a zdravotnické prostředky</w:t>
      </w:r>
      <w:r w:rsidR="00B115C5">
        <w:t>,</w:t>
      </w:r>
      <w:r w:rsidR="00B115C5" w:rsidRPr="00896083">
        <w:t xml:space="preserve"> </w:t>
      </w:r>
      <w:r w:rsidR="00B115C5">
        <w:t xml:space="preserve">s výjimkou </w:t>
      </w:r>
      <w:r w:rsidR="00B115C5" w:rsidRPr="00AF65BC">
        <w:t xml:space="preserve">ATC </w:t>
      </w:r>
      <w:r w:rsidR="00B115C5">
        <w:t>skupiny H01AC01 léčba</w:t>
      </w:r>
      <w:r w:rsidR="00B115C5" w:rsidRPr="00AF65BC">
        <w:t xml:space="preserve"> růstovým hormonem</w:t>
      </w:r>
      <w:r w:rsidR="00B115C5">
        <w:t xml:space="preserve">, </w:t>
      </w:r>
      <w:r w:rsidR="00B115C5" w:rsidRPr="00896083">
        <w:t xml:space="preserve">na jednoho globálního unikátního pojištěnce ošetřeného v odbornostech uvedených v části A) bodu </w:t>
      </w:r>
      <w:r w:rsidR="00B115C5">
        <w:t>5</w:t>
      </w:r>
      <w:r w:rsidR="00B115C5" w:rsidRPr="00896083">
        <w:t xml:space="preserve">.1 až </w:t>
      </w:r>
      <w:r w:rsidR="00B115C5">
        <w:t>5</w:t>
      </w:r>
      <w:r w:rsidR="00B115C5" w:rsidRPr="00896083">
        <w:t xml:space="preserve">.3 </w:t>
      </w:r>
      <w:r w:rsidR="00B115C5">
        <w:t xml:space="preserve">a 5.9 </w:t>
      </w:r>
      <w:r w:rsidR="00B115C5" w:rsidRPr="00896083">
        <w:t xml:space="preserve">přílohy č. 1 k této vyhlášce vyšší než 100 % průměrné úhrady v referenčním období za předepsané léčivé přípravky a zdravotnické prostředky na jednoho globálního unikátního pojištěnce ošetřeného v odbornostech uvedených v části A) bodu </w:t>
      </w:r>
      <w:r w:rsidR="00B115C5">
        <w:t>5</w:t>
      </w:r>
      <w:r w:rsidR="00B115C5" w:rsidRPr="00896083">
        <w:t xml:space="preserve">.1 až </w:t>
      </w:r>
      <w:r w:rsidR="00B115C5">
        <w:t>5</w:t>
      </w:r>
      <w:r w:rsidR="00B115C5" w:rsidRPr="00896083">
        <w:t xml:space="preserve">.3 </w:t>
      </w:r>
      <w:r w:rsidR="00B115C5">
        <w:t xml:space="preserve">a 5.9 </w:t>
      </w:r>
      <w:r w:rsidR="00B115C5" w:rsidRPr="00896083">
        <w:t xml:space="preserve">přílohy č. 1 k této vyhlášce, zdravotní pojišťovna sníží poskytovateli celkovou úhradu o částku odpovídající součinu 2,5 % z překročení uvedené průměrné úhrady a počtu globálních unikátních pojištěnců v hodnoceném období za každé započaté 0,5 % překročení uvedené </w:t>
      </w:r>
      <w:r w:rsidR="00B115C5" w:rsidRPr="00896083">
        <w:lastRenderedPageBreak/>
        <w:t>průměrné úhrady, nejvýše však 40 % z překročení. Průměrná úhrada na jednoho globálního unikátního pojištěnce v hodnoceném období a počet globálních unikátních pojištěnců v hodnoceném období podle věty první se vypočte z celkového počtu globálních unikátních pojištěnců, do kterého se nezahrnou globální unikátní pojištěnci, na které byl vykázán pouze výkon č. 09513. Do regulačního omezení se nezahrnují léčivé přípravky nebo zdravotnické prostředky schválené revizním lékařem. Vystaví-li poskytovatel v hodnoceném období alespoň 50 % lékařských předpisů</w:t>
      </w:r>
      <w:r w:rsidR="00B115C5">
        <w:t>, na základě nichž dojde k výdeji léčivých přípravků plně či částečně hrazených z veřejného zdravotního pojištění,</w:t>
      </w:r>
      <w:r w:rsidR="00B115C5" w:rsidRPr="00896083">
        <w:t xml:space="preserve"> v elektronické podobě, použije se jako hranice pro snížení celkové úhrady podle věty první částka 10</w:t>
      </w:r>
      <w:r w:rsidR="00B115C5">
        <w:t>1</w:t>
      </w:r>
      <w:r w:rsidR="00B115C5" w:rsidRPr="00896083">
        <w:t xml:space="preserve"> % průměrné úhrady v referenčním období za předepsané léčivé přípravky a zdravotnické prostředky na jednoho globálního unikátního pojištěnce ošetřeného v odbornostech uvedených v části A) bodu </w:t>
      </w:r>
      <w:r w:rsidR="00B115C5">
        <w:t>5</w:t>
      </w:r>
      <w:r w:rsidR="00B115C5" w:rsidRPr="00896083">
        <w:t xml:space="preserve">.1 až </w:t>
      </w:r>
      <w:r w:rsidR="00B115C5">
        <w:t>5</w:t>
      </w:r>
      <w:r w:rsidR="00B115C5" w:rsidRPr="00896083">
        <w:t xml:space="preserve">.3 </w:t>
      </w:r>
      <w:r w:rsidR="00B115C5">
        <w:t xml:space="preserve">a 5.9 </w:t>
      </w:r>
      <w:r w:rsidR="00B115C5" w:rsidRPr="00896083">
        <w:t>přílohy č. 1 k této vyhlášce</w:t>
      </w:r>
      <w:r w:rsidRPr="00896083">
        <w:t>.</w:t>
      </w:r>
    </w:p>
    <w:p w:rsidR="00B45035" w:rsidRPr="00896083" w:rsidRDefault="00B45035" w:rsidP="00B45035">
      <w:pPr>
        <w:pStyle w:val="Odstavecseseznamem"/>
      </w:pPr>
    </w:p>
    <w:p w:rsidR="00B45035" w:rsidRPr="00896083" w:rsidRDefault="00B45035" w:rsidP="00B45035">
      <w:pPr>
        <w:pStyle w:val="Odstavecseseznamem"/>
        <w:numPr>
          <w:ilvl w:val="1"/>
          <w:numId w:val="33"/>
        </w:numPr>
      </w:pPr>
      <w:r w:rsidRPr="00896083">
        <w:t xml:space="preserve">Pokud </w:t>
      </w:r>
      <w:r w:rsidR="00B115C5" w:rsidRPr="00896083">
        <w:t xml:space="preserve">poskytovatel dosáhne v hodnoceném období průměrné úhrady za vyžádanou péči ve vyjmenovaných odbornostech, </w:t>
      </w:r>
      <w:r w:rsidR="00B115C5">
        <w:t xml:space="preserve">s výjimkou </w:t>
      </w:r>
      <w:r w:rsidR="00B115C5" w:rsidRPr="00896083">
        <w:t xml:space="preserve">vyžádané péče poskytnuté stejným poskytovatelem, na jednoho globálního unikátního pojištěnce ošetřeného v odbornostech uvedených  v části  A) bodu </w:t>
      </w:r>
      <w:r w:rsidR="00B115C5">
        <w:t>5</w:t>
      </w:r>
      <w:r w:rsidR="00B115C5" w:rsidRPr="00896083">
        <w:t xml:space="preserve">.1 až </w:t>
      </w:r>
      <w:r w:rsidR="00B115C5">
        <w:t>5</w:t>
      </w:r>
      <w:r w:rsidR="00B115C5" w:rsidRPr="00896083">
        <w:t xml:space="preserve">.3 </w:t>
      </w:r>
      <w:r w:rsidR="00B115C5">
        <w:t xml:space="preserve">a 5.9 </w:t>
      </w:r>
      <w:r w:rsidR="00B115C5" w:rsidRPr="00896083">
        <w:t>přílohy č. 1 k této vyhlášce</w:t>
      </w:r>
      <w:r w:rsidR="00B115C5" w:rsidRPr="00896083" w:rsidDel="00AD03E5">
        <w:t xml:space="preserve"> </w:t>
      </w:r>
      <w:r w:rsidR="00B115C5" w:rsidRPr="00896083">
        <w:t xml:space="preserve">vyšší než 100 % průměrné úhrady za vyžádanou péči ve vyjmenovaných odbornostech, </w:t>
      </w:r>
      <w:r w:rsidR="00B115C5">
        <w:t>s výjimkou</w:t>
      </w:r>
      <w:r w:rsidR="00B115C5" w:rsidRPr="00896083">
        <w:t xml:space="preserve"> vyžádané péče poskytnuté stejným poskytovatelem, na jednoho globálního unikátního pojištěnce ošetřeného v odbornostech uvedených  v části  A) bodu </w:t>
      </w:r>
      <w:r w:rsidR="00B115C5">
        <w:t>5</w:t>
      </w:r>
      <w:r w:rsidR="00B115C5" w:rsidRPr="00896083">
        <w:t xml:space="preserve">.1 až </w:t>
      </w:r>
      <w:r w:rsidR="00B115C5">
        <w:t>5</w:t>
      </w:r>
      <w:r w:rsidR="00B115C5" w:rsidRPr="00896083">
        <w:t xml:space="preserve">.3 </w:t>
      </w:r>
      <w:r w:rsidR="00B115C5">
        <w:t xml:space="preserve">a 5.9 </w:t>
      </w:r>
      <w:r w:rsidR="00B115C5" w:rsidRPr="00896083">
        <w:t>přílohy č. 1 k této vyhlášce</w:t>
      </w:r>
      <w:r w:rsidR="00B115C5" w:rsidRPr="00896083" w:rsidDel="00AD03E5">
        <w:t xml:space="preserve"> </w:t>
      </w:r>
      <w:r w:rsidR="00B115C5" w:rsidRPr="00896083">
        <w:t xml:space="preserve"> v referenčním období, zdravotní pojišťovna sníží poskytovateli celkovou úhradu o částku odpovídající součinu 2,5 % z překročení uvedené průměrné úhrady a počtu globálních unikátních pojištěnců v hodnoceném období za každé započaté 0,5 % překročení uvedené průměrné úhrady, nejvýše však 55 % z překročení. Průměrná úhrada na jednoho globálního unikátního pojištěnce v hodnoceném období a počet globálních unikátních pojištěnců v hodnoceném období podle věty první se vypočte z celkového počtu globálních unikátních pojištěnců, do kterého se nezahrnou globální unikátní pojištěnci, na které byl vykázán pouze výkon č. 09513. Do vyžádané péče se nezahrnují výkony mamografického </w:t>
      </w:r>
      <w:proofErr w:type="spellStart"/>
      <w:r w:rsidR="00B115C5" w:rsidRPr="00896083">
        <w:t>screeningu</w:t>
      </w:r>
      <w:proofErr w:type="spellEnd"/>
      <w:r w:rsidR="00B115C5" w:rsidRPr="00896083">
        <w:t xml:space="preserve">, </w:t>
      </w:r>
      <w:proofErr w:type="spellStart"/>
      <w:r w:rsidR="00B115C5" w:rsidRPr="00896083">
        <w:t>screeningu</w:t>
      </w:r>
      <w:proofErr w:type="spellEnd"/>
      <w:r w:rsidR="00B115C5" w:rsidRPr="00896083">
        <w:t xml:space="preserve"> karcinomu děložního hrdla a </w:t>
      </w:r>
      <w:proofErr w:type="spellStart"/>
      <w:r w:rsidR="00B115C5" w:rsidRPr="00896083">
        <w:t>screeningu</w:t>
      </w:r>
      <w:proofErr w:type="spellEnd"/>
      <w:r w:rsidR="00B115C5" w:rsidRPr="00896083">
        <w:t xml:space="preserve"> kolorektálního karcinomu prováděné poskytovatelem, který má se zdravotní pojišťovnou na poskytování těchto výkonů uzavřenu smlouvu. Pro účely stanovení výše průměrných úhrad i výše případné srážky podle věty první se výkony vyžádané péče v hodnoceném i referenčním období ocení podle seznamu výkonů ve znění účinném k 1. lednu </w:t>
      </w:r>
      <w:r w:rsidR="00B115C5">
        <w:t>2017</w:t>
      </w:r>
      <w:r w:rsidR="00B115C5" w:rsidRPr="00896083">
        <w:t xml:space="preserve"> hodnotou bodu platnou v hodnoceném období</w:t>
      </w:r>
      <w:r w:rsidRPr="00896083">
        <w:t>.</w:t>
      </w:r>
    </w:p>
    <w:p w:rsidR="00B45035" w:rsidRPr="00896083" w:rsidRDefault="00B45035" w:rsidP="00B45035">
      <w:pPr>
        <w:pStyle w:val="Odstavecseseznamem"/>
        <w:ind w:left="425" w:hanging="425"/>
      </w:pPr>
    </w:p>
    <w:p w:rsidR="00B45035" w:rsidRPr="00896083" w:rsidRDefault="00B45035" w:rsidP="00B45035">
      <w:pPr>
        <w:pStyle w:val="Odstavecseseznamem"/>
        <w:ind w:left="425" w:hanging="425"/>
      </w:pPr>
      <w:r>
        <w:t>2.3</w:t>
      </w:r>
      <w:r>
        <w:tab/>
      </w:r>
      <w:r w:rsidRPr="00896083">
        <w:t>Regulační omezení podle bodů 2.</w:t>
      </w:r>
      <w:r>
        <w:t>1</w:t>
      </w:r>
      <w:r w:rsidRPr="00896083">
        <w:t xml:space="preserve"> a 2.</w:t>
      </w:r>
      <w:r>
        <w:t>2</w:t>
      </w:r>
      <w:r w:rsidRPr="00896083">
        <w:t xml:space="preserve"> se nepoužijí, pokud poskytovatel odůvodní </w:t>
      </w:r>
      <w:r>
        <w:t xml:space="preserve">a revizní lékař zdravotní pojišťovny uzná </w:t>
      </w:r>
      <w:r w:rsidRPr="00896083">
        <w:t>nezbytnost poskytnutí hrazených služeb, na jejichž základě došlo k překročení průměrných úhrad podle bodů 2.</w:t>
      </w:r>
      <w:r>
        <w:t>1</w:t>
      </w:r>
      <w:r w:rsidRPr="00896083">
        <w:t xml:space="preserve"> a 2.</w:t>
      </w:r>
      <w:r>
        <w:t>2</w:t>
      </w:r>
      <w:r w:rsidRPr="00896083">
        <w:t>.</w:t>
      </w:r>
    </w:p>
    <w:p w:rsidR="00B45035" w:rsidRPr="00896083" w:rsidRDefault="00B45035" w:rsidP="00B45035">
      <w:pPr>
        <w:pStyle w:val="Odstavecseseznamem"/>
        <w:ind w:left="425" w:hanging="425"/>
      </w:pPr>
    </w:p>
    <w:p w:rsidR="00B45035" w:rsidRPr="00896083" w:rsidRDefault="00B45035" w:rsidP="00B45035">
      <w:pPr>
        <w:pStyle w:val="Odstavecseseznamem"/>
        <w:ind w:left="425" w:hanging="425"/>
      </w:pPr>
      <w:r>
        <w:t>2.4</w:t>
      </w:r>
      <w:r>
        <w:tab/>
      </w:r>
      <w:r w:rsidRPr="00896083">
        <w:t>Zdravotní pojišťovna uplatní regulační srážku podle bodů 2.</w:t>
      </w:r>
      <w:r>
        <w:t>1</w:t>
      </w:r>
      <w:r w:rsidRPr="00896083">
        <w:t xml:space="preserve"> a 2.</w:t>
      </w:r>
      <w:r>
        <w:t>2</w:t>
      </w:r>
      <w:r w:rsidRPr="00896083">
        <w:t xml:space="preserve"> maximálně do výše odpovídající 15 % objemu úhrady poskytnuté touto zdravotní pojišťovnou poskytovateli za výkony snížené o objem úhrady za zvlášť účtovaný materiál a zvlášť účtované léčivé přípravky za hodnocené období.</w:t>
      </w:r>
    </w:p>
    <w:p w:rsidR="00B45035" w:rsidRPr="00896083" w:rsidRDefault="00B45035" w:rsidP="00B45035">
      <w:pPr>
        <w:pStyle w:val="Textpsmene"/>
        <w:numPr>
          <w:ilvl w:val="0"/>
          <w:numId w:val="0"/>
        </w:numPr>
        <w:spacing w:after="120"/>
        <w:ind w:left="425" w:hanging="425"/>
      </w:pPr>
    </w:p>
    <w:p w:rsidR="00D46C97" w:rsidRDefault="00B45035" w:rsidP="00BE0619">
      <w:pPr>
        <w:pStyle w:val="Textpsmene"/>
        <w:numPr>
          <w:ilvl w:val="0"/>
          <w:numId w:val="0"/>
        </w:numPr>
        <w:spacing w:after="120"/>
        <w:ind w:left="425" w:hanging="425"/>
      </w:pPr>
      <w:r>
        <w:t>2.5</w:t>
      </w:r>
      <w:r>
        <w:tab/>
      </w:r>
      <w:r w:rsidRPr="00896083">
        <w:t>V případě, že poskytovatel poskytl v hod</w:t>
      </w:r>
      <w:r w:rsidR="007D1749">
        <w:t>noceném období hrazené služby 5</w:t>
      </w:r>
      <w:r w:rsidRPr="00896083">
        <w:t>0 a méně pojištěncům příslušné zdravotní pojišťovny, zdravotn</w:t>
      </w:r>
      <w:r w:rsidR="00BE0619">
        <w:t>í pojišťovna neuplatní regulaci.</w:t>
      </w:r>
    </w:p>
    <w:sectPr w:rsidR="00D46C97" w:rsidSect="00392FD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B96" w:rsidRDefault="008B0B96" w:rsidP="004B147F">
      <w:r>
        <w:separator/>
      </w:r>
    </w:p>
  </w:endnote>
  <w:endnote w:type="continuationSeparator" w:id="0">
    <w:p w:rsidR="008B0B96" w:rsidRDefault="008B0B96" w:rsidP="004B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B96" w:rsidRDefault="008B0B96" w:rsidP="004B147F">
      <w:r>
        <w:separator/>
      </w:r>
    </w:p>
  </w:footnote>
  <w:footnote w:type="continuationSeparator" w:id="0">
    <w:p w:rsidR="008B0B96" w:rsidRDefault="008B0B96" w:rsidP="004B147F">
      <w:r>
        <w:continuationSeparator/>
      </w:r>
    </w:p>
  </w:footnote>
  <w:footnote w:id="1">
    <w:p w:rsidR="004B147F" w:rsidRDefault="004B147F" w:rsidP="004B147F">
      <w:pPr>
        <w:pStyle w:val="Textpoznpodarou"/>
      </w:pPr>
      <w:r>
        <w:rPr>
          <w:rStyle w:val="Znakapoznpodarou"/>
        </w:rPr>
        <w:t>4)</w:t>
      </w:r>
      <w:r>
        <w:t xml:space="preserve"> </w:t>
      </w:r>
      <w:r>
        <w:tab/>
      </w:r>
      <w:r w:rsidRPr="00DF713E">
        <w:t>Sdělení ČSÚ č.</w:t>
      </w:r>
      <w:r>
        <w:t xml:space="preserve"> 339</w:t>
      </w:r>
      <w:r w:rsidRPr="00DF713E">
        <w:t>/20</w:t>
      </w:r>
      <w:r>
        <w:t>11</w:t>
      </w:r>
      <w:r w:rsidRPr="00DF713E">
        <w:t xml:space="preserve"> Sb., o aktualizaci Klasifikace hospitalizovaných pacientů (IR-DRG).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F0C"/>
    <w:multiLevelType w:val="hybridMultilevel"/>
    <w:tmpl w:val="A25891D8"/>
    <w:lvl w:ilvl="0" w:tplc="493031F2">
      <w:start w:val="2"/>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
    <w:nsid w:val="0788286A"/>
    <w:multiLevelType w:val="multilevel"/>
    <w:tmpl w:val="E9CE0ECC"/>
    <w:lvl w:ilvl="0">
      <w:start w:val="1"/>
      <w:numFmt w:val="decimal"/>
      <w:lvlText w:val="%1."/>
      <w:lvlJc w:val="left"/>
      <w:pPr>
        <w:tabs>
          <w:tab w:val="num" w:pos="360"/>
        </w:tabs>
        <w:ind w:left="360" w:hanging="360"/>
      </w:pPr>
      <w:rPr>
        <w:rFonts w:hint="default"/>
      </w:rPr>
    </w:lvl>
    <w:lvl w:ilvl="1">
      <w:start w:val="3"/>
      <w:numFmt w:val="decimal"/>
      <w:lvlText w:val="%2.1"/>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4C6924"/>
    <w:multiLevelType w:val="multilevel"/>
    <w:tmpl w:val="8ACC49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4160B3"/>
    <w:multiLevelType w:val="multilevel"/>
    <w:tmpl w:val="4762F120"/>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BF321FB"/>
    <w:multiLevelType w:val="multilevel"/>
    <w:tmpl w:val="28FA60EC"/>
    <w:lvl w:ilvl="0">
      <w:start w:val="1"/>
      <w:numFmt w:val="none"/>
      <w:lvlText w:val="4."/>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0E715AB"/>
    <w:multiLevelType w:val="multilevel"/>
    <w:tmpl w:val="DE945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AC1E25"/>
    <w:multiLevelType w:val="hybridMultilevel"/>
    <w:tmpl w:val="33C6B24E"/>
    <w:lvl w:ilvl="0" w:tplc="F398CC44">
      <w:start w:val="1"/>
      <w:numFmt w:val="lowerLetter"/>
      <w:lvlText w:val="%1)"/>
      <w:lvlJc w:val="left"/>
      <w:pPr>
        <w:tabs>
          <w:tab w:val="num" w:pos="525"/>
        </w:tabs>
        <w:ind w:left="525" w:hanging="360"/>
      </w:pPr>
      <w:rPr>
        <w:rFonts w:hint="default"/>
        <w:b w:val="0"/>
        <w:u w:val="none"/>
      </w:rPr>
    </w:lvl>
    <w:lvl w:ilvl="1" w:tplc="04050019" w:tentative="1">
      <w:start w:val="1"/>
      <w:numFmt w:val="lowerLetter"/>
      <w:lvlText w:val="%2."/>
      <w:lvlJc w:val="left"/>
      <w:pPr>
        <w:tabs>
          <w:tab w:val="num" w:pos="1245"/>
        </w:tabs>
        <w:ind w:left="1245" w:hanging="360"/>
      </w:pPr>
    </w:lvl>
    <w:lvl w:ilvl="2" w:tplc="0405001B" w:tentative="1">
      <w:start w:val="1"/>
      <w:numFmt w:val="lowerRoman"/>
      <w:lvlText w:val="%3."/>
      <w:lvlJc w:val="right"/>
      <w:pPr>
        <w:tabs>
          <w:tab w:val="num" w:pos="1965"/>
        </w:tabs>
        <w:ind w:left="1965" w:hanging="180"/>
      </w:pPr>
    </w:lvl>
    <w:lvl w:ilvl="3" w:tplc="0405000F" w:tentative="1">
      <w:start w:val="1"/>
      <w:numFmt w:val="decimal"/>
      <w:lvlText w:val="%4."/>
      <w:lvlJc w:val="left"/>
      <w:pPr>
        <w:tabs>
          <w:tab w:val="num" w:pos="2685"/>
        </w:tabs>
        <w:ind w:left="2685" w:hanging="360"/>
      </w:pPr>
    </w:lvl>
    <w:lvl w:ilvl="4" w:tplc="04050019" w:tentative="1">
      <w:start w:val="1"/>
      <w:numFmt w:val="lowerLetter"/>
      <w:lvlText w:val="%5."/>
      <w:lvlJc w:val="left"/>
      <w:pPr>
        <w:tabs>
          <w:tab w:val="num" w:pos="3405"/>
        </w:tabs>
        <w:ind w:left="3405" w:hanging="360"/>
      </w:pPr>
    </w:lvl>
    <w:lvl w:ilvl="5" w:tplc="0405001B" w:tentative="1">
      <w:start w:val="1"/>
      <w:numFmt w:val="lowerRoman"/>
      <w:lvlText w:val="%6."/>
      <w:lvlJc w:val="right"/>
      <w:pPr>
        <w:tabs>
          <w:tab w:val="num" w:pos="4125"/>
        </w:tabs>
        <w:ind w:left="4125" w:hanging="180"/>
      </w:pPr>
    </w:lvl>
    <w:lvl w:ilvl="6" w:tplc="0405000F" w:tentative="1">
      <w:start w:val="1"/>
      <w:numFmt w:val="decimal"/>
      <w:lvlText w:val="%7."/>
      <w:lvlJc w:val="left"/>
      <w:pPr>
        <w:tabs>
          <w:tab w:val="num" w:pos="4845"/>
        </w:tabs>
        <w:ind w:left="4845" w:hanging="360"/>
      </w:pPr>
    </w:lvl>
    <w:lvl w:ilvl="7" w:tplc="04050019" w:tentative="1">
      <w:start w:val="1"/>
      <w:numFmt w:val="lowerLetter"/>
      <w:lvlText w:val="%8."/>
      <w:lvlJc w:val="left"/>
      <w:pPr>
        <w:tabs>
          <w:tab w:val="num" w:pos="5565"/>
        </w:tabs>
        <w:ind w:left="5565" w:hanging="360"/>
      </w:pPr>
    </w:lvl>
    <w:lvl w:ilvl="8" w:tplc="0405001B" w:tentative="1">
      <w:start w:val="1"/>
      <w:numFmt w:val="lowerRoman"/>
      <w:lvlText w:val="%9."/>
      <w:lvlJc w:val="right"/>
      <w:pPr>
        <w:tabs>
          <w:tab w:val="num" w:pos="6285"/>
        </w:tabs>
        <w:ind w:left="6285" w:hanging="180"/>
      </w:pPr>
    </w:lvl>
  </w:abstractNum>
  <w:abstractNum w:abstractNumId="7">
    <w:nsid w:val="19254975"/>
    <w:multiLevelType w:val="multilevel"/>
    <w:tmpl w:val="55680DC6"/>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DB325CB"/>
    <w:multiLevelType w:val="multilevel"/>
    <w:tmpl w:val="D03C064C"/>
    <w:lvl w:ilvl="0">
      <w:start w:val="4"/>
      <w:numFmt w:val="decimal"/>
      <w:lvlText w:val="%1."/>
      <w:lvlJc w:val="left"/>
      <w:pPr>
        <w:tabs>
          <w:tab w:val="num" w:pos="360"/>
        </w:tabs>
        <w:ind w:left="360" w:hanging="360"/>
      </w:pPr>
      <w:rPr>
        <w:rFonts w:cs="Times New Roman" w:hint="default"/>
      </w:rPr>
    </w:lvl>
    <w:lvl w:ilvl="1">
      <w:start w:val="5"/>
      <w:numFmt w:val="decimal"/>
      <w:lvlText w:val="%2.1"/>
      <w:lvlJc w:val="left"/>
      <w:pPr>
        <w:tabs>
          <w:tab w:val="num" w:pos="432"/>
        </w:tabs>
        <w:ind w:left="432" w:hanging="432"/>
      </w:pPr>
      <w:rPr>
        <w:rFonts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1FC330C7"/>
    <w:multiLevelType w:val="hybridMultilevel"/>
    <w:tmpl w:val="469AE744"/>
    <w:lvl w:ilvl="0" w:tplc="B4885C1E">
      <w:start w:val="3"/>
      <w:numFmt w:val="decimal"/>
      <w:lvlText w:val="%1.2"/>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1FC74E93"/>
    <w:multiLevelType w:val="multilevel"/>
    <w:tmpl w:val="61E2B01E"/>
    <w:lvl w:ilvl="0">
      <w:start w:val="1"/>
      <w:numFmt w:val="none"/>
      <w:lvlText w:val="4."/>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9474D21"/>
    <w:multiLevelType w:val="multilevel"/>
    <w:tmpl w:val="838E61D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2">
    <w:nsid w:val="2A16427C"/>
    <w:multiLevelType w:val="multilevel"/>
    <w:tmpl w:val="FB34AF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strike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D235750"/>
    <w:multiLevelType w:val="hybridMultilevel"/>
    <w:tmpl w:val="9B5E0522"/>
    <w:lvl w:ilvl="0" w:tplc="E5707866">
      <w:start w:val="3"/>
      <w:numFmt w:val="decimal"/>
      <w:lvlText w:val="%1.2"/>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F30A2C"/>
    <w:multiLevelType w:val="multilevel"/>
    <w:tmpl w:val="7A2081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EFE0A82"/>
    <w:multiLevelType w:val="hybridMultilevel"/>
    <w:tmpl w:val="8AAC4D20"/>
    <w:lvl w:ilvl="0" w:tplc="E8B85C24">
      <w:start w:val="1"/>
      <w:numFmt w:val="lowerLetter"/>
      <w:lvlText w:val="%1)"/>
      <w:lvlJc w:val="left"/>
      <w:pPr>
        <w:tabs>
          <w:tab w:val="num" w:pos="2062"/>
        </w:tabs>
        <w:ind w:left="2062" w:hanging="360"/>
      </w:pPr>
      <w:rPr>
        <w:rFonts w:hint="default"/>
      </w:rPr>
    </w:lvl>
    <w:lvl w:ilvl="1" w:tplc="04050019" w:tentative="1">
      <w:start w:val="1"/>
      <w:numFmt w:val="lowerLetter"/>
      <w:lvlText w:val="%2."/>
      <w:lvlJc w:val="left"/>
      <w:pPr>
        <w:tabs>
          <w:tab w:val="num" w:pos="2716"/>
        </w:tabs>
        <w:ind w:left="2716" w:hanging="360"/>
      </w:pPr>
    </w:lvl>
    <w:lvl w:ilvl="2" w:tplc="0405001B" w:tentative="1">
      <w:start w:val="1"/>
      <w:numFmt w:val="lowerRoman"/>
      <w:lvlText w:val="%3."/>
      <w:lvlJc w:val="right"/>
      <w:pPr>
        <w:tabs>
          <w:tab w:val="num" w:pos="3436"/>
        </w:tabs>
        <w:ind w:left="3436" w:hanging="180"/>
      </w:pPr>
    </w:lvl>
    <w:lvl w:ilvl="3" w:tplc="0405000F" w:tentative="1">
      <w:start w:val="1"/>
      <w:numFmt w:val="decimal"/>
      <w:lvlText w:val="%4."/>
      <w:lvlJc w:val="left"/>
      <w:pPr>
        <w:tabs>
          <w:tab w:val="num" w:pos="4156"/>
        </w:tabs>
        <w:ind w:left="4156" w:hanging="360"/>
      </w:pPr>
    </w:lvl>
    <w:lvl w:ilvl="4" w:tplc="04050019" w:tentative="1">
      <w:start w:val="1"/>
      <w:numFmt w:val="lowerLetter"/>
      <w:lvlText w:val="%5."/>
      <w:lvlJc w:val="left"/>
      <w:pPr>
        <w:tabs>
          <w:tab w:val="num" w:pos="4876"/>
        </w:tabs>
        <w:ind w:left="4876" w:hanging="360"/>
      </w:pPr>
    </w:lvl>
    <w:lvl w:ilvl="5" w:tplc="0405001B" w:tentative="1">
      <w:start w:val="1"/>
      <w:numFmt w:val="lowerRoman"/>
      <w:lvlText w:val="%6."/>
      <w:lvlJc w:val="right"/>
      <w:pPr>
        <w:tabs>
          <w:tab w:val="num" w:pos="5596"/>
        </w:tabs>
        <w:ind w:left="5596" w:hanging="180"/>
      </w:pPr>
    </w:lvl>
    <w:lvl w:ilvl="6" w:tplc="0405000F" w:tentative="1">
      <w:start w:val="1"/>
      <w:numFmt w:val="decimal"/>
      <w:lvlText w:val="%7."/>
      <w:lvlJc w:val="left"/>
      <w:pPr>
        <w:tabs>
          <w:tab w:val="num" w:pos="6316"/>
        </w:tabs>
        <w:ind w:left="6316" w:hanging="360"/>
      </w:pPr>
    </w:lvl>
    <w:lvl w:ilvl="7" w:tplc="04050019" w:tentative="1">
      <w:start w:val="1"/>
      <w:numFmt w:val="lowerLetter"/>
      <w:lvlText w:val="%8."/>
      <w:lvlJc w:val="left"/>
      <w:pPr>
        <w:tabs>
          <w:tab w:val="num" w:pos="7036"/>
        </w:tabs>
        <w:ind w:left="7036" w:hanging="360"/>
      </w:pPr>
    </w:lvl>
    <w:lvl w:ilvl="8" w:tplc="0405001B" w:tentative="1">
      <w:start w:val="1"/>
      <w:numFmt w:val="lowerRoman"/>
      <w:lvlText w:val="%9."/>
      <w:lvlJc w:val="right"/>
      <w:pPr>
        <w:tabs>
          <w:tab w:val="num" w:pos="7756"/>
        </w:tabs>
        <w:ind w:left="7756" w:hanging="180"/>
      </w:pPr>
    </w:lvl>
  </w:abstractNum>
  <w:abstractNum w:abstractNumId="16">
    <w:nsid w:val="319A2D40"/>
    <w:multiLevelType w:val="hybridMultilevel"/>
    <w:tmpl w:val="7D22E5F8"/>
    <w:lvl w:ilvl="0" w:tplc="64A0A3F4">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7">
    <w:nsid w:val="337E2312"/>
    <w:multiLevelType w:val="multilevel"/>
    <w:tmpl w:val="A30A46D2"/>
    <w:lvl w:ilvl="0">
      <w:start w:val="3"/>
      <w:numFmt w:val="decimal"/>
      <w:isLgl/>
      <w:lvlText w:val="(%1)"/>
      <w:lvlJc w:val="left"/>
      <w:pPr>
        <w:tabs>
          <w:tab w:val="num" w:pos="782"/>
        </w:tabs>
        <w:ind w:left="0" w:firstLine="425"/>
      </w:pPr>
      <w:rPr>
        <w:rFonts w:cs="Times New Roman" w:hint="default"/>
      </w:rPr>
    </w:lvl>
    <w:lvl w:ilvl="1">
      <w:start w:val="1"/>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7737ECC"/>
    <w:multiLevelType w:val="multilevel"/>
    <w:tmpl w:val="49FA82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lowerLetter"/>
      <w:lvlText w:val="%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9">
    <w:nsid w:val="3B8E70A5"/>
    <w:multiLevelType w:val="hybridMultilevel"/>
    <w:tmpl w:val="8822002A"/>
    <w:lvl w:ilvl="0" w:tplc="3E28E4F0">
      <w:start w:val="2"/>
      <w:numFmt w:val="lowerLetter"/>
      <w:lvlText w:val="%1)"/>
      <w:lvlJc w:val="left"/>
      <w:pPr>
        <w:tabs>
          <w:tab w:val="num" w:pos="1065"/>
        </w:tabs>
        <w:ind w:left="1065" w:hanging="705"/>
      </w:pPr>
      <w:rPr>
        <w:rFonts w:hint="default"/>
      </w:rPr>
    </w:lvl>
    <w:lvl w:ilvl="1" w:tplc="1D6651C0">
      <w:start w:val="1"/>
      <w:numFmt w:val="upperLetter"/>
      <w:lvlText w:val="%2)"/>
      <w:lvlJc w:val="left"/>
      <w:pPr>
        <w:tabs>
          <w:tab w:val="num" w:pos="1440"/>
        </w:tabs>
        <w:ind w:left="1440" w:hanging="360"/>
      </w:pPr>
      <w:rPr>
        <w:rFonts w:hint="default"/>
      </w:rPr>
    </w:lvl>
    <w:lvl w:ilvl="2" w:tplc="4ED468DA">
      <w:start w:val="4"/>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BE214BF"/>
    <w:multiLevelType w:val="multilevel"/>
    <w:tmpl w:val="E7984E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strike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768139A"/>
    <w:multiLevelType w:val="hybridMultilevel"/>
    <w:tmpl w:val="55B42CCA"/>
    <w:lvl w:ilvl="0" w:tplc="ADDEAA72">
      <w:start w:val="1"/>
      <w:numFmt w:val="decimal"/>
      <w:lvlText w:val="2.%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8F0CB3"/>
    <w:multiLevelType w:val="hybridMultilevel"/>
    <w:tmpl w:val="4A087A54"/>
    <w:lvl w:ilvl="0" w:tplc="E33AD6BA">
      <w:start w:val="2"/>
      <w:numFmt w:val="decimal"/>
      <w:lvlText w:val="2.%1.2"/>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9A1846"/>
    <w:multiLevelType w:val="multilevel"/>
    <w:tmpl w:val="4A8AF4CE"/>
    <w:lvl w:ilvl="0">
      <w:start w:val="4"/>
      <w:numFmt w:val="decimal"/>
      <w:lvlText w:val="%1."/>
      <w:lvlJc w:val="left"/>
      <w:pPr>
        <w:tabs>
          <w:tab w:val="num" w:pos="360"/>
        </w:tabs>
        <w:ind w:left="360" w:hanging="360"/>
      </w:pPr>
      <w:rPr>
        <w:rFonts w:cs="Times New Roman" w:hint="default"/>
      </w:rPr>
    </w:lvl>
    <w:lvl w:ilvl="1">
      <w:start w:val="5"/>
      <w:numFmt w:val="decimal"/>
      <w:lvlText w:val="%2.2"/>
      <w:lvlJc w:val="left"/>
      <w:pPr>
        <w:tabs>
          <w:tab w:val="num" w:pos="432"/>
        </w:tabs>
        <w:ind w:left="432" w:hanging="432"/>
      </w:pPr>
      <w:rPr>
        <w:rFonts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B052694"/>
    <w:multiLevelType w:val="hybridMultilevel"/>
    <w:tmpl w:val="3BEE906A"/>
    <w:lvl w:ilvl="0" w:tplc="8650465C">
      <w:start w:val="3"/>
      <w:numFmt w:val="decimal"/>
      <w:lvlText w:val="%1."/>
      <w:lvlJc w:val="left"/>
      <w:pPr>
        <w:tabs>
          <w:tab w:val="num" w:pos="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D0020C1"/>
    <w:multiLevelType w:val="hybridMultilevel"/>
    <w:tmpl w:val="8416DAAE"/>
    <w:lvl w:ilvl="0" w:tplc="956CD1EA">
      <w:start w:val="3"/>
      <w:numFmt w:val="decimal"/>
      <w:lvlText w:val="%1.1"/>
      <w:lvlJc w:val="left"/>
      <w:pPr>
        <w:ind w:left="1788"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26">
    <w:nsid w:val="5DF37B87"/>
    <w:multiLevelType w:val="hybridMultilevel"/>
    <w:tmpl w:val="5D526F50"/>
    <w:lvl w:ilvl="0" w:tplc="7464C0A0">
      <w:start w:val="1"/>
      <w:numFmt w:val="lowerRoman"/>
      <w:pStyle w:val="nazv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9F4A0D"/>
    <w:multiLevelType w:val="multilevel"/>
    <w:tmpl w:val="37E00856"/>
    <w:lvl w:ilvl="0">
      <w:start w:val="4"/>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8">
    <w:nsid w:val="695707D3"/>
    <w:multiLevelType w:val="hybridMultilevel"/>
    <w:tmpl w:val="910A9A66"/>
    <w:lvl w:ilvl="0" w:tplc="64767D48">
      <w:start w:val="1"/>
      <w:numFmt w:val="decimal"/>
      <w:lvlText w:val="%1."/>
      <w:lvlJc w:val="left"/>
      <w:pPr>
        <w:tabs>
          <w:tab w:val="num" w:pos="2062"/>
        </w:tabs>
        <w:ind w:left="2062"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AA755A8"/>
    <w:multiLevelType w:val="multilevel"/>
    <w:tmpl w:val="37E00856"/>
    <w:lvl w:ilvl="0">
      <w:start w:val="4"/>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994"/>
        </w:tabs>
        <w:ind w:left="994"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1">
    <w:nsid w:val="6DDE39FE"/>
    <w:multiLevelType w:val="multilevel"/>
    <w:tmpl w:val="7A2081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FD16BB4"/>
    <w:multiLevelType w:val="multilevel"/>
    <w:tmpl w:val="B22A68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57B3213"/>
    <w:multiLevelType w:val="hybridMultilevel"/>
    <w:tmpl w:val="01F8D81A"/>
    <w:lvl w:ilvl="0" w:tplc="DDAC8822">
      <w:start w:val="1"/>
      <w:numFmt w:val="lowerRoman"/>
      <w:lvlText w:val="(%1)"/>
      <w:lvlJc w:val="left"/>
      <w:pPr>
        <w:ind w:left="1710" w:hanging="360"/>
      </w:pPr>
      <w:rPr>
        <w:rFonts w:ascii="Times New Roman" w:eastAsia="Times New Roman" w:hAnsi="Times New Roman" w:cs="Times New Roman"/>
      </w:rPr>
    </w:lvl>
    <w:lvl w:ilvl="1" w:tplc="04050003" w:tentative="1">
      <w:start w:val="1"/>
      <w:numFmt w:val="bullet"/>
      <w:lvlText w:val="o"/>
      <w:lvlJc w:val="left"/>
      <w:pPr>
        <w:ind w:left="2430" w:hanging="360"/>
      </w:pPr>
      <w:rPr>
        <w:rFonts w:ascii="Courier New" w:hAnsi="Courier New" w:cs="Courier New" w:hint="default"/>
      </w:rPr>
    </w:lvl>
    <w:lvl w:ilvl="2" w:tplc="04050005" w:tentative="1">
      <w:start w:val="1"/>
      <w:numFmt w:val="bullet"/>
      <w:lvlText w:val=""/>
      <w:lvlJc w:val="left"/>
      <w:pPr>
        <w:ind w:left="3150" w:hanging="360"/>
      </w:pPr>
      <w:rPr>
        <w:rFonts w:ascii="Wingdings" w:hAnsi="Wingdings" w:hint="default"/>
      </w:rPr>
    </w:lvl>
    <w:lvl w:ilvl="3" w:tplc="04050001" w:tentative="1">
      <w:start w:val="1"/>
      <w:numFmt w:val="bullet"/>
      <w:lvlText w:val=""/>
      <w:lvlJc w:val="left"/>
      <w:pPr>
        <w:ind w:left="3870" w:hanging="360"/>
      </w:pPr>
      <w:rPr>
        <w:rFonts w:ascii="Symbol" w:hAnsi="Symbol" w:hint="default"/>
      </w:rPr>
    </w:lvl>
    <w:lvl w:ilvl="4" w:tplc="04050003" w:tentative="1">
      <w:start w:val="1"/>
      <w:numFmt w:val="bullet"/>
      <w:lvlText w:val="o"/>
      <w:lvlJc w:val="left"/>
      <w:pPr>
        <w:ind w:left="4590" w:hanging="360"/>
      </w:pPr>
      <w:rPr>
        <w:rFonts w:ascii="Courier New" w:hAnsi="Courier New" w:cs="Courier New" w:hint="default"/>
      </w:rPr>
    </w:lvl>
    <w:lvl w:ilvl="5" w:tplc="04050005" w:tentative="1">
      <w:start w:val="1"/>
      <w:numFmt w:val="bullet"/>
      <w:lvlText w:val=""/>
      <w:lvlJc w:val="left"/>
      <w:pPr>
        <w:ind w:left="5310" w:hanging="360"/>
      </w:pPr>
      <w:rPr>
        <w:rFonts w:ascii="Wingdings" w:hAnsi="Wingdings" w:hint="default"/>
      </w:rPr>
    </w:lvl>
    <w:lvl w:ilvl="6" w:tplc="04050001" w:tentative="1">
      <w:start w:val="1"/>
      <w:numFmt w:val="bullet"/>
      <w:lvlText w:val=""/>
      <w:lvlJc w:val="left"/>
      <w:pPr>
        <w:ind w:left="6030" w:hanging="360"/>
      </w:pPr>
      <w:rPr>
        <w:rFonts w:ascii="Symbol" w:hAnsi="Symbol" w:hint="default"/>
      </w:rPr>
    </w:lvl>
    <w:lvl w:ilvl="7" w:tplc="04050003" w:tentative="1">
      <w:start w:val="1"/>
      <w:numFmt w:val="bullet"/>
      <w:lvlText w:val="o"/>
      <w:lvlJc w:val="left"/>
      <w:pPr>
        <w:ind w:left="6750" w:hanging="360"/>
      </w:pPr>
      <w:rPr>
        <w:rFonts w:ascii="Courier New" w:hAnsi="Courier New" w:cs="Courier New" w:hint="default"/>
      </w:rPr>
    </w:lvl>
    <w:lvl w:ilvl="8" w:tplc="04050005" w:tentative="1">
      <w:start w:val="1"/>
      <w:numFmt w:val="bullet"/>
      <w:lvlText w:val=""/>
      <w:lvlJc w:val="left"/>
      <w:pPr>
        <w:ind w:left="7470" w:hanging="360"/>
      </w:pPr>
      <w:rPr>
        <w:rFonts w:ascii="Wingdings" w:hAnsi="Wingdings" w:hint="default"/>
      </w:rPr>
    </w:lvl>
  </w:abstractNum>
  <w:abstractNum w:abstractNumId="34">
    <w:nsid w:val="7E067C00"/>
    <w:multiLevelType w:val="hybridMultilevel"/>
    <w:tmpl w:val="A86EFC10"/>
    <w:lvl w:ilvl="0" w:tplc="3378E8C6">
      <w:start w:val="2"/>
      <w:numFmt w:val="decimal"/>
      <w:lvlText w:val="%1."/>
      <w:lvlJc w:val="left"/>
      <w:pPr>
        <w:tabs>
          <w:tab w:val="num" w:pos="2062"/>
        </w:tabs>
        <w:ind w:left="2062"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3"/>
  </w:num>
  <w:num w:numId="4">
    <w:abstractNumId w:val="30"/>
  </w:num>
  <w:num w:numId="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5"/>
  </w:num>
  <w:num w:numId="8">
    <w:abstractNumId w:val="24"/>
  </w:num>
  <w:num w:numId="9">
    <w:abstractNumId w:val="10"/>
  </w:num>
  <w:num w:numId="10">
    <w:abstractNumId w:val="20"/>
  </w:num>
  <w:num w:numId="11">
    <w:abstractNumId w:val="31"/>
  </w:num>
  <w:num w:numId="12">
    <w:abstractNumId w:val="34"/>
  </w:num>
  <w:num w:numId="13">
    <w:abstractNumId w:val="27"/>
  </w:num>
  <w:num w:numId="14">
    <w:abstractNumId w:val="6"/>
  </w:num>
  <w:num w:numId="15">
    <w:abstractNumId w:val="28"/>
  </w:num>
  <w:num w:numId="16">
    <w:abstractNumId w:val="7"/>
  </w:num>
  <w:num w:numId="17">
    <w:abstractNumId w:val="32"/>
  </w:num>
  <w:num w:numId="18">
    <w:abstractNumId w:val="4"/>
  </w:num>
  <w:num w:numId="19">
    <w:abstractNumId w:val="12"/>
  </w:num>
  <w:num w:numId="20">
    <w:abstractNumId w:val="1"/>
  </w:num>
  <w:num w:numId="21">
    <w:abstractNumId w:val="29"/>
  </w:num>
  <w:num w:numId="22">
    <w:abstractNumId w:val="9"/>
  </w:num>
  <w:num w:numId="23">
    <w:abstractNumId w:val="25"/>
  </w:num>
  <w:num w:numId="24">
    <w:abstractNumId w:val="13"/>
  </w:num>
  <w:num w:numId="25">
    <w:abstractNumId w:val="8"/>
  </w:num>
  <w:num w:numId="26">
    <w:abstractNumId w:val="23"/>
  </w:num>
  <w:num w:numId="27">
    <w:abstractNumId w:val="5"/>
  </w:num>
  <w:num w:numId="28">
    <w:abstractNumId w:val="16"/>
  </w:num>
  <w:num w:numId="29">
    <w:abstractNumId w:val="26"/>
  </w:num>
  <w:num w:numId="30">
    <w:abstractNumId w:val="33"/>
  </w:num>
  <w:num w:numId="31">
    <w:abstractNumId w:val="11"/>
  </w:num>
  <w:num w:numId="32">
    <w:abstractNumId w:val="0"/>
  </w:num>
  <w:num w:numId="33">
    <w:abstractNumId w:val="17"/>
  </w:num>
  <w:num w:numId="34">
    <w:abstractNumId w:val="2"/>
  </w:num>
  <w:num w:numId="35">
    <w:abstractNumId w:val="2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7F"/>
    <w:rsid w:val="00000D14"/>
    <w:rsid w:val="00044A38"/>
    <w:rsid w:val="000554DB"/>
    <w:rsid w:val="000A5569"/>
    <w:rsid w:val="000B29DC"/>
    <w:rsid w:val="000E5620"/>
    <w:rsid w:val="000F12F1"/>
    <w:rsid w:val="00110670"/>
    <w:rsid w:val="00111208"/>
    <w:rsid w:val="00124D07"/>
    <w:rsid w:val="00136151"/>
    <w:rsid w:val="00147F34"/>
    <w:rsid w:val="001608D3"/>
    <w:rsid w:val="001D6029"/>
    <w:rsid w:val="001F0E5C"/>
    <w:rsid w:val="001F7F69"/>
    <w:rsid w:val="002216FE"/>
    <w:rsid w:val="00223B5F"/>
    <w:rsid w:val="002339FC"/>
    <w:rsid w:val="0027367D"/>
    <w:rsid w:val="00290EA4"/>
    <w:rsid w:val="0029644B"/>
    <w:rsid w:val="002B4EB3"/>
    <w:rsid w:val="002B660F"/>
    <w:rsid w:val="00316DA2"/>
    <w:rsid w:val="00372811"/>
    <w:rsid w:val="0037374B"/>
    <w:rsid w:val="00392FDB"/>
    <w:rsid w:val="003D2A11"/>
    <w:rsid w:val="003D5CFD"/>
    <w:rsid w:val="003F54ED"/>
    <w:rsid w:val="003F7A3D"/>
    <w:rsid w:val="0041419A"/>
    <w:rsid w:val="0041488B"/>
    <w:rsid w:val="004154ED"/>
    <w:rsid w:val="00433159"/>
    <w:rsid w:val="00446F38"/>
    <w:rsid w:val="00462714"/>
    <w:rsid w:val="004677C7"/>
    <w:rsid w:val="004830D7"/>
    <w:rsid w:val="0048793A"/>
    <w:rsid w:val="004A6870"/>
    <w:rsid w:val="004B147F"/>
    <w:rsid w:val="004B6256"/>
    <w:rsid w:val="004C7E13"/>
    <w:rsid w:val="004E00ED"/>
    <w:rsid w:val="004E2932"/>
    <w:rsid w:val="004E33F1"/>
    <w:rsid w:val="004F7DDA"/>
    <w:rsid w:val="00541277"/>
    <w:rsid w:val="00557125"/>
    <w:rsid w:val="00557870"/>
    <w:rsid w:val="0058120F"/>
    <w:rsid w:val="00593AD6"/>
    <w:rsid w:val="005B536F"/>
    <w:rsid w:val="005C26CF"/>
    <w:rsid w:val="005C41C0"/>
    <w:rsid w:val="005C58BB"/>
    <w:rsid w:val="005E2090"/>
    <w:rsid w:val="005F1B51"/>
    <w:rsid w:val="006109E7"/>
    <w:rsid w:val="00621257"/>
    <w:rsid w:val="00627E03"/>
    <w:rsid w:val="006933BF"/>
    <w:rsid w:val="006C56E2"/>
    <w:rsid w:val="006D64C2"/>
    <w:rsid w:val="0074040F"/>
    <w:rsid w:val="007806A0"/>
    <w:rsid w:val="00793980"/>
    <w:rsid w:val="007A01BB"/>
    <w:rsid w:val="007C1440"/>
    <w:rsid w:val="007D1749"/>
    <w:rsid w:val="007E32B8"/>
    <w:rsid w:val="007F31ED"/>
    <w:rsid w:val="0084749C"/>
    <w:rsid w:val="008528A7"/>
    <w:rsid w:val="00853F00"/>
    <w:rsid w:val="00865F52"/>
    <w:rsid w:val="008921B8"/>
    <w:rsid w:val="008A54C7"/>
    <w:rsid w:val="008B0B96"/>
    <w:rsid w:val="008E5BD5"/>
    <w:rsid w:val="00902EE6"/>
    <w:rsid w:val="00953D96"/>
    <w:rsid w:val="00985C43"/>
    <w:rsid w:val="009C2DD6"/>
    <w:rsid w:val="009E4FD2"/>
    <w:rsid w:val="00A256CA"/>
    <w:rsid w:val="00A26D02"/>
    <w:rsid w:val="00A5635B"/>
    <w:rsid w:val="00A611A1"/>
    <w:rsid w:val="00A96ACF"/>
    <w:rsid w:val="00AF75F0"/>
    <w:rsid w:val="00B02AEC"/>
    <w:rsid w:val="00B115C5"/>
    <w:rsid w:val="00B45035"/>
    <w:rsid w:val="00B60E28"/>
    <w:rsid w:val="00BD5324"/>
    <w:rsid w:val="00BE0619"/>
    <w:rsid w:val="00BF1D28"/>
    <w:rsid w:val="00C05DD5"/>
    <w:rsid w:val="00C3282A"/>
    <w:rsid w:val="00C3581D"/>
    <w:rsid w:val="00C37570"/>
    <w:rsid w:val="00C40182"/>
    <w:rsid w:val="00C54D0D"/>
    <w:rsid w:val="00D054B8"/>
    <w:rsid w:val="00D078AC"/>
    <w:rsid w:val="00D26416"/>
    <w:rsid w:val="00D46C97"/>
    <w:rsid w:val="00D66CC0"/>
    <w:rsid w:val="00D86513"/>
    <w:rsid w:val="00E23D4D"/>
    <w:rsid w:val="00E270DF"/>
    <w:rsid w:val="00E27661"/>
    <w:rsid w:val="00E957BF"/>
    <w:rsid w:val="00E95A40"/>
    <w:rsid w:val="00E95ECE"/>
    <w:rsid w:val="00EA23E5"/>
    <w:rsid w:val="00EA2D3E"/>
    <w:rsid w:val="00EB7040"/>
    <w:rsid w:val="00ED4855"/>
    <w:rsid w:val="00EF5A94"/>
    <w:rsid w:val="00F06E83"/>
    <w:rsid w:val="00F12238"/>
    <w:rsid w:val="00F374EA"/>
    <w:rsid w:val="00F57D33"/>
    <w:rsid w:val="00F95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47F"/>
    <w:pPr>
      <w:jc w:val="both"/>
    </w:pPr>
    <w:rPr>
      <w:rFonts w:ascii="Times New Roman" w:eastAsia="Times New Roman" w:hAnsi="Times New Roman"/>
      <w:sz w:val="24"/>
    </w:rPr>
  </w:style>
  <w:style w:type="paragraph" w:styleId="Nadpis2">
    <w:name w:val="heading 2"/>
    <w:basedOn w:val="Normln"/>
    <w:next w:val="Normln"/>
    <w:link w:val="Nadpis2Char"/>
    <w:uiPriority w:val="99"/>
    <w:qFormat/>
    <w:rsid w:val="001F7F69"/>
    <w:pPr>
      <w:keepNext/>
      <w:ind w:left="851" w:hanging="425"/>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B147F"/>
    <w:pPr>
      <w:tabs>
        <w:tab w:val="center" w:pos="4536"/>
        <w:tab w:val="right" w:pos="9072"/>
      </w:tabs>
    </w:pPr>
  </w:style>
  <w:style w:type="character" w:customStyle="1" w:styleId="ZhlavChar">
    <w:name w:val="Záhlaví Char"/>
    <w:link w:val="Zhlav"/>
    <w:uiPriority w:val="99"/>
    <w:rsid w:val="004B147F"/>
    <w:rPr>
      <w:rFonts w:ascii="Times New Roman" w:eastAsia="Times New Roman" w:hAnsi="Times New Roman" w:cs="Times New Roman"/>
      <w:sz w:val="24"/>
      <w:szCs w:val="20"/>
      <w:lang w:eastAsia="cs-CZ"/>
    </w:rPr>
  </w:style>
  <w:style w:type="paragraph" w:customStyle="1" w:styleId="Textbodu">
    <w:name w:val="Text bodu"/>
    <w:basedOn w:val="Normln"/>
    <w:uiPriority w:val="99"/>
    <w:rsid w:val="004B147F"/>
    <w:pPr>
      <w:numPr>
        <w:ilvl w:val="2"/>
        <w:numId w:val="4"/>
      </w:numPr>
      <w:outlineLvl w:val="8"/>
    </w:pPr>
  </w:style>
  <w:style w:type="paragraph" w:customStyle="1" w:styleId="Textpsmene">
    <w:name w:val="Text písmene"/>
    <w:basedOn w:val="Normln"/>
    <w:uiPriority w:val="99"/>
    <w:rsid w:val="004B147F"/>
    <w:pPr>
      <w:numPr>
        <w:ilvl w:val="1"/>
        <w:numId w:val="4"/>
      </w:numPr>
      <w:outlineLvl w:val="7"/>
    </w:pPr>
  </w:style>
  <w:style w:type="paragraph" w:customStyle="1" w:styleId="Textodstavce">
    <w:name w:val="Text odstavce"/>
    <w:basedOn w:val="Normln"/>
    <w:link w:val="TextodstavceChar"/>
    <w:uiPriority w:val="99"/>
    <w:rsid w:val="004B147F"/>
    <w:pPr>
      <w:numPr>
        <w:numId w:val="4"/>
      </w:numPr>
      <w:tabs>
        <w:tab w:val="left" w:pos="851"/>
      </w:tabs>
      <w:spacing w:before="120" w:after="120"/>
      <w:outlineLvl w:val="6"/>
    </w:pPr>
  </w:style>
  <w:style w:type="paragraph" w:styleId="Textpoznpodarou">
    <w:name w:val="footnote text"/>
    <w:basedOn w:val="Normln"/>
    <w:link w:val="TextpoznpodarouChar"/>
    <w:semiHidden/>
    <w:rsid w:val="004B147F"/>
    <w:pPr>
      <w:tabs>
        <w:tab w:val="left" w:pos="425"/>
      </w:tabs>
      <w:ind w:left="425" w:hanging="425"/>
    </w:pPr>
    <w:rPr>
      <w:sz w:val="20"/>
    </w:rPr>
  </w:style>
  <w:style w:type="character" w:customStyle="1" w:styleId="TextpoznpodarouChar">
    <w:name w:val="Text pozn. pod čarou Char"/>
    <w:link w:val="Textpoznpodarou"/>
    <w:semiHidden/>
    <w:rsid w:val="004B147F"/>
    <w:rPr>
      <w:rFonts w:ascii="Times New Roman" w:eastAsia="Times New Roman" w:hAnsi="Times New Roman" w:cs="Times New Roman"/>
      <w:sz w:val="20"/>
      <w:szCs w:val="20"/>
      <w:lang w:eastAsia="cs-CZ"/>
    </w:rPr>
  </w:style>
  <w:style w:type="character" w:styleId="Znakapoznpodarou">
    <w:name w:val="footnote reference"/>
    <w:semiHidden/>
    <w:rsid w:val="004B147F"/>
    <w:rPr>
      <w:vertAlign w:val="superscript"/>
    </w:rPr>
  </w:style>
  <w:style w:type="character" w:customStyle="1" w:styleId="Odkaznapoznpodarou">
    <w:name w:val="Odkaz na pozn. pod čarou"/>
    <w:uiPriority w:val="99"/>
    <w:rsid w:val="004B147F"/>
    <w:rPr>
      <w:vertAlign w:val="superscript"/>
    </w:rPr>
  </w:style>
  <w:style w:type="character" w:styleId="Siln">
    <w:name w:val="Strong"/>
    <w:uiPriority w:val="99"/>
    <w:qFormat/>
    <w:rsid w:val="004B147F"/>
    <w:rPr>
      <w:b/>
      <w:bCs/>
    </w:rPr>
  </w:style>
  <w:style w:type="character" w:customStyle="1" w:styleId="TextodstavceChar">
    <w:name w:val="Text odstavce Char"/>
    <w:link w:val="Textodstavce"/>
    <w:uiPriority w:val="99"/>
    <w:rsid w:val="004B147F"/>
    <w:rPr>
      <w:rFonts w:ascii="Times New Roman" w:eastAsia="Times New Roman" w:hAnsi="Times New Roman" w:cs="Times New Roman"/>
      <w:sz w:val="24"/>
      <w:szCs w:val="20"/>
      <w:lang w:eastAsia="cs-CZ"/>
    </w:rPr>
  </w:style>
  <w:style w:type="paragraph" w:styleId="Zkladntext">
    <w:name w:val="Body Text"/>
    <w:basedOn w:val="Normln"/>
    <w:link w:val="ZkladntextChar"/>
    <w:rsid w:val="000F12F1"/>
    <w:pPr>
      <w:jc w:val="center"/>
    </w:pPr>
    <w:rPr>
      <w:rFonts w:ascii="Arial" w:hAnsi="Arial" w:cs="Arial"/>
      <w:b/>
      <w:bCs/>
      <w:sz w:val="22"/>
      <w:szCs w:val="22"/>
    </w:rPr>
  </w:style>
  <w:style w:type="character" w:customStyle="1" w:styleId="ZkladntextChar">
    <w:name w:val="Základní text Char"/>
    <w:link w:val="Zkladntext"/>
    <w:rsid w:val="000F12F1"/>
    <w:rPr>
      <w:rFonts w:ascii="Arial" w:eastAsia="Times New Roman" w:hAnsi="Arial" w:cs="Arial"/>
      <w:b/>
      <w:bCs/>
      <w:sz w:val="22"/>
      <w:szCs w:val="22"/>
    </w:rPr>
  </w:style>
  <w:style w:type="paragraph" w:styleId="Textbubliny">
    <w:name w:val="Balloon Text"/>
    <w:basedOn w:val="Normln"/>
    <w:link w:val="TextbublinyChar"/>
    <w:uiPriority w:val="99"/>
    <w:semiHidden/>
    <w:unhideWhenUsed/>
    <w:rsid w:val="00BF1D28"/>
    <w:rPr>
      <w:rFonts w:ascii="Tahoma" w:hAnsi="Tahoma" w:cs="Tahoma"/>
      <w:sz w:val="16"/>
      <w:szCs w:val="16"/>
    </w:rPr>
  </w:style>
  <w:style w:type="character" w:customStyle="1" w:styleId="TextbublinyChar">
    <w:name w:val="Text bubliny Char"/>
    <w:link w:val="Textbubliny"/>
    <w:uiPriority w:val="99"/>
    <w:semiHidden/>
    <w:rsid w:val="00BF1D28"/>
    <w:rPr>
      <w:rFonts w:ascii="Tahoma" w:eastAsia="Times New Roman" w:hAnsi="Tahoma" w:cs="Tahoma"/>
      <w:sz w:val="16"/>
      <w:szCs w:val="16"/>
    </w:rPr>
  </w:style>
  <w:style w:type="paragraph" w:styleId="Odstavecseseznamem">
    <w:name w:val="List Paragraph"/>
    <w:basedOn w:val="Normln"/>
    <w:link w:val="OdstavecseseznamemChar"/>
    <w:uiPriority w:val="99"/>
    <w:qFormat/>
    <w:rsid w:val="00F374EA"/>
    <w:pPr>
      <w:ind w:left="720"/>
      <w:contextualSpacing/>
    </w:pPr>
  </w:style>
  <w:style w:type="character" w:customStyle="1" w:styleId="OdstavecseseznamemChar">
    <w:name w:val="Odstavec se seznamem Char"/>
    <w:link w:val="Odstavecseseznamem"/>
    <w:uiPriority w:val="99"/>
    <w:rsid w:val="00F374EA"/>
    <w:rPr>
      <w:rFonts w:ascii="Times New Roman" w:eastAsia="Times New Roman" w:hAnsi="Times New Roman"/>
      <w:sz w:val="24"/>
    </w:rPr>
  </w:style>
  <w:style w:type="character" w:customStyle="1" w:styleId="Nadpis2Char">
    <w:name w:val="Nadpis 2 Char"/>
    <w:link w:val="Nadpis2"/>
    <w:uiPriority w:val="99"/>
    <w:rsid w:val="001F7F69"/>
    <w:rPr>
      <w:rFonts w:ascii="Cambria" w:eastAsia="Times New Roman" w:hAnsi="Cambria"/>
      <w:b/>
      <w:bCs/>
      <w:i/>
      <w:iCs/>
      <w:sz w:val="28"/>
      <w:szCs w:val="28"/>
    </w:rPr>
  </w:style>
  <w:style w:type="paragraph" w:customStyle="1" w:styleId="nazvy">
    <w:name w:val="nazvy"/>
    <w:basedOn w:val="Normln"/>
    <w:rsid w:val="001F7F69"/>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47F"/>
    <w:pPr>
      <w:jc w:val="both"/>
    </w:pPr>
    <w:rPr>
      <w:rFonts w:ascii="Times New Roman" w:eastAsia="Times New Roman" w:hAnsi="Times New Roman"/>
      <w:sz w:val="24"/>
    </w:rPr>
  </w:style>
  <w:style w:type="paragraph" w:styleId="Nadpis2">
    <w:name w:val="heading 2"/>
    <w:basedOn w:val="Normln"/>
    <w:next w:val="Normln"/>
    <w:link w:val="Nadpis2Char"/>
    <w:uiPriority w:val="99"/>
    <w:qFormat/>
    <w:rsid w:val="001F7F69"/>
    <w:pPr>
      <w:keepNext/>
      <w:ind w:left="851" w:hanging="425"/>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B147F"/>
    <w:pPr>
      <w:tabs>
        <w:tab w:val="center" w:pos="4536"/>
        <w:tab w:val="right" w:pos="9072"/>
      </w:tabs>
    </w:pPr>
  </w:style>
  <w:style w:type="character" w:customStyle="1" w:styleId="ZhlavChar">
    <w:name w:val="Záhlaví Char"/>
    <w:link w:val="Zhlav"/>
    <w:uiPriority w:val="99"/>
    <w:rsid w:val="004B147F"/>
    <w:rPr>
      <w:rFonts w:ascii="Times New Roman" w:eastAsia="Times New Roman" w:hAnsi="Times New Roman" w:cs="Times New Roman"/>
      <w:sz w:val="24"/>
      <w:szCs w:val="20"/>
      <w:lang w:eastAsia="cs-CZ"/>
    </w:rPr>
  </w:style>
  <w:style w:type="paragraph" w:customStyle="1" w:styleId="Textbodu">
    <w:name w:val="Text bodu"/>
    <w:basedOn w:val="Normln"/>
    <w:uiPriority w:val="99"/>
    <w:rsid w:val="004B147F"/>
    <w:pPr>
      <w:numPr>
        <w:ilvl w:val="2"/>
        <w:numId w:val="4"/>
      </w:numPr>
      <w:outlineLvl w:val="8"/>
    </w:pPr>
  </w:style>
  <w:style w:type="paragraph" w:customStyle="1" w:styleId="Textpsmene">
    <w:name w:val="Text písmene"/>
    <w:basedOn w:val="Normln"/>
    <w:uiPriority w:val="99"/>
    <w:rsid w:val="004B147F"/>
    <w:pPr>
      <w:numPr>
        <w:ilvl w:val="1"/>
        <w:numId w:val="4"/>
      </w:numPr>
      <w:outlineLvl w:val="7"/>
    </w:pPr>
  </w:style>
  <w:style w:type="paragraph" w:customStyle="1" w:styleId="Textodstavce">
    <w:name w:val="Text odstavce"/>
    <w:basedOn w:val="Normln"/>
    <w:link w:val="TextodstavceChar"/>
    <w:uiPriority w:val="99"/>
    <w:rsid w:val="004B147F"/>
    <w:pPr>
      <w:numPr>
        <w:numId w:val="4"/>
      </w:numPr>
      <w:tabs>
        <w:tab w:val="left" w:pos="851"/>
      </w:tabs>
      <w:spacing w:before="120" w:after="120"/>
      <w:outlineLvl w:val="6"/>
    </w:pPr>
  </w:style>
  <w:style w:type="paragraph" w:styleId="Textpoznpodarou">
    <w:name w:val="footnote text"/>
    <w:basedOn w:val="Normln"/>
    <w:link w:val="TextpoznpodarouChar"/>
    <w:semiHidden/>
    <w:rsid w:val="004B147F"/>
    <w:pPr>
      <w:tabs>
        <w:tab w:val="left" w:pos="425"/>
      </w:tabs>
      <w:ind w:left="425" w:hanging="425"/>
    </w:pPr>
    <w:rPr>
      <w:sz w:val="20"/>
    </w:rPr>
  </w:style>
  <w:style w:type="character" w:customStyle="1" w:styleId="TextpoznpodarouChar">
    <w:name w:val="Text pozn. pod čarou Char"/>
    <w:link w:val="Textpoznpodarou"/>
    <w:semiHidden/>
    <w:rsid w:val="004B147F"/>
    <w:rPr>
      <w:rFonts w:ascii="Times New Roman" w:eastAsia="Times New Roman" w:hAnsi="Times New Roman" w:cs="Times New Roman"/>
      <w:sz w:val="20"/>
      <w:szCs w:val="20"/>
      <w:lang w:eastAsia="cs-CZ"/>
    </w:rPr>
  </w:style>
  <w:style w:type="character" w:styleId="Znakapoznpodarou">
    <w:name w:val="footnote reference"/>
    <w:semiHidden/>
    <w:rsid w:val="004B147F"/>
    <w:rPr>
      <w:vertAlign w:val="superscript"/>
    </w:rPr>
  </w:style>
  <w:style w:type="character" w:customStyle="1" w:styleId="Odkaznapoznpodarou">
    <w:name w:val="Odkaz na pozn. pod čarou"/>
    <w:uiPriority w:val="99"/>
    <w:rsid w:val="004B147F"/>
    <w:rPr>
      <w:vertAlign w:val="superscript"/>
    </w:rPr>
  </w:style>
  <w:style w:type="character" w:styleId="Siln">
    <w:name w:val="Strong"/>
    <w:uiPriority w:val="99"/>
    <w:qFormat/>
    <w:rsid w:val="004B147F"/>
    <w:rPr>
      <w:b/>
      <w:bCs/>
    </w:rPr>
  </w:style>
  <w:style w:type="character" w:customStyle="1" w:styleId="TextodstavceChar">
    <w:name w:val="Text odstavce Char"/>
    <w:link w:val="Textodstavce"/>
    <w:uiPriority w:val="99"/>
    <w:rsid w:val="004B147F"/>
    <w:rPr>
      <w:rFonts w:ascii="Times New Roman" w:eastAsia="Times New Roman" w:hAnsi="Times New Roman" w:cs="Times New Roman"/>
      <w:sz w:val="24"/>
      <w:szCs w:val="20"/>
      <w:lang w:eastAsia="cs-CZ"/>
    </w:rPr>
  </w:style>
  <w:style w:type="paragraph" w:styleId="Zkladntext">
    <w:name w:val="Body Text"/>
    <w:basedOn w:val="Normln"/>
    <w:link w:val="ZkladntextChar"/>
    <w:rsid w:val="000F12F1"/>
    <w:pPr>
      <w:jc w:val="center"/>
    </w:pPr>
    <w:rPr>
      <w:rFonts w:ascii="Arial" w:hAnsi="Arial" w:cs="Arial"/>
      <w:b/>
      <w:bCs/>
      <w:sz w:val="22"/>
      <w:szCs w:val="22"/>
    </w:rPr>
  </w:style>
  <w:style w:type="character" w:customStyle="1" w:styleId="ZkladntextChar">
    <w:name w:val="Základní text Char"/>
    <w:link w:val="Zkladntext"/>
    <w:rsid w:val="000F12F1"/>
    <w:rPr>
      <w:rFonts w:ascii="Arial" w:eastAsia="Times New Roman" w:hAnsi="Arial" w:cs="Arial"/>
      <w:b/>
      <w:bCs/>
      <w:sz w:val="22"/>
      <w:szCs w:val="22"/>
    </w:rPr>
  </w:style>
  <w:style w:type="paragraph" w:styleId="Textbubliny">
    <w:name w:val="Balloon Text"/>
    <w:basedOn w:val="Normln"/>
    <w:link w:val="TextbublinyChar"/>
    <w:uiPriority w:val="99"/>
    <w:semiHidden/>
    <w:unhideWhenUsed/>
    <w:rsid w:val="00BF1D28"/>
    <w:rPr>
      <w:rFonts w:ascii="Tahoma" w:hAnsi="Tahoma" w:cs="Tahoma"/>
      <w:sz w:val="16"/>
      <w:szCs w:val="16"/>
    </w:rPr>
  </w:style>
  <w:style w:type="character" w:customStyle="1" w:styleId="TextbublinyChar">
    <w:name w:val="Text bubliny Char"/>
    <w:link w:val="Textbubliny"/>
    <w:uiPriority w:val="99"/>
    <w:semiHidden/>
    <w:rsid w:val="00BF1D28"/>
    <w:rPr>
      <w:rFonts w:ascii="Tahoma" w:eastAsia="Times New Roman" w:hAnsi="Tahoma" w:cs="Tahoma"/>
      <w:sz w:val="16"/>
      <w:szCs w:val="16"/>
    </w:rPr>
  </w:style>
  <w:style w:type="paragraph" w:styleId="Odstavecseseznamem">
    <w:name w:val="List Paragraph"/>
    <w:basedOn w:val="Normln"/>
    <w:link w:val="OdstavecseseznamemChar"/>
    <w:uiPriority w:val="99"/>
    <w:qFormat/>
    <w:rsid w:val="00F374EA"/>
    <w:pPr>
      <w:ind w:left="720"/>
      <w:contextualSpacing/>
    </w:pPr>
  </w:style>
  <w:style w:type="character" w:customStyle="1" w:styleId="OdstavecseseznamemChar">
    <w:name w:val="Odstavec se seznamem Char"/>
    <w:link w:val="Odstavecseseznamem"/>
    <w:uiPriority w:val="99"/>
    <w:rsid w:val="00F374EA"/>
    <w:rPr>
      <w:rFonts w:ascii="Times New Roman" w:eastAsia="Times New Roman" w:hAnsi="Times New Roman"/>
      <w:sz w:val="24"/>
    </w:rPr>
  </w:style>
  <w:style w:type="character" w:customStyle="1" w:styleId="Nadpis2Char">
    <w:name w:val="Nadpis 2 Char"/>
    <w:link w:val="Nadpis2"/>
    <w:uiPriority w:val="99"/>
    <w:rsid w:val="001F7F69"/>
    <w:rPr>
      <w:rFonts w:ascii="Cambria" w:eastAsia="Times New Roman" w:hAnsi="Cambria"/>
      <w:b/>
      <w:bCs/>
      <w:i/>
      <w:iCs/>
      <w:sz w:val="28"/>
      <w:szCs w:val="28"/>
    </w:rPr>
  </w:style>
  <w:style w:type="paragraph" w:customStyle="1" w:styleId="nazvy">
    <w:name w:val="nazvy"/>
    <w:basedOn w:val="Normln"/>
    <w:rsid w:val="001F7F6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B0AC-690B-463D-933F-C557D738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2913</Words>
  <Characters>17188</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ozp</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dc:creator>
  <cp:lastModifiedBy>Plšková Ludmila</cp:lastModifiedBy>
  <cp:revision>2</cp:revision>
  <cp:lastPrinted>2013-05-17T15:45:00Z</cp:lastPrinted>
  <dcterms:created xsi:type="dcterms:W3CDTF">2016-03-18T11:38:00Z</dcterms:created>
  <dcterms:modified xsi:type="dcterms:W3CDTF">2016-03-18T11:38:00Z</dcterms:modified>
</cp:coreProperties>
</file>