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B7" w:rsidRDefault="00515FB7">
      <w:pPr>
        <w:rPr>
          <w:rFonts w:cs="Arial"/>
          <w:szCs w:val="24"/>
        </w:rPr>
      </w:pPr>
    </w:p>
    <w:p w:rsidR="007D4A25" w:rsidRDefault="007D4A25">
      <w:pPr>
        <w:rPr>
          <w:rFonts w:cs="Arial"/>
          <w:szCs w:val="24"/>
        </w:rPr>
      </w:pPr>
    </w:p>
    <w:p w:rsidR="007D4A25" w:rsidRDefault="007D4A25">
      <w:pPr>
        <w:rPr>
          <w:rFonts w:cs="Arial"/>
          <w:szCs w:val="24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Příloha č. 1</w:t>
      </w: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Předběžné měsíční úhrady zaplacené podle úhradové vyhlášky </w:t>
      </w:r>
      <w:r>
        <w:rPr>
          <w:rFonts w:asciiTheme="minorHAnsi" w:hAnsiTheme="minorHAnsi" w:cs="Arial"/>
          <w:b/>
          <w:sz w:val="26"/>
          <w:szCs w:val="26"/>
        </w:rPr>
        <w:br/>
        <w:t>v 1. čtvrtletí 2015 v porovnání s 1. čtvrtletím 2014</w:t>
      </w: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Pr="00E66619" w:rsidRDefault="007D4A25" w:rsidP="007D4A25">
      <w:pPr>
        <w:jc w:val="center"/>
        <w:rPr>
          <w:rFonts w:asciiTheme="minorHAnsi" w:hAnsiTheme="minorHAnsi" w:cs="Arial"/>
          <w:sz w:val="20"/>
          <w:szCs w:val="20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3C0452" w:rsidRDefault="003C0452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3C0452" w:rsidRDefault="003C0452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3C0452" w:rsidRDefault="003C0452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3C0452" w:rsidRDefault="003C0452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3C0452" w:rsidRDefault="003C0452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3C0452" w:rsidRDefault="003C0452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3C0452" w:rsidRDefault="003C0452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A06049" w:rsidRPr="00A71D0B" w:rsidRDefault="00A06049" w:rsidP="00A06049">
      <w:pPr>
        <w:jc w:val="center"/>
        <w:rPr>
          <w:rFonts w:cs="Arial"/>
          <w:szCs w:val="24"/>
        </w:rPr>
      </w:pPr>
      <w:r w:rsidRPr="00A71D0B">
        <w:rPr>
          <w:rFonts w:cs="Arial"/>
          <w:b/>
          <w:sz w:val="28"/>
          <w:szCs w:val="28"/>
        </w:rPr>
        <w:t>Zvýšení úhrad úhradovou vyhláškou pro rok 2015 v </w:t>
      </w:r>
      <w:r>
        <w:rPr>
          <w:rFonts w:cs="Arial"/>
          <w:b/>
          <w:sz w:val="28"/>
          <w:szCs w:val="28"/>
        </w:rPr>
        <w:t>akutní</w:t>
      </w:r>
      <w:r w:rsidRPr="00A71D0B">
        <w:rPr>
          <w:rFonts w:cs="Arial"/>
          <w:b/>
          <w:sz w:val="28"/>
          <w:szCs w:val="28"/>
        </w:rPr>
        <w:t xml:space="preserve"> péči</w:t>
      </w:r>
      <w:r>
        <w:rPr>
          <w:rFonts w:cs="Arial"/>
          <w:b/>
          <w:sz w:val="28"/>
          <w:szCs w:val="28"/>
        </w:rPr>
        <w:br/>
      </w:r>
      <w:r w:rsidRPr="00A71D0B">
        <w:rPr>
          <w:rFonts w:cs="Arial"/>
          <w:szCs w:val="24"/>
        </w:rPr>
        <w:t>(porovnání 1. čtvrtletí 2015 s 1. čtvrtletím 201</w:t>
      </w:r>
      <w:r>
        <w:rPr>
          <w:rFonts w:cs="Arial"/>
          <w:szCs w:val="24"/>
        </w:rPr>
        <w:t>4 za všechny pojišťovny</w:t>
      </w:r>
      <w:r w:rsidRPr="00A71D0B">
        <w:rPr>
          <w:rFonts w:cs="Arial"/>
          <w:szCs w:val="24"/>
        </w:rPr>
        <w:t>)</w:t>
      </w:r>
    </w:p>
    <w:p w:rsidR="00A06049" w:rsidRPr="00EF156E" w:rsidRDefault="00A06049" w:rsidP="00A06049">
      <w:pPr>
        <w:spacing w:before="240"/>
        <w:rPr>
          <w:rFonts w:cs="Arial"/>
          <w:sz w:val="22"/>
        </w:rPr>
      </w:pPr>
      <w:r w:rsidRPr="00EF156E">
        <w:rPr>
          <w:rFonts w:cs="Arial"/>
          <w:sz w:val="22"/>
        </w:rPr>
        <w:t>Výsledky ankety z</w:t>
      </w:r>
      <w:r>
        <w:rPr>
          <w:rFonts w:cs="Arial"/>
          <w:sz w:val="22"/>
        </w:rPr>
        <w:t>e</w:t>
      </w:r>
      <w:r w:rsidRPr="00EF156E">
        <w:rPr>
          <w:rFonts w:cs="Arial"/>
          <w:sz w:val="22"/>
        </w:rPr>
        <w:t> </w:t>
      </w:r>
      <w:r>
        <w:rPr>
          <w:rFonts w:cs="Arial"/>
          <w:sz w:val="22"/>
        </w:rPr>
        <w:t>41</w:t>
      </w:r>
      <w:r w:rsidRPr="00EF156E">
        <w:rPr>
          <w:rFonts w:cs="Arial"/>
          <w:sz w:val="22"/>
        </w:rPr>
        <w:t xml:space="preserve"> zařízení akutní péče AČMN ukazují, že předběžné úhrady (stanoví je úhradová vyhláška) za 1. čtvrtletí 2015 dosáhly v porovnání s 1. čtvrtletím 2014 navýšení na: </w:t>
      </w:r>
    </w:p>
    <w:p w:rsidR="00A06049" w:rsidRPr="00EF156E" w:rsidRDefault="00A06049" w:rsidP="00A06049">
      <w:pPr>
        <w:rPr>
          <w:rFonts w:cs="Arial"/>
          <w:sz w:val="22"/>
        </w:rPr>
      </w:pPr>
      <w:r w:rsidRPr="00EF156E">
        <w:rPr>
          <w:rFonts w:cs="Arial"/>
          <w:sz w:val="22"/>
        </w:rPr>
        <w:t>103 % a více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>
        <w:rPr>
          <w:rFonts w:cs="Arial"/>
          <w:sz w:val="22"/>
        </w:rPr>
        <w:t>20</w:t>
      </w:r>
      <w:r w:rsidRPr="00EF156E">
        <w:rPr>
          <w:rFonts w:cs="Arial"/>
          <w:sz w:val="22"/>
        </w:rPr>
        <w:t xml:space="preserve"> nemocnic</w:t>
      </w:r>
    </w:p>
    <w:p w:rsidR="00A06049" w:rsidRPr="00EF156E" w:rsidRDefault="00A06049" w:rsidP="00A06049">
      <w:pPr>
        <w:spacing w:before="0"/>
        <w:rPr>
          <w:rFonts w:cs="Arial"/>
          <w:sz w:val="22"/>
        </w:rPr>
      </w:pPr>
      <w:r w:rsidRPr="00EF156E">
        <w:rPr>
          <w:rFonts w:cs="Arial"/>
          <w:sz w:val="22"/>
        </w:rPr>
        <w:t>102 – 103 %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  <w:t>1</w:t>
      </w:r>
      <w:r>
        <w:rPr>
          <w:rFonts w:cs="Arial"/>
          <w:sz w:val="22"/>
        </w:rPr>
        <w:t>2</w:t>
      </w:r>
      <w:r w:rsidRPr="00EF156E">
        <w:rPr>
          <w:rFonts w:cs="Arial"/>
          <w:sz w:val="22"/>
        </w:rPr>
        <w:t xml:space="preserve"> nemocnic</w:t>
      </w:r>
    </w:p>
    <w:p w:rsidR="00A06049" w:rsidRPr="00EF156E" w:rsidRDefault="00A06049" w:rsidP="00A06049">
      <w:pPr>
        <w:spacing w:before="0"/>
        <w:rPr>
          <w:rFonts w:cs="Arial"/>
          <w:sz w:val="22"/>
        </w:rPr>
      </w:pPr>
      <w:r w:rsidRPr="00EF156E">
        <w:rPr>
          <w:rFonts w:cs="Arial"/>
          <w:sz w:val="22"/>
        </w:rPr>
        <w:t>101 – 102 %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  <w:t xml:space="preserve"> </w:t>
      </w:r>
      <w:r>
        <w:rPr>
          <w:rFonts w:cs="Arial"/>
          <w:sz w:val="22"/>
        </w:rPr>
        <w:t xml:space="preserve"> 3</w:t>
      </w:r>
      <w:r w:rsidRPr="00EF156E">
        <w:rPr>
          <w:rFonts w:cs="Arial"/>
          <w:sz w:val="22"/>
        </w:rPr>
        <w:t xml:space="preserve"> nemocnic</w:t>
      </w:r>
      <w:r>
        <w:rPr>
          <w:rFonts w:cs="Arial"/>
          <w:sz w:val="22"/>
        </w:rPr>
        <w:t>e</w:t>
      </w:r>
    </w:p>
    <w:p w:rsidR="00A06049" w:rsidRPr="00EF156E" w:rsidRDefault="00A06049" w:rsidP="00A06049">
      <w:pPr>
        <w:spacing w:before="0"/>
        <w:rPr>
          <w:rFonts w:cs="Arial"/>
          <w:sz w:val="22"/>
        </w:rPr>
      </w:pPr>
      <w:r w:rsidRPr="00EF156E">
        <w:rPr>
          <w:rFonts w:cs="Arial"/>
          <w:sz w:val="22"/>
        </w:rPr>
        <w:t>100 – 101 %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  <w:t xml:space="preserve"> -</w:t>
      </w:r>
    </w:p>
    <w:p w:rsidR="00A06049" w:rsidRPr="00EF156E" w:rsidRDefault="00A06049" w:rsidP="00A06049">
      <w:pPr>
        <w:spacing w:before="0"/>
        <w:rPr>
          <w:rFonts w:cs="Arial"/>
          <w:sz w:val="22"/>
        </w:rPr>
      </w:pPr>
      <w:r w:rsidRPr="00EF156E">
        <w:rPr>
          <w:rFonts w:cs="Arial"/>
          <w:sz w:val="22"/>
        </w:rPr>
        <w:t>méně než 100 %</w:t>
      </w:r>
      <w:r w:rsidRPr="00EF156E">
        <w:rPr>
          <w:rFonts w:cs="Arial"/>
          <w:sz w:val="22"/>
        </w:rPr>
        <w:tab/>
      </w:r>
      <w:r w:rsidRPr="00EF156E">
        <w:rPr>
          <w:rFonts w:cs="Arial"/>
          <w:sz w:val="22"/>
        </w:rPr>
        <w:tab/>
      </w:r>
      <w:r>
        <w:rPr>
          <w:rFonts w:cs="Arial"/>
          <w:sz w:val="22"/>
        </w:rPr>
        <w:t xml:space="preserve"> 6</w:t>
      </w:r>
      <w:r w:rsidRPr="00EF156E">
        <w:rPr>
          <w:rFonts w:cs="Arial"/>
          <w:sz w:val="22"/>
        </w:rPr>
        <w:t xml:space="preserve"> nemocnic</w:t>
      </w:r>
    </w:p>
    <w:p w:rsidR="00A06049" w:rsidRPr="00EF156E" w:rsidRDefault="00A06049" w:rsidP="00A06049">
      <w:pPr>
        <w:rPr>
          <w:rFonts w:cs="Arial"/>
          <w:sz w:val="22"/>
        </w:rPr>
      </w:pPr>
      <w:r w:rsidRPr="00EF156E">
        <w:rPr>
          <w:rFonts w:cs="Arial"/>
          <w:sz w:val="22"/>
        </w:rPr>
        <w:t xml:space="preserve">Dodatečné zdroje potřebné k 5 % zvýšení tarifních platů nebo mezd nezískalo v odpovídající výši </w:t>
      </w:r>
      <w:r>
        <w:rPr>
          <w:rFonts w:cs="Arial"/>
          <w:sz w:val="22"/>
        </w:rPr>
        <w:t>21</w:t>
      </w:r>
      <w:r w:rsidRPr="00EF156E">
        <w:rPr>
          <w:rFonts w:cs="Arial"/>
          <w:sz w:val="22"/>
        </w:rPr>
        <w:t xml:space="preserve"> nemocnic</w:t>
      </w:r>
      <w:r>
        <w:rPr>
          <w:rFonts w:cs="Arial"/>
          <w:sz w:val="22"/>
        </w:rPr>
        <w:t xml:space="preserve"> (označeno červeně)</w:t>
      </w:r>
      <w:r w:rsidRPr="00EF156E">
        <w:rPr>
          <w:rFonts w:cs="Arial"/>
          <w:sz w:val="22"/>
        </w:rPr>
        <w:t xml:space="preserve">, tj. </w:t>
      </w:r>
      <w:r w:rsidRPr="00EF156E">
        <w:rPr>
          <w:rFonts w:cs="Arial"/>
          <w:color w:val="FF0000"/>
          <w:sz w:val="22"/>
        </w:rPr>
        <w:t>5</w:t>
      </w:r>
      <w:r>
        <w:rPr>
          <w:rFonts w:cs="Arial"/>
          <w:color w:val="FF0000"/>
          <w:sz w:val="22"/>
        </w:rPr>
        <w:t>1,2</w:t>
      </w:r>
      <w:r w:rsidRPr="00EF156E">
        <w:rPr>
          <w:rFonts w:cs="Arial"/>
          <w:color w:val="FF0000"/>
          <w:sz w:val="22"/>
        </w:rPr>
        <w:t xml:space="preserve"> %</w:t>
      </w:r>
      <w:r w:rsidRPr="00EF156E">
        <w:rPr>
          <w:rFonts w:cs="Arial"/>
          <w:sz w:val="22"/>
        </w:rPr>
        <w:t xml:space="preserve"> (minimální nutné navýšení podle názoru AČMN a původně i Ministerstva zdravotnictví bylo 103 % úhrad).</w:t>
      </w:r>
    </w:p>
    <w:p w:rsidR="00A06049" w:rsidRPr="00EF156E" w:rsidRDefault="00A06049" w:rsidP="00A06049">
      <w:pPr>
        <w:rPr>
          <w:rFonts w:cs="Arial"/>
          <w:sz w:val="22"/>
        </w:rPr>
      </w:pPr>
      <w:r w:rsidRPr="00EF156E">
        <w:rPr>
          <w:rFonts w:cs="Arial"/>
          <w:sz w:val="22"/>
        </w:rPr>
        <w:t>I podle pozdějšího názoru Ministerstva zdravotnictví (minimální nutné navýšení jen 102,1 % úhrad) nezískalo dodatečné</w:t>
      </w:r>
      <w:r w:rsidR="0031741B">
        <w:rPr>
          <w:rFonts w:cs="Arial"/>
          <w:sz w:val="22"/>
        </w:rPr>
        <w:t xml:space="preserve"> </w:t>
      </w:r>
      <w:r w:rsidRPr="00EF156E">
        <w:rPr>
          <w:rFonts w:cs="Arial"/>
          <w:sz w:val="22"/>
        </w:rPr>
        <w:t>zdroje</w:t>
      </w:r>
      <w:r w:rsidR="0031741B">
        <w:rPr>
          <w:rFonts w:cs="Arial"/>
          <w:sz w:val="22"/>
        </w:rPr>
        <w:t xml:space="preserve"> na mzdy</w:t>
      </w:r>
      <w:r w:rsidRPr="00EF156E">
        <w:rPr>
          <w:rFonts w:cs="Arial"/>
          <w:sz w:val="22"/>
        </w:rPr>
        <w:t xml:space="preserve"> </w:t>
      </w:r>
      <w:r>
        <w:rPr>
          <w:rFonts w:cs="Arial"/>
          <w:sz w:val="22"/>
        </w:rPr>
        <w:t>9</w:t>
      </w:r>
      <w:r w:rsidRPr="00EF156E">
        <w:rPr>
          <w:rFonts w:cs="Arial"/>
          <w:sz w:val="22"/>
        </w:rPr>
        <w:t xml:space="preserve"> nemocnic, tj. </w:t>
      </w:r>
      <w:r>
        <w:rPr>
          <w:rFonts w:cs="Arial"/>
          <w:color w:val="FF0000"/>
          <w:sz w:val="22"/>
        </w:rPr>
        <w:t>22</w:t>
      </w:r>
      <w:r w:rsidRPr="00EF156E">
        <w:rPr>
          <w:rFonts w:cs="Arial"/>
          <w:color w:val="FF0000"/>
          <w:sz w:val="22"/>
        </w:rPr>
        <w:t xml:space="preserve"> %</w:t>
      </w:r>
      <w:r w:rsidRPr="00EF156E">
        <w:rPr>
          <w:rFonts w:cs="Arial"/>
          <w:sz w:val="22"/>
        </w:rPr>
        <w:t xml:space="preserve">. </w:t>
      </w:r>
    </w:p>
    <w:p w:rsidR="00A06049" w:rsidRDefault="00A06049" w:rsidP="00A06049">
      <w:pPr>
        <w:spacing w:after="120"/>
        <w:rPr>
          <w:rFonts w:cs="Arial"/>
          <w:sz w:val="22"/>
        </w:rPr>
      </w:pPr>
      <w:r w:rsidRPr="00EF156E">
        <w:rPr>
          <w:rFonts w:cs="Arial"/>
          <w:sz w:val="22"/>
        </w:rPr>
        <w:t>Skutečný počet nemocnic, které nedosáhnou na úhrady potřebné ke zvýšení mezd, bude ještě vyšší. Statistiku zkresluje skutečnost, že řada zaměstnaneckých pojišťoven navýšila předběžné úhrady vysoko nad úroveň stanovenou úhradovou vyhláškou, v některých případech i o desítky procent</w:t>
      </w:r>
      <w:r>
        <w:rPr>
          <w:rFonts w:cs="Arial"/>
          <w:sz w:val="22"/>
        </w:rPr>
        <w:t xml:space="preserve">. </w:t>
      </w:r>
      <w:r w:rsidRPr="00EF156E">
        <w:rPr>
          <w:rFonts w:cs="Arial"/>
          <w:sz w:val="22"/>
        </w:rPr>
        <w:t>ZPMV u 2</w:t>
      </w:r>
      <w:r>
        <w:rPr>
          <w:rFonts w:cs="Arial"/>
          <w:sz w:val="22"/>
        </w:rPr>
        <w:t>6</w:t>
      </w:r>
      <w:r w:rsidRPr="00EF156E">
        <w:rPr>
          <w:rFonts w:cs="Arial"/>
          <w:sz w:val="22"/>
        </w:rPr>
        <w:t>, VoZP u 2</w:t>
      </w:r>
      <w:r>
        <w:rPr>
          <w:rFonts w:cs="Arial"/>
          <w:sz w:val="22"/>
        </w:rPr>
        <w:t>4</w:t>
      </w:r>
      <w:r w:rsidRPr="00EF156E">
        <w:rPr>
          <w:rFonts w:cs="Arial"/>
          <w:sz w:val="22"/>
        </w:rPr>
        <w:t xml:space="preserve">, OZP u </w:t>
      </w:r>
      <w:r>
        <w:rPr>
          <w:rFonts w:cs="Arial"/>
          <w:sz w:val="22"/>
        </w:rPr>
        <w:t>23, ČPZP u 12 nemocnic</w:t>
      </w:r>
      <w:r w:rsidR="0031741B">
        <w:rPr>
          <w:rFonts w:cs="Arial"/>
          <w:sz w:val="22"/>
        </w:rPr>
        <w:t>.</w:t>
      </w:r>
      <w:r>
        <w:rPr>
          <w:rFonts w:cs="Arial"/>
          <w:sz w:val="22"/>
        </w:rPr>
        <w:t xml:space="preserve"> </w:t>
      </w:r>
      <w:r w:rsidRPr="00EF156E">
        <w:rPr>
          <w:rFonts w:cs="Arial"/>
          <w:sz w:val="22"/>
        </w:rPr>
        <w:t xml:space="preserve">Toto přezálohování budou muset nemocnice při vyúčtování vrátit a proto tyto dočasné zdroje nelze použít na mzdy. </w:t>
      </w:r>
    </w:p>
    <w:p w:rsidR="00A06049" w:rsidRDefault="00A06049" w:rsidP="00A06049">
      <w:pPr>
        <w:spacing w:after="120"/>
        <w:rPr>
          <w:rFonts w:cs="Arial"/>
          <w:sz w:val="22"/>
        </w:rPr>
      </w:pPr>
    </w:p>
    <w:p w:rsidR="00A06049" w:rsidRPr="00EF156E" w:rsidRDefault="00A06049" w:rsidP="00A06049">
      <w:pPr>
        <w:spacing w:after="120"/>
        <w:rPr>
          <w:rFonts w:cs="Arial"/>
          <w:sz w:val="22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2094"/>
        <w:gridCol w:w="5276"/>
      </w:tblGrid>
      <w:tr w:rsidR="00A06049" w:rsidTr="006F64A4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4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 w:rsidRPr="00964D8C">
              <w:rPr>
                <w:rFonts w:cs="Arial"/>
                <w:sz w:val="20"/>
                <w:szCs w:val="20"/>
              </w:rPr>
              <w:t>1.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  <w:r w:rsidRPr="00964D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75 167 632,00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82 409 139,21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  <w:r w:rsidRPr="00964D8C">
              <w:rPr>
                <w:rFonts w:cs="Arial"/>
                <w:sz w:val="13"/>
                <w:szCs w:val="13"/>
              </w:rPr>
              <w:t xml:space="preserve">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109,6 %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231699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color w:val="000000"/>
                <w:sz w:val="18"/>
                <w:szCs w:val="18"/>
                <w:lang w:eastAsia="cs-CZ"/>
              </w:rPr>
              <w:t>64 877 792,00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color w:val="000000"/>
                <w:sz w:val="18"/>
                <w:szCs w:val="18"/>
                <w:lang w:eastAsia="cs-CZ"/>
              </w:rPr>
              <w:t>69 068 103,53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106,5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3169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231699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color w:val="000000"/>
                <w:sz w:val="18"/>
                <w:szCs w:val="18"/>
                <w:lang w:eastAsia="cs-CZ"/>
              </w:rPr>
              <w:t>163 199 271,00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231699">
              <w:rPr>
                <w:rFonts w:cs="Arial"/>
                <w:color w:val="000000"/>
                <w:sz w:val="18"/>
                <w:szCs w:val="18"/>
                <w:lang w:eastAsia="cs-CZ"/>
              </w:rPr>
              <w:t>167 501 778,00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8E3AB1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102,6</w:t>
            </w:r>
            <w:r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26 401 209,00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27 307 975,00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1C106D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2E3A4E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103,4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E3A4E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C70D8C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31 005 654,00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A06049" w:rsidRPr="00964D8C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31 940 584,00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6049" w:rsidRPr="00964D8C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06049" w:rsidRPr="00A71FE9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71FE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103,0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71FE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775718" w:rsidTr="006F64A4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  <w:r w:rsidRPr="00964D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175 657 926,78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180 107 317,00</w:t>
            </w:r>
          </w:p>
        </w:tc>
      </w:tr>
      <w:tr w:rsidR="00A06049" w:rsidRPr="008E3AB1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  <w:r w:rsidRPr="00964D8C">
              <w:rPr>
                <w:rFonts w:cs="Arial"/>
                <w:sz w:val="13"/>
                <w:szCs w:val="13"/>
              </w:rPr>
              <w:t xml:space="preserve">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8E3AB1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102,5</w:t>
            </w:r>
            <w:r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84 055 828,00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85 356 285,00</w:t>
            </w:r>
          </w:p>
        </w:tc>
      </w:tr>
      <w:tr w:rsidR="00A06049" w:rsidRPr="008E3AB1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8E3AB1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101,5</w:t>
            </w:r>
            <w:r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bCs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216 426 298,18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218 624 173,81</w:t>
            </w:r>
          </w:p>
        </w:tc>
      </w:tr>
      <w:tr w:rsidR="00A06049" w:rsidRPr="008E3AB1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8E3AB1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</w:rPr>
              <w:t>101,0 %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15 751 581,00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16 252 521,00</w:t>
            </w:r>
          </w:p>
        </w:tc>
      </w:tr>
      <w:tr w:rsidR="00A06049" w:rsidRPr="00A71FE9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A71FE9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A71FE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103,2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A71FE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35 254 085,00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34 601 234,00</w:t>
            </w:r>
          </w:p>
        </w:tc>
      </w:tr>
      <w:tr w:rsidR="00A06049" w:rsidRPr="001C106D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1C106D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98,1 %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  <w:r w:rsidRPr="00964D8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106 498 732,00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111 501 743,00</w:t>
            </w:r>
          </w:p>
        </w:tc>
      </w:tr>
      <w:tr w:rsidR="00A06049" w:rsidRPr="001C106D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  <w:r w:rsidRPr="00964D8C">
              <w:rPr>
                <w:rFonts w:cs="Arial"/>
                <w:sz w:val="13"/>
                <w:szCs w:val="13"/>
              </w:rPr>
              <w:t xml:space="preserve"> 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1C106D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104,7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128 746 525,00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131 733 765,00</w:t>
            </w:r>
          </w:p>
        </w:tc>
      </w:tr>
      <w:tr w:rsidR="00A06049" w:rsidRPr="008E3AB1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8E3AB1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102,3</w:t>
            </w:r>
            <w:r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48 210 338,72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51 292 320,00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106,4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93 278 640,00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98 383 752,00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105,5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98 347 500,48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101 081 424,00</w:t>
            </w:r>
          </w:p>
        </w:tc>
      </w:tr>
      <w:tr w:rsidR="00A06049" w:rsidRPr="008E3AB1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8E3AB1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102,8</w:t>
            </w:r>
            <w:r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57 361 188,00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59 106 835,00</w:t>
            </w:r>
          </w:p>
        </w:tc>
      </w:tr>
      <w:tr w:rsidR="00A06049" w:rsidRPr="001C106D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1C106D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103,0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135 485 058,14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140 898 666,00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104,0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33 813 071,00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6049" w:rsidRPr="00964D8C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bottom w:val="single" w:sz="4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35 294 349,00</w:t>
            </w:r>
          </w:p>
        </w:tc>
      </w:tr>
      <w:tr w:rsidR="00A06049" w:rsidRPr="001C106D" w:rsidTr="006F64A4">
        <w:trPr>
          <w:trHeight w:val="227"/>
        </w:trPr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6049" w:rsidRPr="00964D8C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6049" w:rsidRPr="001C106D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104,4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775718" w:rsidTr="006F64A4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25 348 996,00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26 348 604,00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103,9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114 579 576,00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117 747 882,00</w:t>
            </w:r>
          </w:p>
        </w:tc>
      </w:tr>
      <w:tr w:rsidR="00A06049" w:rsidRPr="008E3AB1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8E3AB1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102,8</w:t>
            </w:r>
            <w:r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189 336 231,00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194 831 106,00</w:t>
            </w:r>
          </w:p>
        </w:tc>
      </w:tr>
      <w:tr w:rsidR="00A06049" w:rsidRPr="008E3AB1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8E3AB1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102,9</w:t>
            </w:r>
            <w:r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231 309 959,00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237 454 554,87</w:t>
            </w:r>
          </w:p>
        </w:tc>
      </w:tr>
      <w:tr w:rsidR="00A06049" w:rsidRPr="008E3AB1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8E3AB1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102,7</w:t>
            </w:r>
            <w:r>
              <w:rPr>
                <w:rFonts w:cs="Arial"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8E3AB1">
              <w:rPr>
                <w:rFonts w:cs="Arial"/>
                <w:color w:val="FF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74 333 349,75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76 638 099,00</w:t>
            </w:r>
          </w:p>
        </w:tc>
      </w:tr>
      <w:tr w:rsidR="00A06049" w:rsidRPr="001C106D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1C106D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103,1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29 628 865,00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30 695 139,00</w:t>
            </w:r>
          </w:p>
        </w:tc>
      </w:tr>
      <w:tr w:rsidR="00A06049" w:rsidRPr="001C106D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1C106D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103,6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68 523 258,11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70 548 692,05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103,0</w:t>
            </w:r>
            <w:r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70D8C">
              <w:rPr>
                <w:rFonts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131 614 493,00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134 809 317,00</w:t>
            </w:r>
          </w:p>
        </w:tc>
      </w:tr>
      <w:tr w:rsidR="00A06049" w:rsidRPr="00E63EBD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E63EBD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E63EBD">
              <w:rPr>
                <w:rFonts w:cs="Arial"/>
                <w:color w:val="FF0000"/>
                <w:sz w:val="18"/>
                <w:szCs w:val="18"/>
              </w:rPr>
              <w:t>102,4 %</w:t>
            </w:r>
          </w:p>
        </w:tc>
      </w:tr>
      <w:tr w:rsidR="00A06049" w:rsidRPr="00DE0870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DE0870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DE0870">
              <w:rPr>
                <w:rFonts w:cs="Arial"/>
                <w:color w:val="000000"/>
                <w:sz w:val="18"/>
                <w:szCs w:val="18"/>
                <w:lang w:eastAsia="cs-CZ"/>
              </w:rPr>
              <w:t>14 025 147,00</w:t>
            </w:r>
          </w:p>
        </w:tc>
      </w:tr>
      <w:tr w:rsidR="00A06049" w:rsidRPr="00DE0870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DE0870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DE0870">
              <w:rPr>
                <w:rFonts w:cs="Arial"/>
                <w:color w:val="000000"/>
                <w:sz w:val="18"/>
                <w:szCs w:val="18"/>
                <w:lang w:eastAsia="cs-CZ"/>
              </w:rPr>
              <w:t>11 127 651,00</w:t>
            </w:r>
          </w:p>
        </w:tc>
      </w:tr>
      <w:tr w:rsidR="00A06049" w:rsidRPr="00DE0870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DE0870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DE0870">
              <w:rPr>
                <w:rFonts w:cs="Arial"/>
                <w:color w:val="FF0000"/>
                <w:sz w:val="18"/>
                <w:szCs w:val="18"/>
                <w:lang w:eastAsia="cs-CZ"/>
              </w:rPr>
              <w:t>79,3%</w:t>
            </w:r>
          </w:p>
        </w:tc>
      </w:tr>
      <w:tr w:rsidR="00A06049" w:rsidRPr="00DE0870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DE0870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DE0870">
              <w:rPr>
                <w:rFonts w:cs="Arial"/>
                <w:color w:val="000000"/>
                <w:sz w:val="18"/>
                <w:szCs w:val="18"/>
                <w:lang w:eastAsia="cs-CZ"/>
              </w:rPr>
              <w:t>142 083 998,00</w:t>
            </w:r>
          </w:p>
        </w:tc>
      </w:tr>
      <w:tr w:rsidR="00A06049" w:rsidRPr="00DE0870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DE0870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DE0870">
              <w:rPr>
                <w:rFonts w:cs="Arial"/>
                <w:color w:val="000000"/>
                <w:sz w:val="18"/>
                <w:szCs w:val="18"/>
                <w:lang w:eastAsia="cs-CZ"/>
              </w:rPr>
              <w:t>149 808 508,00</w:t>
            </w:r>
          </w:p>
        </w:tc>
      </w:tr>
      <w:tr w:rsidR="00A06049" w:rsidRPr="00DE0870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DE0870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DE0870">
              <w:rPr>
                <w:rFonts w:cs="Arial"/>
                <w:sz w:val="18"/>
                <w:szCs w:val="18"/>
              </w:rPr>
              <w:t>105, 4 %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29.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84 752 443,00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88 362 371,00</w:t>
            </w:r>
          </w:p>
        </w:tc>
      </w:tr>
      <w:tr w:rsidR="00A06049" w:rsidRPr="00DE0870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DE0870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DE0870">
              <w:rPr>
                <w:rFonts w:cs="Arial"/>
                <w:sz w:val="18"/>
                <w:szCs w:val="18"/>
              </w:rPr>
              <w:t>104,3 %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30.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126 711 656,00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129 491 292,00</w:t>
            </w:r>
          </w:p>
        </w:tc>
      </w:tr>
      <w:tr w:rsidR="00A06049" w:rsidRPr="00DE0870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DE0870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B55CA5">
              <w:rPr>
                <w:rFonts w:cs="Arial"/>
                <w:color w:val="FF0000"/>
                <w:sz w:val="18"/>
                <w:szCs w:val="18"/>
                <w:lang w:eastAsia="cs-CZ"/>
              </w:rPr>
              <w:t>102,2%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31.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37 069 913,70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6049" w:rsidRPr="00964D8C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38 040 460,59</w:t>
            </w:r>
          </w:p>
        </w:tc>
      </w:tr>
      <w:tr w:rsidR="00A06049" w:rsidRPr="009F3649" w:rsidTr="006F64A4">
        <w:trPr>
          <w:trHeight w:val="227"/>
        </w:trPr>
        <w:tc>
          <w:tcPr>
            <w:tcW w:w="18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6049" w:rsidRPr="00964D8C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6049" w:rsidRPr="009F3649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102,6 %</w:t>
            </w:r>
          </w:p>
        </w:tc>
      </w:tr>
      <w:tr w:rsidR="00A06049" w:rsidRPr="00775718" w:rsidTr="006F64A4">
        <w:trPr>
          <w:trHeight w:val="2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lastRenderedPageBreak/>
              <w:t>nemocnice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b/>
                <w:szCs w:val="24"/>
              </w:rPr>
            </w:pPr>
            <w:r w:rsidRPr="00775718">
              <w:rPr>
                <w:rFonts w:cs="Arial"/>
                <w:b/>
                <w:szCs w:val="24"/>
              </w:rPr>
              <w:t>období</w:t>
            </w:r>
          </w:p>
        </w:tc>
        <w:tc>
          <w:tcPr>
            <w:tcW w:w="5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049" w:rsidRPr="00775718" w:rsidRDefault="00A06049" w:rsidP="006F64A4">
            <w:pPr>
              <w:jc w:val="center"/>
              <w:rPr>
                <w:rFonts w:cs="Arial"/>
                <w:sz w:val="20"/>
                <w:szCs w:val="20"/>
              </w:rPr>
            </w:pPr>
            <w:r w:rsidRPr="00775718">
              <w:rPr>
                <w:rFonts w:cs="Arial"/>
                <w:b/>
                <w:sz w:val="20"/>
                <w:szCs w:val="20"/>
              </w:rPr>
              <w:t>úhrada</w:t>
            </w:r>
            <w:r w:rsidRPr="00775718">
              <w:rPr>
                <w:rFonts w:cs="Arial"/>
                <w:sz w:val="20"/>
                <w:szCs w:val="20"/>
              </w:rPr>
              <w:t xml:space="preserve"> včetně RP hospitalizačních i ambulantní</w:t>
            </w:r>
            <w:r>
              <w:rPr>
                <w:rFonts w:cs="Arial"/>
                <w:sz w:val="20"/>
                <w:szCs w:val="20"/>
              </w:rPr>
              <w:t>ch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32.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757 887 286,00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794 393 238,00</w:t>
            </w:r>
          </w:p>
        </w:tc>
      </w:tr>
      <w:tr w:rsidR="00A06049" w:rsidRPr="00DE0870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DE0870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DE0870">
              <w:rPr>
                <w:rFonts w:cs="Arial"/>
                <w:sz w:val="18"/>
                <w:szCs w:val="18"/>
              </w:rPr>
              <w:t>104,8 %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33.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203 922 680,00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55CA5">
              <w:rPr>
                <w:rFonts w:cs="Arial"/>
                <w:color w:val="000000"/>
                <w:sz w:val="18"/>
                <w:szCs w:val="18"/>
                <w:lang w:eastAsia="cs-CZ"/>
              </w:rPr>
              <w:t>208 113 367,00</w:t>
            </w:r>
          </w:p>
        </w:tc>
      </w:tr>
      <w:tr w:rsidR="00A06049" w:rsidRPr="009F3649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9F3649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102,1 %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34.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B55CA5">
              <w:rPr>
                <w:rFonts w:ascii="Calibri" w:hAnsi="Calibri" w:cs="Times New Roman"/>
                <w:color w:val="000000"/>
                <w:lang w:eastAsia="cs-CZ"/>
              </w:rPr>
              <w:t>32 242 832,00</w:t>
            </w:r>
          </w:p>
        </w:tc>
      </w:tr>
      <w:tr w:rsidR="00A06049" w:rsidRPr="00B55CA5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B55CA5" w:rsidRDefault="00A06049" w:rsidP="006F64A4">
            <w:pPr>
              <w:spacing w:before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B55CA5">
              <w:rPr>
                <w:rFonts w:ascii="Calibri" w:hAnsi="Calibri" w:cs="Times New Roman"/>
                <w:color w:val="000000"/>
                <w:lang w:eastAsia="cs-CZ"/>
              </w:rPr>
              <w:t>31 832 805,00</w:t>
            </w:r>
          </w:p>
        </w:tc>
      </w:tr>
      <w:tr w:rsidR="00A06049" w:rsidRPr="009F3649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9F3649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98,7 %</w:t>
            </w:r>
          </w:p>
        </w:tc>
      </w:tr>
      <w:tr w:rsidR="00A06049" w:rsidRPr="00F16D38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 w:rsidRPr="00A03637">
              <w:rPr>
                <w:rFonts w:cs="Arial"/>
                <w:sz w:val="20"/>
                <w:szCs w:val="20"/>
              </w:rPr>
              <w:t xml:space="preserve">35.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F16D38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F16D38">
              <w:rPr>
                <w:rFonts w:cs="Arial"/>
                <w:color w:val="000000"/>
                <w:sz w:val="18"/>
                <w:szCs w:val="18"/>
                <w:lang w:eastAsia="cs-CZ"/>
              </w:rPr>
              <w:t>48 573 498,99</w:t>
            </w:r>
          </w:p>
        </w:tc>
      </w:tr>
      <w:tr w:rsidR="00A06049" w:rsidRPr="00F16D38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F16D38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F16D38">
              <w:rPr>
                <w:rFonts w:cs="Arial"/>
                <w:color w:val="000000"/>
                <w:sz w:val="18"/>
                <w:szCs w:val="18"/>
                <w:lang w:eastAsia="cs-CZ"/>
              </w:rPr>
              <w:t>50 381 556,00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103,7 %</w:t>
            </w:r>
          </w:p>
        </w:tc>
      </w:tr>
      <w:tr w:rsidR="00A06049" w:rsidRPr="00407C0F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36.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407C0F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000000"/>
                <w:sz w:val="18"/>
                <w:szCs w:val="18"/>
                <w:lang w:eastAsia="cs-CZ"/>
              </w:rPr>
              <w:t>28 804 264,00</w:t>
            </w:r>
          </w:p>
        </w:tc>
      </w:tr>
      <w:tr w:rsidR="00A06049" w:rsidRPr="00407C0F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407C0F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000000"/>
                <w:sz w:val="18"/>
                <w:szCs w:val="18"/>
                <w:lang w:eastAsia="cs-CZ"/>
              </w:rPr>
              <w:t>29 182 896,00</w:t>
            </w:r>
          </w:p>
        </w:tc>
      </w:tr>
      <w:tr w:rsidR="00A06049" w:rsidRPr="00407C0F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06049" w:rsidRPr="00407C0F" w:rsidRDefault="00A06049" w:rsidP="006F64A4">
            <w:pPr>
              <w:spacing w:before="0"/>
              <w:jc w:val="center"/>
              <w:rPr>
                <w:rFonts w:cs="Arial"/>
                <w:color w:val="FF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FF0000"/>
                <w:sz w:val="18"/>
                <w:szCs w:val="18"/>
                <w:lang w:eastAsia="cs-CZ"/>
              </w:rPr>
              <w:t>101,3%</w:t>
            </w:r>
          </w:p>
        </w:tc>
      </w:tr>
      <w:tr w:rsidR="00A06049" w:rsidRPr="00407C0F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37.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407C0F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000000"/>
                <w:sz w:val="18"/>
                <w:szCs w:val="18"/>
                <w:lang w:eastAsia="cs-CZ"/>
              </w:rPr>
              <w:t>94 393 793,00</w:t>
            </w:r>
          </w:p>
        </w:tc>
      </w:tr>
      <w:tr w:rsidR="00A06049" w:rsidRPr="00407C0F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407C0F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000000"/>
                <w:sz w:val="18"/>
                <w:szCs w:val="18"/>
                <w:lang w:eastAsia="cs-CZ"/>
              </w:rPr>
              <w:t>96 924 468,00</w:t>
            </w:r>
          </w:p>
        </w:tc>
      </w:tr>
      <w:tr w:rsidR="00A06049" w:rsidRPr="00407C0F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06049" w:rsidRPr="00407C0F" w:rsidRDefault="00A06049" w:rsidP="006F64A4">
            <w:pPr>
              <w:spacing w:before="0"/>
              <w:jc w:val="center"/>
              <w:rPr>
                <w:rFonts w:cs="Arial"/>
                <w:color w:val="FF0000"/>
                <w:sz w:val="18"/>
                <w:szCs w:val="18"/>
                <w:lang w:eastAsia="cs-CZ"/>
              </w:rPr>
            </w:pPr>
            <w:r w:rsidRPr="00407C0F">
              <w:rPr>
                <w:rFonts w:cs="Arial"/>
                <w:color w:val="FF0000"/>
                <w:sz w:val="18"/>
                <w:szCs w:val="18"/>
                <w:lang w:eastAsia="cs-CZ"/>
              </w:rPr>
              <w:t>102,7%</w:t>
            </w:r>
          </w:p>
        </w:tc>
      </w:tr>
      <w:tr w:rsidR="00A06049" w:rsidRPr="00FB015D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38. 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FB015D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FB015D">
              <w:rPr>
                <w:rFonts w:cs="Arial"/>
                <w:color w:val="000000"/>
                <w:sz w:val="18"/>
                <w:szCs w:val="18"/>
                <w:lang w:eastAsia="cs-CZ"/>
              </w:rPr>
              <w:t>22 397 523,50</w:t>
            </w:r>
          </w:p>
        </w:tc>
      </w:tr>
      <w:tr w:rsidR="00A06049" w:rsidRPr="00FB015D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FB015D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FB015D">
              <w:rPr>
                <w:rFonts w:cs="Arial"/>
                <w:color w:val="000000"/>
                <w:sz w:val="18"/>
                <w:szCs w:val="18"/>
                <w:lang w:eastAsia="cs-CZ"/>
              </w:rPr>
              <w:t>21 938 019,00</w:t>
            </w:r>
          </w:p>
        </w:tc>
      </w:tr>
      <w:tr w:rsidR="00A06049" w:rsidRPr="00A0363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A03637" w:rsidRDefault="00A06049" w:rsidP="006F64A4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97,9 %</w:t>
            </w: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39.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6049" w:rsidRPr="003C1DA7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</w:tcPr>
          <w:p w:rsidR="00A06049" w:rsidRPr="003C1DA7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06049" w:rsidRPr="00AB59AC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</w:tcPr>
          <w:p w:rsidR="00A06049" w:rsidRPr="00AB59AC" w:rsidRDefault="00A06049" w:rsidP="006F64A4">
            <w:pPr>
              <w:jc w:val="center"/>
              <w:rPr>
                <w:rFonts w:cs="Arial"/>
                <w:sz w:val="18"/>
                <w:szCs w:val="18"/>
              </w:rPr>
            </w:pPr>
            <w:r w:rsidRPr="00AB59AC">
              <w:rPr>
                <w:rFonts w:cs="Arial"/>
                <w:sz w:val="18"/>
                <w:szCs w:val="18"/>
              </w:rPr>
              <w:t>103,2 %</w:t>
            </w:r>
          </w:p>
        </w:tc>
      </w:tr>
      <w:tr w:rsidR="00A06049" w:rsidRPr="00BC0A26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40.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BC0A26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000000"/>
                <w:sz w:val="18"/>
                <w:szCs w:val="18"/>
                <w:lang w:eastAsia="cs-CZ"/>
              </w:rPr>
              <w:t>17 177 000,00</w:t>
            </w:r>
          </w:p>
        </w:tc>
      </w:tr>
      <w:tr w:rsidR="00A06049" w:rsidRPr="00BC0A26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BC0A26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000000"/>
                <w:sz w:val="18"/>
                <w:szCs w:val="18"/>
                <w:lang w:eastAsia="cs-CZ"/>
              </w:rPr>
              <w:t>16 274 000,00</w:t>
            </w:r>
          </w:p>
        </w:tc>
      </w:tr>
      <w:tr w:rsidR="00A06049" w:rsidRPr="00BC0A26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06049" w:rsidRPr="00BC0A26" w:rsidRDefault="00A06049" w:rsidP="006F64A4">
            <w:pPr>
              <w:spacing w:before="0"/>
              <w:jc w:val="center"/>
              <w:rPr>
                <w:rFonts w:cs="Arial"/>
                <w:color w:val="FF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FF0000"/>
                <w:sz w:val="18"/>
                <w:szCs w:val="18"/>
                <w:lang w:eastAsia="cs-CZ"/>
              </w:rPr>
              <w:t>94,7%</w:t>
            </w:r>
          </w:p>
        </w:tc>
      </w:tr>
      <w:tr w:rsidR="00A06049" w:rsidRPr="00BC0A26" w:rsidTr="006F64A4">
        <w:trPr>
          <w:trHeight w:val="227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41.</w:t>
            </w:r>
          </w:p>
        </w:tc>
        <w:tc>
          <w:tcPr>
            <w:tcW w:w="2094" w:type="dxa"/>
            <w:tcBorders>
              <w:top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 w:rsidRPr="00964D8C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 Q 2014</w:t>
            </w:r>
          </w:p>
        </w:tc>
        <w:tc>
          <w:tcPr>
            <w:tcW w:w="52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A06049" w:rsidRPr="00BC0A26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000000"/>
                <w:sz w:val="18"/>
                <w:szCs w:val="18"/>
                <w:lang w:eastAsia="cs-CZ"/>
              </w:rPr>
              <w:t>2 776 174,16</w:t>
            </w:r>
          </w:p>
        </w:tc>
      </w:tr>
      <w:tr w:rsidR="00A06049" w:rsidRPr="00BC0A26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06049" w:rsidRPr="00964D8C" w:rsidRDefault="00A06049" w:rsidP="006F64A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Q 2015</w:t>
            </w:r>
          </w:p>
        </w:tc>
        <w:tc>
          <w:tcPr>
            <w:tcW w:w="5276" w:type="dxa"/>
            <w:tcBorders>
              <w:right w:val="single" w:sz="12" w:space="0" w:color="auto"/>
            </w:tcBorders>
            <w:vAlign w:val="bottom"/>
          </w:tcPr>
          <w:p w:rsidR="00A06049" w:rsidRPr="00BC0A26" w:rsidRDefault="00A06049" w:rsidP="006F64A4">
            <w:pPr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000000"/>
                <w:sz w:val="18"/>
                <w:szCs w:val="18"/>
                <w:lang w:eastAsia="cs-CZ"/>
              </w:rPr>
              <w:t>2 751 945,67</w:t>
            </w:r>
          </w:p>
        </w:tc>
      </w:tr>
      <w:tr w:rsidR="00A06049" w:rsidRPr="00BC0A26" w:rsidTr="006F64A4">
        <w:trPr>
          <w:trHeight w:val="227"/>
        </w:trPr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049" w:rsidRPr="00964D8C" w:rsidRDefault="00A06049" w:rsidP="006F64A4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12" w:space="0" w:color="auto"/>
            </w:tcBorders>
          </w:tcPr>
          <w:p w:rsidR="00A06049" w:rsidRPr="00964D8C" w:rsidRDefault="00A06049" w:rsidP="006F64A4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1. Q 2015 / 1. Q</w:t>
            </w:r>
            <w:r w:rsidRPr="00964D8C">
              <w:rPr>
                <w:rFonts w:cs="Arial"/>
                <w:sz w:val="13"/>
                <w:szCs w:val="13"/>
              </w:rPr>
              <w:t xml:space="preserve"> 2014</w:t>
            </w:r>
            <w:r>
              <w:rPr>
                <w:rFonts w:cs="Arial"/>
                <w:sz w:val="13"/>
                <w:szCs w:val="13"/>
              </w:rPr>
              <w:t xml:space="preserve"> v %</w:t>
            </w:r>
          </w:p>
        </w:tc>
        <w:tc>
          <w:tcPr>
            <w:tcW w:w="52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A06049" w:rsidRPr="00BC0A26" w:rsidRDefault="00A06049" w:rsidP="006F64A4">
            <w:pPr>
              <w:spacing w:before="0"/>
              <w:jc w:val="center"/>
              <w:rPr>
                <w:rFonts w:cs="Arial"/>
                <w:color w:val="FF0000"/>
                <w:sz w:val="18"/>
                <w:szCs w:val="18"/>
                <w:lang w:eastAsia="cs-CZ"/>
              </w:rPr>
            </w:pPr>
            <w:r w:rsidRPr="00BC0A26">
              <w:rPr>
                <w:rFonts w:cs="Arial"/>
                <w:color w:val="FF0000"/>
                <w:sz w:val="18"/>
                <w:szCs w:val="18"/>
                <w:lang w:eastAsia="cs-CZ"/>
              </w:rPr>
              <w:t>99,1%</w:t>
            </w:r>
          </w:p>
        </w:tc>
      </w:tr>
    </w:tbl>
    <w:p w:rsidR="007D4A25" w:rsidRDefault="007D4A25" w:rsidP="007D4A2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7D4A25" w:rsidRPr="007B4180" w:rsidRDefault="007D4A25" w:rsidP="007D4A25">
      <w:pPr>
        <w:jc w:val="center"/>
        <w:rPr>
          <w:rFonts w:cs="Arial"/>
          <w:b/>
          <w:szCs w:val="24"/>
        </w:rPr>
      </w:pPr>
    </w:p>
    <w:p w:rsidR="007D4A25" w:rsidRPr="007B4180" w:rsidRDefault="007D4A25" w:rsidP="007D4A25">
      <w:pPr>
        <w:jc w:val="center"/>
        <w:rPr>
          <w:rFonts w:cs="Arial"/>
          <w:b/>
          <w:szCs w:val="24"/>
        </w:rPr>
      </w:pPr>
    </w:p>
    <w:sectPr w:rsidR="007D4A25" w:rsidRPr="007B4180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hyphenationZone w:val="425"/>
  <w:characterSpacingControl w:val="doNotCompress"/>
  <w:compat/>
  <w:rsids>
    <w:rsidRoot w:val="007D4A25"/>
    <w:rsid w:val="00041EB0"/>
    <w:rsid w:val="000D3ADA"/>
    <w:rsid w:val="001D19EC"/>
    <w:rsid w:val="00283B67"/>
    <w:rsid w:val="002E66D1"/>
    <w:rsid w:val="002F34EE"/>
    <w:rsid w:val="0031741B"/>
    <w:rsid w:val="00351B5A"/>
    <w:rsid w:val="003C0452"/>
    <w:rsid w:val="003E621A"/>
    <w:rsid w:val="00515FB7"/>
    <w:rsid w:val="00547F28"/>
    <w:rsid w:val="00573F17"/>
    <w:rsid w:val="005F0D48"/>
    <w:rsid w:val="006D5D7F"/>
    <w:rsid w:val="007B4180"/>
    <w:rsid w:val="007D4A25"/>
    <w:rsid w:val="008D22C9"/>
    <w:rsid w:val="00A06049"/>
    <w:rsid w:val="00AC683D"/>
    <w:rsid w:val="00C10F14"/>
    <w:rsid w:val="00C62B1E"/>
    <w:rsid w:val="00CA3026"/>
    <w:rsid w:val="00D279EF"/>
    <w:rsid w:val="00DE3B4A"/>
    <w:rsid w:val="00E66619"/>
    <w:rsid w:val="00EF3F74"/>
    <w:rsid w:val="00F52F18"/>
    <w:rsid w:val="00F5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2015-08-17T09:32:00Z</dcterms:created>
  <dcterms:modified xsi:type="dcterms:W3CDTF">2015-08-17T09:32:00Z</dcterms:modified>
</cp:coreProperties>
</file>