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BE8" w:rsidRPr="005A0D4E" w:rsidRDefault="006F4BE8" w:rsidP="006F4BE8">
      <w:pPr>
        <w:tabs>
          <w:tab w:val="left" w:pos="1129"/>
          <w:tab w:val="left" w:pos="5245"/>
          <w:tab w:val="right" w:pos="6096"/>
        </w:tabs>
        <w:rPr>
          <w:color w:val="A6A6A6"/>
          <w:sz w:val="18"/>
        </w:rPr>
      </w:pPr>
      <w:bookmarkStart w:id="0" w:name="_GoBack"/>
      <w:bookmarkEnd w:id="0"/>
      <w:r>
        <w:rPr>
          <w:color w:val="A6A6A6"/>
          <w:sz w:val="18"/>
        </w:rPr>
        <w:t xml:space="preserve">                                                                                                                                        </w:t>
      </w:r>
    </w:p>
    <w:p w:rsidR="006F4BE8" w:rsidRDefault="006F4BE8" w:rsidP="006F4BE8">
      <w:r>
        <w:rPr>
          <w:rFonts w:eastAsia="Calibri"/>
          <w:noProof/>
        </w:rPr>
        <w:drawing>
          <wp:anchor distT="0" distB="0" distL="114300" distR="114300" simplePos="0" relativeHeight="251659264" behindDoc="0" locked="0" layoutInCell="1" allowOverlap="1">
            <wp:simplePos x="0" y="0"/>
            <wp:positionH relativeFrom="margin">
              <wp:posOffset>-41910</wp:posOffset>
            </wp:positionH>
            <wp:positionV relativeFrom="margin">
              <wp:posOffset>-579120</wp:posOffset>
            </wp:positionV>
            <wp:extent cx="1730375" cy="375285"/>
            <wp:effectExtent l="19050" t="0" r="3175" b="0"/>
            <wp:wrapSquare wrapText="bothSides"/>
            <wp:docPr id="1" name="Obrázek 0" descr="logoVZ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VZP.JPG"/>
                    <pic:cNvPicPr>
                      <a:picLocks noChangeAspect="1" noChangeArrowheads="1"/>
                    </pic:cNvPicPr>
                  </pic:nvPicPr>
                  <pic:blipFill>
                    <a:blip r:embed="rId8" cstate="print"/>
                    <a:srcRect/>
                    <a:stretch>
                      <a:fillRect/>
                    </a:stretch>
                  </pic:blipFill>
                  <pic:spPr bwMode="auto">
                    <a:xfrm>
                      <a:off x="0" y="0"/>
                      <a:ext cx="1730375" cy="375285"/>
                    </a:xfrm>
                    <a:prstGeom prst="rect">
                      <a:avLst/>
                    </a:prstGeom>
                    <a:noFill/>
                    <a:ln w="9525">
                      <a:noFill/>
                      <a:miter lim="800000"/>
                      <a:headEnd/>
                      <a:tailEnd/>
                    </a:ln>
                  </pic:spPr>
                </pic:pic>
              </a:graphicData>
            </a:graphic>
          </wp:anchor>
        </w:drawing>
      </w:r>
    </w:p>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Pr="005A60AB" w:rsidRDefault="006F4BE8" w:rsidP="006F4BE8">
      <w:pPr>
        <w:pBdr>
          <w:top w:val="single" w:sz="12" w:space="1" w:color="auto"/>
          <w:bottom w:val="single" w:sz="12" w:space="1" w:color="auto"/>
        </w:pBdr>
        <w:shd w:val="clear" w:color="auto" w:fill="F2DBDB" w:themeFill="accent2" w:themeFillTint="33"/>
        <w:rPr>
          <w:bCs/>
          <w:sz w:val="28"/>
          <w:szCs w:val="28"/>
        </w:rPr>
      </w:pPr>
      <w:r w:rsidRPr="005A60AB">
        <w:rPr>
          <w:bCs/>
          <w:sz w:val="28"/>
          <w:szCs w:val="28"/>
          <w:lang w:val="en-US"/>
        </w:rPr>
        <w:t>Návrh VZP ČR na úhradu zdravotních služeb poskytovaných poskytovateli lůžkové péče,</w:t>
      </w:r>
      <w:r w:rsidRPr="005A60AB">
        <w:rPr>
          <w:bCs/>
          <w:sz w:val="28"/>
          <w:szCs w:val="28"/>
        </w:rPr>
        <w:t xml:space="preserve"> s výjimkou zdravotních služeb poskytovaných v odborných léčebných ústavech, léčebnách dlouhodobě nemocných, poskytovatelů vykazujících ošetřovací den č. 00005 podle seznamu výkonů, poskytovatelů zvláštní ambulantní péče a zvláštní lůžkové péče, v roce 201</w:t>
      </w:r>
      <w:r>
        <w:rPr>
          <w:bCs/>
          <w:sz w:val="28"/>
          <w:szCs w:val="28"/>
        </w:rPr>
        <w:t>5</w:t>
      </w:r>
    </w:p>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Pr>
        <w:tabs>
          <w:tab w:val="left" w:pos="1129"/>
          <w:tab w:val="left" w:pos="5245"/>
          <w:tab w:val="right" w:pos="6096"/>
        </w:tabs>
        <w:rPr>
          <w:color w:val="A6A6A6"/>
          <w:sz w:val="18"/>
        </w:rPr>
      </w:pPr>
      <w:r>
        <w:rPr>
          <w:color w:val="A6A6A6"/>
          <w:sz w:val="18"/>
        </w:rPr>
        <w:t xml:space="preserve">                                                                                                             </w:t>
      </w:r>
      <w:r w:rsidR="00096229">
        <w:rPr>
          <w:color w:val="A6A6A6"/>
          <w:sz w:val="18"/>
        </w:rPr>
        <w:t xml:space="preserve">                              </w:t>
      </w:r>
    </w:p>
    <w:p w:rsidR="0032380D" w:rsidRPr="009F79DD" w:rsidRDefault="0032380D" w:rsidP="0032380D">
      <w:pPr>
        <w:rPr>
          <w:rStyle w:val="TextodstavceChar"/>
        </w:rPr>
      </w:pPr>
    </w:p>
    <w:p w:rsidR="00290A2F" w:rsidRPr="00821AC2" w:rsidRDefault="00290A2F" w:rsidP="00290A2F">
      <w:pPr>
        <w:numPr>
          <w:ilvl w:val="0"/>
          <w:numId w:val="3"/>
        </w:numPr>
        <w:tabs>
          <w:tab w:val="clear" w:pos="360"/>
        </w:tabs>
        <w:rPr>
          <w:rStyle w:val="TextodstavceChar"/>
        </w:rPr>
      </w:pPr>
      <w:r>
        <w:rPr>
          <w:rStyle w:val="TextodstavceChar"/>
        </w:rPr>
        <w:t>Úhrada poskytovateli v roce 2015</w:t>
      </w:r>
      <w:r w:rsidRPr="0002264A">
        <w:rPr>
          <w:rStyle w:val="TextodstavceChar"/>
        </w:rPr>
        <w:t xml:space="preserve"> zahrnuje individuálně smluvně sjednan</w:t>
      </w:r>
      <w:r>
        <w:rPr>
          <w:rStyle w:val="TextodstavceChar"/>
        </w:rPr>
        <w:t>o</w:t>
      </w:r>
      <w:r w:rsidR="007C40A6">
        <w:rPr>
          <w:rStyle w:val="TextodstavceChar"/>
        </w:rPr>
        <w:t xml:space="preserve">u složku úhrady, úhrada formou </w:t>
      </w:r>
      <w:r w:rsidR="003F0238">
        <w:rPr>
          <w:rStyle w:val="TextodstavceChar"/>
        </w:rPr>
        <w:t xml:space="preserve">případového paušálu </w:t>
      </w:r>
      <w:r w:rsidRPr="0002264A">
        <w:rPr>
          <w:rStyle w:val="TextodstavceChar"/>
        </w:rPr>
        <w:t>a úhradu za ambulantní péči (dále jen „ambulantní složka úhrady“). Do referenčního období jsou zařazeny veškeré hrazené</w:t>
      </w:r>
      <w:r w:rsidR="003F0238">
        <w:rPr>
          <w:rStyle w:val="TextodstavceChar"/>
        </w:rPr>
        <w:t xml:space="preserve"> </w:t>
      </w:r>
      <w:r w:rsidR="003F0238" w:rsidRPr="00821AC2">
        <w:rPr>
          <w:rStyle w:val="TextodstavceChar"/>
        </w:rPr>
        <w:t>služby poskytnuté v roce 2013</w:t>
      </w:r>
      <w:r w:rsidR="002853D4" w:rsidRPr="00821AC2">
        <w:rPr>
          <w:rStyle w:val="TextodstavceChar"/>
        </w:rPr>
        <w:t xml:space="preserve">, </w:t>
      </w:r>
      <w:r w:rsidR="002853D4" w:rsidRPr="00821AC2">
        <w:rPr>
          <w:rStyle w:val="TextodstavceChar"/>
          <w:iCs/>
        </w:rPr>
        <w:t>poskytovatelem vykázané a zdravotní pojišťovnou uznané</w:t>
      </w:r>
      <w:r w:rsidR="009F3D02" w:rsidRPr="00821AC2">
        <w:rPr>
          <w:rStyle w:val="TextodstavceChar"/>
          <w:iCs/>
        </w:rPr>
        <w:t xml:space="preserve"> do 30. dubna 2014. </w:t>
      </w:r>
      <w:r w:rsidRPr="00821AC2">
        <w:rPr>
          <w:rStyle w:val="TextodstavceChar"/>
          <w:iCs/>
        </w:rPr>
        <w:t xml:space="preserve">Do hodnoceného období jsou zařazeny veškeré hrazené služby poskytnuté v roce 2015, poskytovatelem vykázané </w:t>
      </w:r>
      <w:r w:rsidR="007C40A6" w:rsidRPr="00821AC2">
        <w:rPr>
          <w:rStyle w:val="TextodstavceChar"/>
          <w:iCs/>
        </w:rPr>
        <w:t xml:space="preserve">a </w:t>
      </w:r>
      <w:r w:rsidRPr="00821AC2">
        <w:rPr>
          <w:rStyle w:val="TextodstavceChar"/>
          <w:iCs/>
        </w:rPr>
        <w:t>zdravotní pojiš</w:t>
      </w:r>
      <w:r w:rsidR="00B7788C" w:rsidRPr="00821AC2">
        <w:rPr>
          <w:rStyle w:val="TextodstavceChar"/>
          <w:iCs/>
        </w:rPr>
        <w:t>ťovnou uznané do 30. dubna</w:t>
      </w:r>
      <w:r w:rsidR="007C40A6" w:rsidRPr="00821AC2">
        <w:rPr>
          <w:rStyle w:val="TextodstavceChar"/>
          <w:iCs/>
        </w:rPr>
        <w:t xml:space="preserve"> 2016</w:t>
      </w:r>
      <w:r w:rsidRPr="00821AC2">
        <w:rPr>
          <w:rStyle w:val="TextodstavceChar"/>
          <w:iCs/>
        </w:rPr>
        <w:t>.</w:t>
      </w:r>
    </w:p>
    <w:p w:rsidR="00290A2F" w:rsidRDefault="00290A2F" w:rsidP="00290A2F">
      <w:pPr>
        <w:spacing w:after="120"/>
        <w:ind w:left="357"/>
        <w:rPr>
          <w:u w:val="single"/>
        </w:rPr>
      </w:pPr>
    </w:p>
    <w:p w:rsidR="0032380D" w:rsidRPr="0002264A" w:rsidRDefault="0032380D" w:rsidP="0032380D">
      <w:pPr>
        <w:numPr>
          <w:ilvl w:val="0"/>
          <w:numId w:val="3"/>
        </w:numPr>
        <w:spacing w:after="120"/>
        <w:ind w:left="357"/>
        <w:rPr>
          <w:u w:val="single"/>
        </w:rPr>
      </w:pPr>
      <w:r w:rsidRPr="0002264A">
        <w:rPr>
          <w:u w:val="single"/>
        </w:rPr>
        <w:t xml:space="preserve">Individuálně smluvně sjednaná složka úhrady </w:t>
      </w:r>
    </w:p>
    <w:p w:rsidR="007C40A6" w:rsidRDefault="0032380D" w:rsidP="0032380D">
      <w:pPr>
        <w:numPr>
          <w:ilvl w:val="1"/>
          <w:numId w:val="3"/>
        </w:numPr>
      </w:pPr>
      <w:r w:rsidRPr="0002264A">
        <w:t>Výši a způsob úhrady hrazených služeb zařazených podle Klasifikace hospitalizovaných pacientů</w:t>
      </w:r>
      <w:r w:rsidRPr="0002264A">
        <w:rPr>
          <w:rStyle w:val="Znakapoznpodarou"/>
        </w:rPr>
        <w:footnoteReference w:customMarkFollows="1" w:id="1"/>
        <w:t>4)</w:t>
      </w:r>
      <w:r w:rsidRPr="0002264A">
        <w:t xml:space="preserve"> (dále jen „Klasifikace“) do bazí</w:t>
      </w:r>
      <w:r w:rsidR="007C40A6">
        <w:t>:</w:t>
      </w:r>
    </w:p>
    <w:p w:rsidR="002853D4" w:rsidRPr="00821AC2" w:rsidRDefault="002853D4" w:rsidP="002853D4">
      <w:pPr>
        <w:pStyle w:val="Odstavecseseznamem"/>
        <w:numPr>
          <w:ilvl w:val="0"/>
          <w:numId w:val="46"/>
        </w:numPr>
        <w:ind w:firstLine="633"/>
      </w:pPr>
      <w:bookmarkStart w:id="1" w:name="OLE_LINK3"/>
      <w:bookmarkStart w:id="2" w:name="OLE_LINK4"/>
      <w:r w:rsidRPr="00821AC2">
        <w:t>0001,</w:t>
      </w:r>
    </w:p>
    <w:p w:rsidR="002853D4" w:rsidRPr="00821AC2" w:rsidRDefault="002853D4" w:rsidP="002853D4">
      <w:pPr>
        <w:pStyle w:val="Odstavecseseznamem"/>
        <w:numPr>
          <w:ilvl w:val="0"/>
          <w:numId w:val="46"/>
        </w:numPr>
        <w:ind w:firstLine="633"/>
      </w:pPr>
      <w:r w:rsidRPr="00821AC2">
        <w:t>0002,</w:t>
      </w:r>
    </w:p>
    <w:p w:rsidR="002853D4" w:rsidRPr="00821AC2" w:rsidRDefault="002853D4" w:rsidP="002853D4">
      <w:pPr>
        <w:pStyle w:val="Odstavecseseznamem"/>
        <w:numPr>
          <w:ilvl w:val="0"/>
          <w:numId w:val="46"/>
        </w:numPr>
        <w:ind w:firstLine="633"/>
      </w:pPr>
      <w:r w:rsidRPr="00821AC2">
        <w:t>0501,</w:t>
      </w:r>
      <w:bookmarkEnd w:id="1"/>
      <w:bookmarkEnd w:id="2"/>
      <w:r w:rsidRPr="00821AC2">
        <w:t xml:space="preserve"> 0507, 0516, 0511, </w:t>
      </w:r>
    </w:p>
    <w:p w:rsidR="00821AC2" w:rsidRPr="00821AC2" w:rsidRDefault="00821AC2" w:rsidP="00821AC2">
      <w:pPr>
        <w:pStyle w:val="Odstavecseseznamem"/>
        <w:numPr>
          <w:ilvl w:val="0"/>
          <w:numId w:val="46"/>
        </w:numPr>
        <w:ind w:firstLine="633"/>
      </w:pPr>
      <w:r w:rsidRPr="00821AC2">
        <w:rPr>
          <w:szCs w:val="24"/>
        </w:rPr>
        <w:t>0522, 0523, 0524, 0526, 0527, 0528</w:t>
      </w:r>
    </w:p>
    <w:p w:rsidR="002853D4" w:rsidRPr="00821AC2" w:rsidRDefault="002853D4" w:rsidP="002853D4">
      <w:pPr>
        <w:pStyle w:val="Odstavecseseznamem"/>
        <w:numPr>
          <w:ilvl w:val="0"/>
          <w:numId w:val="46"/>
        </w:numPr>
        <w:ind w:firstLine="633"/>
      </w:pPr>
      <w:r w:rsidRPr="00821AC2">
        <w:t>0802, 0804, 0818,</w:t>
      </w:r>
    </w:p>
    <w:p w:rsidR="002853D4" w:rsidRPr="00821AC2" w:rsidRDefault="002853D4" w:rsidP="002853D4">
      <w:pPr>
        <w:pStyle w:val="Odstavecseseznamem"/>
        <w:numPr>
          <w:ilvl w:val="0"/>
          <w:numId w:val="46"/>
        </w:numPr>
        <w:ind w:firstLine="633"/>
      </w:pPr>
      <w:r w:rsidRPr="00821AC2">
        <w:t>1101,</w:t>
      </w:r>
    </w:p>
    <w:p w:rsidR="00821AC2" w:rsidRDefault="00821AC2" w:rsidP="007C40A6">
      <w:pPr>
        <w:ind w:left="851"/>
      </w:pPr>
    </w:p>
    <w:p w:rsidR="0032380D" w:rsidRPr="009F79DD" w:rsidRDefault="006F4BE8" w:rsidP="007C40A6">
      <w:pPr>
        <w:ind w:left="851"/>
      </w:pPr>
      <w:r>
        <w:t xml:space="preserve">uvedených v příloze č. </w:t>
      </w:r>
      <w:r w:rsidR="005F250C">
        <w:t>1</w:t>
      </w:r>
      <w:r>
        <w:t xml:space="preserve"> </w:t>
      </w:r>
      <w:r w:rsidR="005B5717">
        <w:t>k této dohodě</w:t>
      </w:r>
      <w:r w:rsidR="005B5717" w:rsidRPr="0002264A">
        <w:t xml:space="preserve"> </w:t>
      </w:r>
      <w:r w:rsidR="0032380D" w:rsidRPr="0002264A">
        <w:t>(dále jen „vyjmenované baze“)</w:t>
      </w:r>
      <w:r w:rsidR="0032380D" w:rsidRPr="009F79DD">
        <w:t xml:space="preserve"> </w:t>
      </w:r>
      <w:r w:rsidR="0032380D">
        <w:t>se sjedná ve smlouvě mezi zdravotní pojišťovnou a poskytovatelem</w:t>
      </w:r>
      <w:r w:rsidR="0032380D" w:rsidRPr="009F79DD">
        <w:t xml:space="preserve">. </w:t>
      </w:r>
      <w:r w:rsidR="0032380D">
        <w:t>I</w:t>
      </w:r>
      <w:r w:rsidR="0032380D" w:rsidRPr="009F79DD">
        <w:t>ndividuálně smluvně sjednaná složka úhrady může zahrnovat jiné hrazené služby, než je uvedeno ve větě první; v takovém případě se tato úhrada, stejně jako hrazené služby zařazené podle Klasifikace</w:t>
      </w:r>
      <w:r w:rsidR="0032380D" w:rsidRPr="009F79DD">
        <w:rPr>
          <w:rStyle w:val="Odkaznapoznpodarou"/>
        </w:rPr>
        <w:t>4)</w:t>
      </w:r>
      <w:r w:rsidR="0032380D" w:rsidRPr="009F79DD">
        <w:t xml:space="preserve"> do vyjmenovaných </w:t>
      </w:r>
      <w:r w:rsidR="0032380D">
        <w:t>bazí</w:t>
      </w:r>
      <w:r w:rsidR="0032380D" w:rsidRPr="009F79DD">
        <w:t xml:space="preserve">, nezapočítávají do úhrady uvedené v bodě 3. </w:t>
      </w:r>
      <w:r w:rsidR="0019157F">
        <w:t xml:space="preserve"> </w:t>
      </w:r>
      <w:r w:rsidR="0004685D">
        <w:t xml:space="preserve"> </w:t>
      </w:r>
    </w:p>
    <w:p w:rsidR="0032380D" w:rsidRPr="009F79DD" w:rsidRDefault="0032380D" w:rsidP="0032380D">
      <w:pPr>
        <w:ind w:left="717"/>
      </w:pPr>
    </w:p>
    <w:p w:rsidR="0032380D" w:rsidRPr="009F79DD" w:rsidRDefault="0032380D" w:rsidP="007C40A6">
      <w:pPr>
        <w:ind w:left="851"/>
      </w:pPr>
      <w:r w:rsidRPr="0002264A">
        <w:t>Nedojde-li k dohodě o výši úhrady individuálně smluvně sjednané složky úhrady mezi poskytovatelem a zdravot</w:t>
      </w:r>
      <w:r w:rsidR="001C2855">
        <w:t>ní pojišťovnou do 30. dubna 2015</w:t>
      </w:r>
      <w:r w:rsidRPr="0002264A">
        <w:t xml:space="preserve">, zdravotní pojišťovna poskytne poskytovateli úhradu ve výši </w:t>
      </w:r>
      <m:oMath>
        <m:sSubSup>
          <m:sSubSupPr>
            <m:ctrlPr>
              <w:rPr>
                <w:rFonts w:ascii="Cambria Math" w:hAnsi="Cambria Math"/>
                <w:i/>
              </w:rPr>
            </m:ctrlPr>
          </m:sSubSupPr>
          <m:e>
            <m:r>
              <w:rPr>
                <w:rFonts w:ascii="Cambria Math" w:hAnsi="Cambria Math"/>
              </w:rPr>
              <m:t>ÚHR</m:t>
            </m:r>
          </m:e>
          <m:sub>
            <m:r>
              <w:rPr>
                <w:rFonts w:ascii="Cambria Math" w:hAnsi="Cambria Math"/>
              </w:rPr>
              <m:t xml:space="preserve"> zz</m:t>
            </m:r>
          </m:sub>
          <m:sup>
            <m:r>
              <w:rPr>
                <w:rFonts w:ascii="Cambria Math" w:hAnsi="Cambria Math"/>
              </w:rPr>
              <m:t>ho</m:t>
            </m:r>
          </m:sup>
        </m:sSubSup>
      </m:oMath>
      <w:r w:rsidRPr="0002264A">
        <w:t xml:space="preserve"> vypočtené takto:</w:t>
      </w:r>
    </w:p>
    <w:p w:rsidR="0032380D" w:rsidRPr="009F79DD" w:rsidRDefault="0032380D" w:rsidP="007C40A6"/>
    <w:p w:rsidR="0032380D" w:rsidRPr="009F79DD" w:rsidRDefault="00EE7212" w:rsidP="0032380D">
      <w:pPr>
        <w:ind w:left="717"/>
      </w:pPr>
      <m:oMathPara>
        <m:oMath>
          <m:sSubSup>
            <m:sSubSupPr>
              <m:ctrlPr>
                <w:rPr>
                  <w:rFonts w:ascii="Cambria Math" w:hAnsi="Cambria Math"/>
                  <w:i/>
                </w:rPr>
              </m:ctrlPr>
            </m:sSubSupPr>
            <m:e>
              <m:r>
                <w:rPr>
                  <w:rFonts w:ascii="Cambria Math" w:hAnsi="Cambria Math"/>
                </w:rPr>
                <m:t>ÚHR</m:t>
              </m:r>
            </m:e>
            <m:sub>
              <m:r>
                <w:rPr>
                  <w:rFonts w:ascii="Cambria Math" w:hAnsi="Cambria Math"/>
                </w:rPr>
                <m:t xml:space="preserve"> zz</m:t>
              </m:r>
            </m:sub>
            <m:sup>
              <m:r>
                <w:rPr>
                  <w:rFonts w:ascii="Cambria Math" w:hAnsi="Cambria Math"/>
                </w:rPr>
                <m:t>ho</m:t>
              </m:r>
            </m:sup>
          </m:sSubSup>
          <m:r>
            <w:rPr>
              <w:rFonts w:ascii="Cambria Math" w:hAnsi="Cambria Math"/>
            </w:rPr>
            <m:t>=min</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ho</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2014</m:t>
                              </m:r>
                            </m:sup>
                          </m:sSubSup>
                        </m:num>
                        <m:den>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2014</m:t>
                              </m:r>
                            </m:sup>
                          </m:sSubSup>
                        </m:den>
                      </m:f>
                    </m:e>
                  </m:d>
                </m:e>
              </m:nary>
              <m:r>
                <w:rPr>
                  <w:rFonts w:ascii="Cambria Math" w:hAnsi="Cambria Math"/>
                </w:rPr>
                <m:t>;0,75*</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2014</m:t>
                      </m:r>
                    </m:sup>
                  </m:sSubSup>
                </m:e>
              </m:nary>
            </m:e>
          </m:d>
        </m:oMath>
      </m:oMathPara>
    </w:p>
    <w:p w:rsidR="0032380D" w:rsidRPr="009F79DD" w:rsidRDefault="0032380D" w:rsidP="0032380D">
      <w:pPr>
        <w:ind w:left="717"/>
      </w:pPr>
    </w:p>
    <w:p w:rsidR="0032380D" w:rsidRDefault="00703D25" w:rsidP="0032380D">
      <w:pPr>
        <w:ind w:left="717"/>
      </w:pPr>
      <w:r>
        <w:t>kde:</w:t>
      </w:r>
    </w:p>
    <w:p w:rsidR="0032380D" w:rsidRPr="009F79DD" w:rsidRDefault="0032380D" w:rsidP="0032380D">
      <w:pPr>
        <w:ind w:left="717"/>
      </w:pPr>
    </w:p>
    <w:p w:rsidR="0032380D" w:rsidRDefault="00EE7212" w:rsidP="0032380D">
      <w:pPr>
        <w:ind w:left="717"/>
      </w:pPr>
      <m:oMath>
        <m:sSubSup>
          <m:sSubSupPr>
            <m:ctrlPr>
              <w:rPr>
                <w:rFonts w:ascii="Cambria Math" w:hAnsi="Cambria Math"/>
                <w:i/>
              </w:rPr>
            </m:ctrlPr>
          </m:sSubSupPr>
          <m:e>
            <m:r>
              <w:rPr>
                <w:rFonts w:ascii="Cambria Math" w:hAnsi="Cambria Math"/>
              </w:rPr>
              <m:t>ÚHR</m:t>
            </m:r>
          </m:e>
          <m:sub>
            <m:r>
              <w:rPr>
                <w:rFonts w:ascii="Cambria Math" w:hAnsi="Cambria Math"/>
              </w:rPr>
              <m:t xml:space="preserve"> zz</m:t>
            </m:r>
          </m:sub>
          <m:sup>
            <m:r>
              <w:rPr>
                <w:rFonts w:ascii="Cambria Math" w:hAnsi="Cambria Math"/>
              </w:rPr>
              <m:t>ho</m:t>
            </m:r>
          </m:sup>
        </m:sSubSup>
      </m:oMath>
      <w:r w:rsidR="001C2855">
        <w:tab/>
        <w:t>je m</w:t>
      </w:r>
      <w:r w:rsidR="0032380D">
        <w:t>aximální úhrada po</w:t>
      </w:r>
      <w:r w:rsidR="001C2855">
        <w:t>skytovateli v hodnoceném období</w:t>
      </w:r>
    </w:p>
    <w:p w:rsidR="0032380D" w:rsidRPr="009F79DD" w:rsidRDefault="0032380D" w:rsidP="0032380D">
      <w:pPr>
        <w:ind w:left="717"/>
      </w:pPr>
    </w:p>
    <w:p w:rsidR="0032380D" w:rsidRPr="009F79DD" w:rsidRDefault="00EE7212" w:rsidP="0032380D">
      <w:pPr>
        <w:ind w:left="2124" w:hanging="1407"/>
      </w:pPr>
      <w:r w:rsidRPr="009F79DD">
        <w:fldChar w:fldCharType="begin"/>
      </w:r>
      <w:r w:rsidR="0032380D" w:rsidRPr="009F79DD">
        <w:instrText xml:space="preserve"> QUOTE </w:instrText>
      </w:r>
      <w:r w:rsidR="0032380D">
        <w:rPr>
          <w:noProof/>
        </w:rPr>
        <w:drawing>
          <wp:inline distT="0" distB="0" distL="0" distR="0">
            <wp:extent cx="342900" cy="190500"/>
            <wp:effectExtent l="0" t="0" r="0" b="0"/>
            <wp:docPr id="14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190500"/>
                    </a:xfrm>
                    <a:prstGeom prst="rect">
                      <a:avLst/>
                    </a:prstGeom>
                    <a:noFill/>
                    <a:ln>
                      <a:noFill/>
                    </a:ln>
                  </pic:spPr>
                </pic:pic>
              </a:graphicData>
            </a:graphic>
          </wp:inline>
        </w:drawing>
      </w:r>
      <w:r w:rsidR="0032380D" w:rsidRPr="009F79DD">
        <w:instrText xml:space="preserve"> </w:instrText>
      </w:r>
      <w:r w:rsidRPr="009F79DD">
        <w:fldChar w:fldCharType="end"/>
      </w:r>
      <m:oMath>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ho</m:t>
            </m:r>
          </m:sup>
        </m:sSubSup>
      </m:oMath>
      <w:r w:rsidR="001C2855">
        <w:tab/>
        <w:t>je p</w:t>
      </w:r>
      <w:r w:rsidR="0032380D" w:rsidRPr="009F79DD">
        <w:t xml:space="preserve">očet případů u daného poskytovatele ve vyjmenované </w:t>
      </w:r>
      <w:r w:rsidR="0032380D">
        <w:t>bazi</w:t>
      </w:r>
      <w:r w:rsidR="0032380D" w:rsidRPr="009F79DD">
        <w:t xml:space="preserve"> v hodnoceném období</w:t>
      </w:r>
      <w:r w:rsidR="0032380D">
        <w:t xml:space="preserve">, kde </w:t>
      </w:r>
      <w:r w:rsidR="0032380D" w:rsidRPr="006B4873">
        <w:rPr>
          <w:i/>
        </w:rPr>
        <w:t xml:space="preserve">i </w:t>
      </w:r>
      <w:r w:rsidR="0032380D">
        <w:t>= 1 až n, kde n je počet vyjmenovaných bazí</w:t>
      </w:r>
    </w:p>
    <w:p w:rsidR="0032380D" w:rsidRPr="009F79DD" w:rsidRDefault="0032380D" w:rsidP="0032380D">
      <w:pPr>
        <w:ind w:left="2124" w:hanging="1407"/>
      </w:pPr>
    </w:p>
    <w:p w:rsidR="0032380D" w:rsidRPr="009F79DD" w:rsidRDefault="00EE7212" w:rsidP="0032380D">
      <w:pPr>
        <w:ind w:left="2124" w:hanging="1407"/>
      </w:pPr>
      <w:r w:rsidRPr="009F79DD">
        <w:fldChar w:fldCharType="begin"/>
      </w:r>
      <w:r w:rsidR="0032380D" w:rsidRPr="009F79DD">
        <w:instrText xml:space="preserve"> QUOTE </w:instrText>
      </w:r>
      <w:r w:rsidR="0032380D">
        <w:rPr>
          <w:noProof/>
        </w:rPr>
        <w:drawing>
          <wp:inline distT="0" distB="0" distL="0" distR="0">
            <wp:extent cx="504825" cy="209550"/>
            <wp:effectExtent l="0" t="0" r="9525" b="0"/>
            <wp:docPr id="148"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209550"/>
                    </a:xfrm>
                    <a:prstGeom prst="rect">
                      <a:avLst/>
                    </a:prstGeom>
                    <a:noFill/>
                    <a:ln>
                      <a:noFill/>
                    </a:ln>
                  </pic:spPr>
                </pic:pic>
              </a:graphicData>
            </a:graphic>
          </wp:inline>
        </w:drawing>
      </w:r>
      <w:r w:rsidR="0032380D" w:rsidRPr="009F79DD">
        <w:instrText xml:space="preserve"> </w:instrText>
      </w:r>
      <w:r w:rsidRPr="009F79DD">
        <w:fldChar w:fldCharType="end"/>
      </w:r>
      <m:oMath>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2014</m:t>
            </m:r>
          </m:sup>
        </m:sSubSup>
      </m:oMath>
      <w:r w:rsidR="001C2855">
        <w:tab/>
        <w:t>je c</w:t>
      </w:r>
      <w:r w:rsidR="0032380D" w:rsidRPr="009F79DD">
        <w:t xml:space="preserve">elková úhrada poskytovateli za vyjmenovanou </w:t>
      </w:r>
      <w:r w:rsidR="0032380D">
        <w:t>bazi</w:t>
      </w:r>
      <w:r w:rsidR="0032380D" w:rsidRPr="009F79DD">
        <w:t xml:space="preserve"> v </w:t>
      </w:r>
      <w:r w:rsidR="001C2855">
        <w:t>roce 2014</w:t>
      </w:r>
      <w:r w:rsidR="0032380D">
        <w:t xml:space="preserve">, kde </w:t>
      </w:r>
      <w:r w:rsidR="0032380D" w:rsidRPr="006B4873">
        <w:rPr>
          <w:i/>
        </w:rPr>
        <w:t>i</w:t>
      </w:r>
      <w:r w:rsidR="0032380D">
        <w:t xml:space="preserve"> = 1 až n, kde n je počet vyjmenovaných bazí</w:t>
      </w:r>
    </w:p>
    <w:p w:rsidR="0032380D" w:rsidRPr="009F79DD" w:rsidRDefault="0032380D" w:rsidP="0032380D">
      <w:pPr>
        <w:ind w:left="2124" w:hanging="1407"/>
      </w:pPr>
    </w:p>
    <w:p w:rsidR="0032380D" w:rsidRDefault="00EE7212" w:rsidP="002476E7">
      <w:pPr>
        <w:ind w:left="2124" w:hanging="1407"/>
      </w:pPr>
      <w:r w:rsidRPr="009F79DD">
        <w:fldChar w:fldCharType="begin"/>
      </w:r>
      <w:r w:rsidR="0032380D" w:rsidRPr="009F79DD">
        <w:instrText xml:space="preserve"> QUOTE </w:instrText>
      </w:r>
      <w:r w:rsidR="0032380D">
        <w:rPr>
          <w:noProof/>
        </w:rPr>
        <w:drawing>
          <wp:inline distT="0" distB="0" distL="0" distR="0">
            <wp:extent cx="390525" cy="219075"/>
            <wp:effectExtent l="0" t="0" r="9525" b="9525"/>
            <wp:docPr id="151"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19075"/>
                    </a:xfrm>
                    <a:prstGeom prst="rect">
                      <a:avLst/>
                    </a:prstGeom>
                    <a:noFill/>
                    <a:ln>
                      <a:noFill/>
                    </a:ln>
                  </pic:spPr>
                </pic:pic>
              </a:graphicData>
            </a:graphic>
          </wp:inline>
        </w:drawing>
      </w:r>
      <w:r w:rsidR="0032380D" w:rsidRPr="009F79DD">
        <w:instrText xml:space="preserve"> </w:instrText>
      </w:r>
      <w:r w:rsidRPr="009F79DD">
        <w:fldChar w:fldCharType="end"/>
      </w:r>
      <m:oMath>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2014</m:t>
            </m:r>
          </m:sup>
        </m:sSubSup>
      </m:oMath>
      <w:r w:rsidR="001C2855">
        <w:tab/>
        <w:t>je p</w:t>
      </w:r>
      <w:r w:rsidR="0032380D" w:rsidRPr="009F79DD">
        <w:t xml:space="preserve">očet případů u daného poskytovatele ve vyjmenované </w:t>
      </w:r>
      <w:r w:rsidR="0032380D">
        <w:t>bazi</w:t>
      </w:r>
      <w:r w:rsidR="0032380D" w:rsidRPr="009F79DD">
        <w:t xml:space="preserve"> v </w:t>
      </w:r>
      <w:r w:rsidR="001C2855">
        <w:t>roce 2014</w:t>
      </w:r>
      <w:r w:rsidR="0032380D" w:rsidRPr="00720444">
        <w:t xml:space="preserve"> </w:t>
      </w:r>
      <w:r w:rsidR="0032380D">
        <w:t xml:space="preserve">kde </w:t>
      </w:r>
      <w:r w:rsidR="0032380D" w:rsidRPr="006B4873">
        <w:rPr>
          <w:i/>
        </w:rPr>
        <w:t>i</w:t>
      </w:r>
      <w:r w:rsidR="0032380D">
        <w:t xml:space="preserve"> = 1 až n, kde n je počet vyjmenovaných bazí</w:t>
      </w:r>
      <w:r w:rsidRPr="009F79DD">
        <w:fldChar w:fldCharType="begin"/>
      </w:r>
      <w:r w:rsidR="0032380D" w:rsidRPr="009F79DD">
        <w:instrText xml:space="preserve"> QUOTE </w:instrText>
      </w:r>
      <w:r w:rsidR="0032380D">
        <w:rPr>
          <w:noProof/>
        </w:rPr>
        <w:drawing>
          <wp:inline distT="0" distB="0" distL="0" distR="0">
            <wp:extent cx="266700" cy="17145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0032380D" w:rsidRPr="009F79DD">
        <w:instrText xml:space="preserve"> </w:instrText>
      </w:r>
      <w:r w:rsidRPr="009F79DD">
        <w:fldChar w:fldCharType="end"/>
      </w:r>
    </w:p>
    <w:p w:rsidR="0032380D" w:rsidRPr="009F79DD" w:rsidRDefault="0032380D" w:rsidP="0032380D">
      <w:pPr>
        <w:ind w:left="2124"/>
      </w:pPr>
    </w:p>
    <w:p w:rsidR="0032380D" w:rsidRDefault="00680673" w:rsidP="0032380D">
      <w:pPr>
        <w:ind w:left="2124" w:hanging="1407"/>
      </w:pPr>
      <w:r>
        <w:lastRenderedPageBreak/>
        <w:t xml:space="preserve">min </w:t>
      </w:r>
      <w:r>
        <w:tab/>
        <w:t>je f</w:t>
      </w:r>
      <w:r w:rsidR="0032380D" w:rsidRPr="009F79DD">
        <w:t xml:space="preserve">unkce minimum, která vybere </w:t>
      </w:r>
      <w:r>
        <w:t>z oboru hodnot hodnotu nejnižší</w:t>
      </w:r>
    </w:p>
    <w:p w:rsidR="002476E7" w:rsidRPr="009F79DD" w:rsidRDefault="002476E7" w:rsidP="0032380D">
      <w:pPr>
        <w:ind w:left="2124" w:hanging="1407"/>
      </w:pPr>
    </w:p>
    <w:p w:rsidR="0032380D" w:rsidRPr="009F79DD" w:rsidRDefault="0032380D" w:rsidP="0032380D">
      <w:pPr>
        <w:ind w:left="717"/>
      </w:pPr>
    </w:p>
    <w:p w:rsidR="0032380D" w:rsidRPr="009F79DD" w:rsidRDefault="0032380D" w:rsidP="0032380D">
      <w:pPr>
        <w:ind w:left="717"/>
      </w:pPr>
      <w:r w:rsidRPr="0002264A">
        <w:t>Celková poskytnutá výše úhrady za všechny vyjmenované baze poskytnutá zdravotní pojišťovnou všem poskytovatelům v souhrnu činí nejméně 85% úhrad</w:t>
      </w:r>
      <w:r w:rsidR="001C2855">
        <w:t>y vyjmenovaných bazí v roce 2014</w:t>
      </w:r>
      <w:r w:rsidRPr="0002264A">
        <w:t>.</w:t>
      </w:r>
    </w:p>
    <w:p w:rsidR="0032380D" w:rsidRPr="009F79DD" w:rsidRDefault="0032380D" w:rsidP="0032380D">
      <w:pPr>
        <w:ind w:left="717"/>
      </w:pPr>
    </w:p>
    <w:p w:rsidR="0032380D" w:rsidRPr="009F79DD" w:rsidRDefault="0032380D" w:rsidP="0032380D"/>
    <w:p w:rsidR="0032380D" w:rsidRPr="009F79DD" w:rsidRDefault="00EE7212" w:rsidP="0032380D">
      <m:oMathPara>
        <m:oMath>
          <m:nary>
            <m:naryPr>
              <m:chr m:val="∑"/>
              <m:limLoc m:val="undOvr"/>
              <m:ctrlPr>
                <w:rPr>
                  <w:rFonts w:ascii="Cambria Math" w:hAnsi="Cambria Math"/>
                  <w:i/>
                </w:rPr>
              </m:ctrlPr>
            </m:naryPr>
            <m:sub>
              <m:r>
                <w:rPr>
                  <w:rFonts w:ascii="Cambria Math" w:hAnsi="Cambria Math"/>
                </w:rPr>
                <m:t>zz=1</m:t>
              </m:r>
            </m:sub>
            <m:sup>
              <m:r>
                <w:rPr>
                  <w:rFonts w:ascii="Cambria Math" w:hAnsi="Cambria Math"/>
                </w:rPr>
                <m:t>q</m:t>
              </m:r>
            </m:sup>
            <m:e>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ho</m:t>
                  </m:r>
                </m:sup>
              </m:sSubSup>
            </m:e>
          </m:nary>
          <m:r>
            <w:rPr>
              <w:rFonts w:ascii="Cambria Math" w:hAnsi="Cambria Math"/>
            </w:rPr>
            <m:t>≥0,85*</m:t>
          </m:r>
          <m:nary>
            <m:naryPr>
              <m:chr m:val="∑"/>
              <m:limLoc m:val="undOvr"/>
              <m:ctrlPr>
                <w:rPr>
                  <w:rFonts w:ascii="Cambria Math" w:hAnsi="Cambria Math"/>
                  <w:i/>
                </w:rPr>
              </m:ctrlPr>
            </m:naryPr>
            <m:sub>
              <m:r>
                <w:rPr>
                  <w:rFonts w:ascii="Cambria Math" w:hAnsi="Cambria Math"/>
                </w:rPr>
                <m:t>zz=1</m:t>
              </m:r>
            </m:sub>
            <m:sup>
              <m:r>
                <w:rPr>
                  <w:rFonts w:ascii="Cambria Math" w:hAnsi="Cambria Math"/>
                </w:rPr>
                <m:t>q</m:t>
              </m:r>
            </m:sup>
            <m:e>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2014</m:t>
                  </m:r>
                </m:sup>
              </m:sSubSup>
            </m:e>
          </m:nary>
        </m:oMath>
      </m:oMathPara>
    </w:p>
    <w:p w:rsidR="0032380D" w:rsidRPr="009F79DD" w:rsidRDefault="0032380D" w:rsidP="0032380D"/>
    <w:p w:rsidR="0032380D" w:rsidRPr="009F79DD" w:rsidRDefault="00BC2B24" w:rsidP="0032380D">
      <w:pPr>
        <w:ind w:left="8" w:firstLine="709"/>
      </w:pPr>
      <w:r>
        <w:t>kde:</w:t>
      </w:r>
    </w:p>
    <w:p w:rsidR="0032380D" w:rsidRPr="009F79DD" w:rsidRDefault="0032380D" w:rsidP="0032380D">
      <w:pPr>
        <w:ind w:left="8" w:firstLine="709"/>
      </w:pPr>
    </w:p>
    <w:p w:rsidR="0032380D" w:rsidRPr="009F79DD" w:rsidRDefault="00EE7212" w:rsidP="0032380D">
      <w:pPr>
        <w:ind w:left="2124" w:hanging="1407"/>
      </w:pPr>
      <w:r w:rsidRPr="009F79DD">
        <w:fldChar w:fldCharType="begin"/>
      </w:r>
      <w:r w:rsidR="0032380D" w:rsidRPr="009F79DD">
        <w:instrText xml:space="preserve"> QUOTE </w:instrText>
      </w:r>
      <w:r w:rsidR="0032380D">
        <w:rPr>
          <w:noProof/>
        </w:rPr>
        <w:drawing>
          <wp:inline distT="0" distB="0" distL="0" distR="0">
            <wp:extent cx="504825" cy="209550"/>
            <wp:effectExtent l="0" t="0" r="9525"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209550"/>
                    </a:xfrm>
                    <a:prstGeom prst="rect">
                      <a:avLst/>
                    </a:prstGeom>
                    <a:noFill/>
                    <a:ln>
                      <a:noFill/>
                    </a:ln>
                  </pic:spPr>
                </pic:pic>
              </a:graphicData>
            </a:graphic>
          </wp:inline>
        </w:drawing>
      </w:r>
      <w:r w:rsidR="0032380D" w:rsidRPr="009F79DD">
        <w:instrText xml:space="preserve"> </w:instrText>
      </w:r>
      <w:r w:rsidRPr="009F79DD">
        <w:fldChar w:fldCharType="end"/>
      </w:r>
      <m:oMath>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2014</m:t>
            </m:r>
          </m:sup>
        </m:sSubSup>
      </m:oMath>
      <w:r w:rsidR="00680673">
        <w:tab/>
        <w:t>je c</w:t>
      </w:r>
      <w:r w:rsidR="0032380D" w:rsidRPr="009F79DD">
        <w:t xml:space="preserve">elková úhrada zdravotní pojišťovny všem poskytovatelům v součtu za vyjmenovanou </w:t>
      </w:r>
      <w:r w:rsidR="0032380D">
        <w:t>bazi</w:t>
      </w:r>
      <w:r w:rsidR="0032380D" w:rsidRPr="009F79DD">
        <w:t xml:space="preserve"> </w:t>
      </w:r>
      <w:r w:rsidRPr="009F79DD">
        <w:fldChar w:fldCharType="begin"/>
      </w:r>
      <w:r w:rsidR="0032380D" w:rsidRPr="009F79DD">
        <w:instrText xml:space="preserve"> QUOTE </w:instrText>
      </w:r>
      <w:r w:rsidR="0032380D">
        <w:rPr>
          <w:noProof/>
        </w:rPr>
        <w:drawing>
          <wp:inline distT="0" distB="0" distL="0" distR="0">
            <wp:extent cx="95250" cy="171450"/>
            <wp:effectExtent l="0" t="0" r="0" b="0"/>
            <wp:docPr id="167"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171450"/>
                    </a:xfrm>
                    <a:prstGeom prst="rect">
                      <a:avLst/>
                    </a:prstGeom>
                    <a:noFill/>
                    <a:ln>
                      <a:noFill/>
                    </a:ln>
                  </pic:spPr>
                </pic:pic>
              </a:graphicData>
            </a:graphic>
          </wp:inline>
        </w:drawing>
      </w:r>
      <w:r w:rsidR="0032380D" w:rsidRPr="009F79DD">
        <w:instrText xml:space="preserve"> </w:instrText>
      </w:r>
      <w:r w:rsidRPr="009F79DD">
        <w:fldChar w:fldCharType="end"/>
      </w:r>
      <m:oMath>
        <m:r>
          <w:rPr>
            <w:rFonts w:ascii="Cambria Math" w:hAnsi="Cambria Math"/>
          </w:rPr>
          <m:t>i</m:t>
        </m:r>
      </m:oMath>
      <w:r w:rsidR="0032380D" w:rsidRPr="009F79DD">
        <w:t xml:space="preserve"> v </w:t>
      </w:r>
      <w:r w:rsidR="001C2855">
        <w:t>roce 2014</w:t>
      </w:r>
      <w:r w:rsidR="0032380D">
        <w:t xml:space="preserve">, kde </w:t>
      </w:r>
      <w:r w:rsidR="0032380D" w:rsidRPr="00A0189D">
        <w:rPr>
          <w:i/>
        </w:rPr>
        <w:t>i</w:t>
      </w:r>
      <w:r w:rsidR="0032380D">
        <w:t xml:space="preserve"> = 1 až </w:t>
      </w:r>
      <w:r w:rsidR="0032380D" w:rsidRPr="00A0189D">
        <w:rPr>
          <w:i/>
        </w:rPr>
        <w:t>n</w:t>
      </w:r>
      <w:r w:rsidR="0032380D">
        <w:t>,</w:t>
      </w:r>
      <w:r w:rsidR="0032380D" w:rsidRPr="009F79DD">
        <w:t xml:space="preserve"> kde</w:t>
      </w:r>
      <w:r w:rsidR="0032380D">
        <w:t xml:space="preserve"> </w:t>
      </w:r>
      <w:r w:rsidR="0032380D" w:rsidRPr="00A0189D">
        <w:rPr>
          <w:i/>
        </w:rPr>
        <w:t>n</w:t>
      </w:r>
      <w:r w:rsidRPr="009F79DD">
        <w:fldChar w:fldCharType="begin"/>
      </w:r>
      <w:r w:rsidR="0032380D" w:rsidRPr="009F79DD">
        <w:instrText xml:space="preserve"> QUOTE </w:instrText>
      </w:r>
      <w:r w:rsidR="0032380D">
        <w:rPr>
          <w:noProof/>
        </w:rPr>
        <w:drawing>
          <wp:inline distT="0" distB="0" distL="0" distR="0">
            <wp:extent cx="142875" cy="171450"/>
            <wp:effectExtent l="0" t="0" r="0" b="0"/>
            <wp:docPr id="173"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71450"/>
                    </a:xfrm>
                    <a:prstGeom prst="rect">
                      <a:avLst/>
                    </a:prstGeom>
                    <a:noFill/>
                    <a:ln>
                      <a:noFill/>
                    </a:ln>
                  </pic:spPr>
                </pic:pic>
              </a:graphicData>
            </a:graphic>
          </wp:inline>
        </w:drawing>
      </w:r>
      <w:r w:rsidR="0032380D" w:rsidRPr="009F79DD">
        <w:instrText xml:space="preserve"> </w:instrText>
      </w:r>
      <w:r w:rsidRPr="009F79DD">
        <w:fldChar w:fldCharType="end"/>
      </w:r>
      <w:r w:rsidR="0032380D" w:rsidRPr="009F79DD">
        <w:t xml:space="preserve"> je celkový počet vyjmenovaných </w:t>
      </w:r>
      <w:r w:rsidR="0032380D">
        <w:t>bazí</w:t>
      </w:r>
      <w:r w:rsidR="0032380D" w:rsidRPr="009F79DD">
        <w:t xml:space="preserve">. Dolní index </w:t>
      </w:r>
      <w:r w:rsidR="0032380D" w:rsidRPr="009F79DD">
        <w:rPr>
          <w:i/>
        </w:rPr>
        <w:t>zz</w:t>
      </w:r>
      <w:r w:rsidR="0032380D" w:rsidRPr="009F79DD">
        <w:t xml:space="preserve"> označuje poskytovatele dané zdravotní pojišťovny,</w:t>
      </w:r>
      <w:r w:rsidR="0032380D">
        <w:t xml:space="preserve"> </w:t>
      </w:r>
      <w:r w:rsidR="0032380D" w:rsidRPr="00A0189D">
        <w:rPr>
          <w:i/>
        </w:rPr>
        <w:t>zz</w:t>
      </w:r>
      <w:r w:rsidR="0032380D">
        <w:t xml:space="preserve"> = 1 až </w:t>
      </w:r>
      <w:r w:rsidR="0032380D" w:rsidRPr="00A0189D">
        <w:rPr>
          <w:i/>
        </w:rPr>
        <w:t>q</w:t>
      </w:r>
      <w:r w:rsidR="0032380D">
        <w:t xml:space="preserve">, kde </w:t>
      </w:r>
      <w:r w:rsidR="0032380D" w:rsidRPr="00A0189D">
        <w:rPr>
          <w:i/>
        </w:rPr>
        <w:t>q</w:t>
      </w:r>
      <w:r w:rsidR="0032380D">
        <w:t xml:space="preserve"> </w:t>
      </w:r>
      <w:r w:rsidR="0032380D" w:rsidRPr="009F79DD">
        <w:t>je celkový počet poskytovatelů dané zdravotní pojišťovny.</w:t>
      </w:r>
    </w:p>
    <w:p w:rsidR="0032380D" w:rsidRDefault="0032380D" w:rsidP="0032380D">
      <w:pPr>
        <w:ind w:left="717"/>
      </w:pPr>
      <w:r w:rsidRPr="009F79DD">
        <w:t xml:space="preserve"> </w:t>
      </w:r>
    </w:p>
    <w:p w:rsidR="002476E7" w:rsidRPr="009F79DD" w:rsidRDefault="002476E7" w:rsidP="0032380D">
      <w:pPr>
        <w:ind w:left="717"/>
      </w:pPr>
    </w:p>
    <w:p w:rsidR="0032380D" w:rsidRPr="0002264A" w:rsidRDefault="0032380D" w:rsidP="00D67654">
      <w:pPr>
        <w:numPr>
          <w:ilvl w:val="1"/>
          <w:numId w:val="7"/>
        </w:numPr>
      </w:pPr>
      <w:r w:rsidRPr="0002264A">
        <w:t xml:space="preserve">Výše úhrad léčivých přípravků a potravin pro zvláštní lékařské účely (dále jen „léčivý přípravek“) označených symbolem „S“ podle § 39 odst. 1 vyhlášky č. 376/2011 Sb., kterou se provádějí některá ustanovení zákona o veřejném zdravotním pojištění, se stanoví podle poskytovatelem vykázaného a </w:t>
      </w:r>
      <w:r w:rsidRPr="0002264A">
        <w:rPr>
          <w:rStyle w:val="TextodstavceChar"/>
        </w:rPr>
        <w:t xml:space="preserve">zdravotní pojišťovnou uznaného </w:t>
      </w:r>
      <w:r w:rsidRPr="0002264A">
        <w:t>léčivého přípravku, maximálně však ve výši uvedené v bodech 2.2.1, 2.2.2 a 2.2.3:</w:t>
      </w:r>
    </w:p>
    <w:p w:rsidR="0032380D" w:rsidRPr="0002264A" w:rsidRDefault="0032380D" w:rsidP="0032380D">
      <w:pPr>
        <w:ind w:left="717"/>
      </w:pPr>
    </w:p>
    <w:p w:rsidR="0032380D" w:rsidRPr="0002264A" w:rsidRDefault="0032380D" w:rsidP="00D67654">
      <w:pPr>
        <w:numPr>
          <w:ilvl w:val="2"/>
          <w:numId w:val="7"/>
        </w:numPr>
      </w:pPr>
      <w:r w:rsidRPr="0002264A">
        <w:t xml:space="preserve">Pro onemocnění: </w:t>
      </w:r>
    </w:p>
    <w:p w:rsidR="0032380D" w:rsidRPr="0002264A" w:rsidRDefault="001C2855" w:rsidP="00703D25">
      <w:pPr>
        <w:numPr>
          <w:ilvl w:val="4"/>
          <w:numId w:val="7"/>
        </w:numPr>
        <w:tabs>
          <w:tab w:val="clear" w:pos="2508"/>
          <w:tab w:val="num" w:pos="1843"/>
        </w:tabs>
        <w:ind w:left="1843" w:hanging="415"/>
      </w:pPr>
      <w:r>
        <w:t xml:space="preserve">Fabryho </w:t>
      </w:r>
      <w:r w:rsidR="0032380D" w:rsidRPr="0002264A">
        <w:t>choroba,</w:t>
      </w:r>
    </w:p>
    <w:p w:rsidR="0032380D" w:rsidRPr="0002264A" w:rsidRDefault="0032380D" w:rsidP="00703D25">
      <w:pPr>
        <w:numPr>
          <w:ilvl w:val="4"/>
          <w:numId w:val="7"/>
        </w:numPr>
        <w:tabs>
          <w:tab w:val="clear" w:pos="2508"/>
          <w:tab w:val="num" w:pos="1843"/>
        </w:tabs>
        <w:ind w:left="1843" w:hanging="415"/>
      </w:pPr>
      <w:r w:rsidRPr="0002264A">
        <w:t>Gaucherova choroba,</w:t>
      </w:r>
    </w:p>
    <w:p w:rsidR="0032380D" w:rsidRPr="0002264A" w:rsidRDefault="0032380D" w:rsidP="00703D25">
      <w:pPr>
        <w:numPr>
          <w:ilvl w:val="4"/>
          <w:numId w:val="7"/>
        </w:numPr>
        <w:tabs>
          <w:tab w:val="clear" w:pos="2508"/>
          <w:tab w:val="num" w:pos="1843"/>
        </w:tabs>
        <w:ind w:left="1843" w:hanging="415"/>
      </w:pPr>
      <w:r w:rsidRPr="0002264A">
        <w:t>Niemen-Pickova choroba,</w:t>
      </w:r>
    </w:p>
    <w:p w:rsidR="0032380D" w:rsidRPr="0002264A" w:rsidRDefault="0032380D" w:rsidP="00703D25">
      <w:pPr>
        <w:numPr>
          <w:ilvl w:val="4"/>
          <w:numId w:val="7"/>
        </w:numPr>
        <w:tabs>
          <w:tab w:val="clear" w:pos="2508"/>
          <w:tab w:val="num" w:pos="1843"/>
        </w:tabs>
        <w:ind w:left="1843" w:hanging="415"/>
      </w:pPr>
      <w:r w:rsidRPr="0002264A">
        <w:t>Mukopolysacharidóza I,</w:t>
      </w:r>
    </w:p>
    <w:p w:rsidR="0032380D" w:rsidRPr="0002264A" w:rsidRDefault="0032380D" w:rsidP="00703D25">
      <w:pPr>
        <w:numPr>
          <w:ilvl w:val="4"/>
          <w:numId w:val="7"/>
        </w:numPr>
        <w:tabs>
          <w:tab w:val="clear" w:pos="2508"/>
          <w:tab w:val="num" w:pos="1843"/>
        </w:tabs>
        <w:ind w:left="1843" w:hanging="415"/>
      </w:pPr>
      <w:r w:rsidRPr="0002264A">
        <w:t>Mukopolysacharidóza II,</w:t>
      </w:r>
    </w:p>
    <w:p w:rsidR="0032380D" w:rsidRPr="0002264A" w:rsidRDefault="0032380D" w:rsidP="00703D25">
      <w:pPr>
        <w:numPr>
          <w:ilvl w:val="4"/>
          <w:numId w:val="7"/>
        </w:numPr>
        <w:tabs>
          <w:tab w:val="clear" w:pos="2508"/>
          <w:tab w:val="num" w:pos="1843"/>
        </w:tabs>
        <w:ind w:left="1843" w:hanging="415"/>
      </w:pPr>
      <w:r w:rsidRPr="0002264A">
        <w:t>Mukopolysacharidóza VI,</w:t>
      </w:r>
    </w:p>
    <w:p w:rsidR="0032380D" w:rsidRPr="0002264A" w:rsidRDefault="0032380D" w:rsidP="00703D25">
      <w:pPr>
        <w:numPr>
          <w:ilvl w:val="4"/>
          <w:numId w:val="7"/>
        </w:numPr>
        <w:tabs>
          <w:tab w:val="clear" w:pos="2508"/>
          <w:tab w:val="num" w:pos="1843"/>
        </w:tabs>
        <w:ind w:left="1843" w:hanging="415"/>
      </w:pPr>
      <w:r w:rsidRPr="0002264A">
        <w:t>Pompeho choroba,</w:t>
      </w:r>
    </w:p>
    <w:p w:rsidR="0032380D" w:rsidRPr="0002264A" w:rsidRDefault="0032380D" w:rsidP="00703D25">
      <w:pPr>
        <w:numPr>
          <w:ilvl w:val="4"/>
          <w:numId w:val="7"/>
        </w:numPr>
        <w:tabs>
          <w:tab w:val="clear" w:pos="2508"/>
          <w:tab w:val="num" w:pos="1843"/>
        </w:tabs>
        <w:ind w:left="1843" w:hanging="415"/>
      </w:pPr>
      <w:r w:rsidRPr="0002264A">
        <w:t>Hyperamonemie u dětí s dědičnou poruchou metabolismu urey a glutaminu a</w:t>
      </w:r>
    </w:p>
    <w:p w:rsidR="0032380D" w:rsidRPr="0002264A" w:rsidRDefault="0032380D" w:rsidP="00703D25">
      <w:pPr>
        <w:numPr>
          <w:ilvl w:val="4"/>
          <w:numId w:val="7"/>
        </w:numPr>
        <w:tabs>
          <w:tab w:val="clear" w:pos="2508"/>
          <w:tab w:val="num" w:pos="1843"/>
        </w:tabs>
        <w:ind w:left="1843" w:hanging="415"/>
      </w:pPr>
      <w:r w:rsidRPr="0002264A">
        <w:t>Dědičná tyrozinemie typu I</w:t>
      </w:r>
    </w:p>
    <w:p w:rsidR="0032380D" w:rsidRPr="0002264A" w:rsidRDefault="0032380D" w:rsidP="0032380D">
      <w:pPr>
        <w:ind w:left="1428"/>
      </w:pPr>
    </w:p>
    <w:p w:rsidR="0032380D" w:rsidRPr="001C2855" w:rsidRDefault="0032380D" w:rsidP="0032380D">
      <w:pPr>
        <w:ind w:left="1428"/>
      </w:pPr>
      <w:r w:rsidRPr="001C2855">
        <w:t xml:space="preserve">se stanoví maximální úhrada na jednoho unikátního pojištěnce ve výši </w:t>
      </w:r>
      <w:r w:rsidRPr="006F4BE8">
        <w:t>100 %</w:t>
      </w:r>
      <w:r w:rsidRPr="001C2855">
        <w:t xml:space="preserve"> dvanáctinásobku průměrné měsíční úhrady v</w:t>
      </w:r>
      <w:r w:rsidR="001C2855">
        <w:t>ypočtené z těch měsíců roku 2014</w:t>
      </w:r>
      <w:r w:rsidRPr="001C2855">
        <w:t>, během</w:t>
      </w:r>
      <w:r w:rsidR="00680673">
        <w:t xml:space="preserve"> nichž byla léčba poskytována. </w:t>
      </w:r>
      <w:r w:rsidRPr="001C2855">
        <w:t>Maximální úhrada na unikátního pojištěnce se vypočte takto:</w:t>
      </w:r>
    </w:p>
    <w:p w:rsidR="0032380D" w:rsidRPr="001C2855" w:rsidRDefault="0032380D" w:rsidP="0032380D">
      <w:pPr>
        <w:ind w:left="1428"/>
      </w:pPr>
    </w:p>
    <w:p w:rsidR="0032380D" w:rsidRPr="009F79DD" w:rsidRDefault="0032380D" w:rsidP="0032380D">
      <w:pPr>
        <w:ind w:left="1434"/>
      </w:pPr>
    </w:p>
    <w:p w:rsidR="00993188" w:rsidRDefault="00EE7212" w:rsidP="009C757B">
      <m:oMathPara>
        <m:oMath>
          <m:sSub>
            <m:sSubPr>
              <m:ctrlPr>
                <w:rPr>
                  <w:rFonts w:ascii="Cambria Math" w:hAnsi="Cambria Math"/>
                  <w:i/>
                </w:rPr>
              </m:ctrlPr>
            </m:sSubPr>
            <m:e>
              <m:r>
                <w:rPr>
                  <w:rFonts w:ascii="Cambria Math" w:hAnsi="Cambria Math"/>
                </w:rPr>
                <m:t>Uhr</m:t>
              </m:r>
            </m:e>
            <m:sub>
              <m:r>
                <w:rPr>
                  <w:rFonts w:ascii="Cambria Math" w:hAnsi="Cambria Math"/>
                </w:rPr>
                <m:t>max</m:t>
              </m:r>
            </m:sub>
          </m:sSub>
          <m:r>
            <w:rPr>
              <w:rFonts w:ascii="Cambria Math" w:hAnsi="Cambria Math"/>
            </w:rPr>
            <m:t xml:space="preserve"> =12* </m:t>
          </m:r>
          <m:f>
            <m:fPr>
              <m:ctrlPr>
                <w:rPr>
                  <w:rFonts w:ascii="Cambria Math" w:hAnsi="Cambria Math"/>
                  <w:i/>
                </w:rPr>
              </m:ctrlPr>
            </m:fPr>
            <m:num>
              <m:sSub>
                <m:sSubPr>
                  <m:ctrlPr>
                    <w:rPr>
                      <w:rFonts w:ascii="Cambria Math" w:hAnsi="Cambria Math"/>
                      <w:i/>
                    </w:rPr>
                  </m:ctrlPr>
                </m:sSubPr>
                <m:e>
                  <m:r>
                    <w:rPr>
                      <w:rFonts w:ascii="Cambria Math" w:hAnsi="Cambria Math"/>
                    </w:rPr>
                    <m:t>Uhr</m:t>
                  </m:r>
                </m:e>
                <m:sub>
                  <m:r>
                    <w:rPr>
                      <w:rFonts w:ascii="Cambria Math" w:hAnsi="Cambria Math"/>
                    </w:rPr>
                    <m:t>i,2014</m:t>
                  </m:r>
                </m:sub>
              </m:sSub>
            </m:num>
            <m:den>
              <m:sSub>
                <m:sSubPr>
                  <m:ctrlPr>
                    <w:rPr>
                      <w:rFonts w:ascii="Cambria Math" w:hAnsi="Cambria Math"/>
                      <w:i/>
                    </w:rPr>
                  </m:ctrlPr>
                </m:sSubPr>
                <m:e>
                  <m:r>
                    <w:rPr>
                      <w:rFonts w:ascii="Cambria Math" w:hAnsi="Cambria Math"/>
                    </w:rPr>
                    <m:t>M</m:t>
                  </m:r>
                </m:e>
                <m:sub>
                  <m:r>
                    <w:rPr>
                      <w:rFonts w:ascii="Cambria Math" w:hAnsi="Cambria Math"/>
                    </w:rPr>
                    <m:t>i,2014</m:t>
                  </m:r>
                </m:sub>
              </m:sSub>
            </m:den>
          </m:f>
        </m:oMath>
      </m:oMathPara>
    </w:p>
    <w:p w:rsidR="00993188" w:rsidRDefault="00993188" w:rsidP="0032380D">
      <w:pPr>
        <w:ind w:left="1428"/>
      </w:pPr>
    </w:p>
    <w:p w:rsidR="0032380D" w:rsidRPr="009F79DD" w:rsidRDefault="0032380D" w:rsidP="0032380D">
      <w:pPr>
        <w:ind w:left="1428"/>
      </w:pPr>
      <w:r w:rsidRPr="009F79DD">
        <w:t>kde:</w:t>
      </w:r>
    </w:p>
    <w:p w:rsidR="0032380D" w:rsidRPr="009F79DD" w:rsidRDefault="0032380D" w:rsidP="0032380D">
      <w:pPr>
        <w:ind w:left="1428"/>
      </w:pPr>
    </w:p>
    <w:p w:rsidR="0032380D" w:rsidRPr="009F79DD" w:rsidRDefault="0032380D" w:rsidP="0032380D">
      <w:pPr>
        <w:ind w:left="3544" w:hanging="1417"/>
      </w:pPr>
      <w:r w:rsidRPr="009F79DD">
        <w:rPr>
          <w:i/>
        </w:rPr>
        <w:lastRenderedPageBreak/>
        <w:t>i</w:t>
      </w:r>
      <w:r w:rsidRPr="009F79DD">
        <w:rPr>
          <w:i/>
        </w:rPr>
        <w:tab/>
      </w:r>
      <w:r w:rsidRPr="009F79DD">
        <w:t>nabývá hodnot 1 až n, kde n je počet výše uvedených onemocnění</w:t>
      </w:r>
    </w:p>
    <w:p w:rsidR="0032380D" w:rsidRPr="009F79DD" w:rsidRDefault="0032380D" w:rsidP="0032380D">
      <w:pPr>
        <w:ind w:left="3544" w:hanging="1417"/>
      </w:pPr>
    </w:p>
    <w:p w:rsidR="0032380D" w:rsidRPr="00BA2F81" w:rsidRDefault="00EE7212" w:rsidP="0032380D">
      <w:pPr>
        <w:ind w:left="3544" w:hanging="1417"/>
        <w:rPr>
          <w:i/>
        </w:rPr>
      </w:pPr>
      <w:r w:rsidRPr="009F79DD">
        <w:fldChar w:fldCharType="begin"/>
      </w:r>
      <w:r w:rsidR="0032380D" w:rsidRPr="009F79DD">
        <w:instrText xml:space="preserve"> QUOTE </w:instrText>
      </w:r>
      <w:r w:rsidR="0032380D">
        <w:rPr>
          <w:noProof/>
        </w:rPr>
        <w:drawing>
          <wp:inline distT="0" distB="0" distL="0" distR="0">
            <wp:extent cx="590550" cy="152400"/>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i/>
              </w:rPr>
            </m:ctrlPr>
          </m:sSubPr>
          <m:e>
            <m:r>
              <w:rPr>
                <w:rFonts w:ascii="Cambria Math" w:hAnsi="Cambria Math"/>
              </w:rPr>
              <m:t>Uhr</m:t>
            </m:r>
          </m:e>
          <m:sub>
            <m:r>
              <w:rPr>
                <w:rFonts w:ascii="Cambria Math" w:hAnsi="Cambria Math"/>
              </w:rPr>
              <m:t>max</m:t>
            </m:r>
          </m:sub>
        </m:sSub>
      </m:oMath>
      <w:r w:rsidR="001C2855">
        <w:tab/>
        <w:t>je maximální úhrada v roce 2015</w:t>
      </w:r>
      <w:r w:rsidR="0032380D">
        <w:t xml:space="preserve"> </w:t>
      </w:r>
      <w:r w:rsidR="0032380D" w:rsidRPr="001F2967">
        <w:t xml:space="preserve">na jednoho unikátního pojištěnce pro onemocnění </w:t>
      </w:r>
      <w:r w:rsidR="0032380D" w:rsidRPr="001F2967">
        <w:rPr>
          <w:i/>
        </w:rPr>
        <w:t>i</w:t>
      </w:r>
    </w:p>
    <w:p w:rsidR="0032380D" w:rsidRPr="009F79DD" w:rsidRDefault="0032380D" w:rsidP="0032380D">
      <w:pPr>
        <w:ind w:left="3544" w:hanging="1417"/>
      </w:pPr>
    </w:p>
    <w:p w:rsidR="0032380D" w:rsidRPr="009F79DD" w:rsidRDefault="00EE7212" w:rsidP="0032380D">
      <w:pPr>
        <w:ind w:left="3544" w:hanging="1417"/>
      </w:pPr>
      <w:r w:rsidRPr="009F79DD">
        <w:fldChar w:fldCharType="begin"/>
      </w:r>
      <w:r w:rsidR="0032380D" w:rsidRPr="009F79DD">
        <w:instrText xml:space="preserve"> QUOTE </w:instrText>
      </w:r>
      <w:r w:rsidR="0032380D">
        <w:rPr>
          <w:noProof/>
        </w:rPr>
        <w:drawing>
          <wp:inline distT="0" distB="0" distL="0" distR="0">
            <wp:extent cx="552450" cy="152400"/>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i/>
              </w:rPr>
            </m:ctrlPr>
          </m:sSubPr>
          <m:e>
            <m:r>
              <w:rPr>
                <w:rFonts w:ascii="Cambria Math" w:hAnsi="Cambria Math"/>
              </w:rPr>
              <m:t>Uhr</m:t>
            </m:r>
          </m:e>
          <m:sub>
            <m:r>
              <w:rPr>
                <w:rFonts w:ascii="Cambria Math" w:hAnsi="Cambria Math"/>
              </w:rPr>
              <m:t>i,2013</m:t>
            </m:r>
          </m:sub>
        </m:sSub>
      </m:oMath>
      <w:r w:rsidR="001C2855">
        <w:tab/>
        <w:t>je celková úhrada v roce 2014</w:t>
      </w:r>
      <w:r w:rsidR="0032380D" w:rsidRPr="009F79DD">
        <w:t xml:space="preserve"> za léčbu onemocnění </w:t>
      </w:r>
      <w:r w:rsidR="0032380D" w:rsidRPr="00AA6CFC">
        <w:rPr>
          <w:i/>
        </w:rPr>
        <w:t>i</w:t>
      </w:r>
    </w:p>
    <w:p w:rsidR="0032380D" w:rsidRPr="009F79DD" w:rsidRDefault="0032380D" w:rsidP="0032380D">
      <w:pPr>
        <w:ind w:left="3544" w:hanging="1417"/>
      </w:pPr>
    </w:p>
    <w:p w:rsidR="0032380D" w:rsidRPr="009F79DD" w:rsidRDefault="00EE7212" w:rsidP="0032380D">
      <w:pPr>
        <w:ind w:left="3544" w:hanging="1417"/>
      </w:pPr>
      <w:r w:rsidRPr="009F79DD">
        <w:fldChar w:fldCharType="begin"/>
      </w:r>
      <w:r w:rsidR="0032380D" w:rsidRPr="009F79DD">
        <w:instrText xml:space="preserve"> QUOTE </w:instrText>
      </w:r>
      <w:r w:rsidR="0032380D">
        <w:rPr>
          <w:noProof/>
        </w:rPr>
        <w:drawing>
          <wp:inline distT="0" distB="0" distL="0" distR="0">
            <wp:extent cx="428625" cy="152400"/>
            <wp:effectExtent l="0" t="0" r="9525"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i/>
              </w:rPr>
            </m:ctrlPr>
          </m:sSubPr>
          <m:e>
            <m:r>
              <w:rPr>
                <w:rFonts w:ascii="Cambria Math" w:hAnsi="Cambria Math"/>
              </w:rPr>
              <m:t>M</m:t>
            </m:r>
          </m:e>
          <m:sub>
            <m:r>
              <w:rPr>
                <w:rFonts w:ascii="Cambria Math" w:hAnsi="Cambria Math"/>
              </w:rPr>
              <m:t>i,2013</m:t>
            </m:r>
          </m:sub>
        </m:sSub>
      </m:oMath>
      <w:r w:rsidR="0032380D" w:rsidRPr="009F79DD">
        <w:tab/>
        <w:t xml:space="preserve">je součet měsíců, po které byla léčba onemocnění </w:t>
      </w:r>
      <w:r w:rsidR="0032380D" w:rsidRPr="00AA6CFC">
        <w:rPr>
          <w:i/>
        </w:rPr>
        <w:t xml:space="preserve">i </w:t>
      </w:r>
      <w:r w:rsidR="0032380D" w:rsidRPr="009F79DD">
        <w:t xml:space="preserve">poskytována každému jednotlivému </w:t>
      </w:r>
      <w:r w:rsidR="0032380D">
        <w:t>pojištěnci</w:t>
      </w:r>
      <w:r w:rsidR="001C2855">
        <w:t xml:space="preserve"> s tímto onemocněním v roce 2014</w:t>
      </w:r>
    </w:p>
    <w:p w:rsidR="0032380D" w:rsidRPr="009F79DD" w:rsidRDefault="00EE7212" w:rsidP="0032380D">
      <w:pPr>
        <w:ind w:left="3544" w:hanging="1417"/>
      </w:pPr>
      <w:r w:rsidRPr="009F79DD">
        <w:fldChar w:fldCharType="begin"/>
      </w:r>
      <w:r w:rsidR="0032380D" w:rsidRPr="009F79DD">
        <w:instrText xml:space="preserve"> QUOTE </w:instrText>
      </w:r>
      <w:r w:rsidR="0032380D">
        <w:rPr>
          <w:noProof/>
        </w:rPr>
        <w:drawing>
          <wp:inline distT="0" distB="0" distL="0" distR="0">
            <wp:extent cx="581025" cy="152400"/>
            <wp:effectExtent l="0" t="0" r="9525"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52400"/>
                    </a:xfrm>
                    <a:prstGeom prst="rect">
                      <a:avLst/>
                    </a:prstGeom>
                    <a:noFill/>
                    <a:ln>
                      <a:noFill/>
                    </a:ln>
                  </pic:spPr>
                </pic:pic>
              </a:graphicData>
            </a:graphic>
          </wp:inline>
        </w:drawing>
      </w:r>
      <w:r w:rsidR="0032380D" w:rsidRPr="009F79DD">
        <w:instrText xml:space="preserve"> </w:instrText>
      </w:r>
      <w:r w:rsidRPr="009F79DD">
        <w:fldChar w:fldCharType="end"/>
      </w:r>
    </w:p>
    <w:p w:rsidR="0032380D" w:rsidRPr="009F79DD" w:rsidRDefault="0032380D" w:rsidP="0032380D">
      <w:pPr>
        <w:ind w:left="1428"/>
      </w:pPr>
    </w:p>
    <w:p w:rsidR="0032380D" w:rsidRPr="009F79DD" w:rsidRDefault="0032380D" w:rsidP="0032380D">
      <w:pPr>
        <w:ind w:left="1434"/>
      </w:pPr>
    </w:p>
    <w:p w:rsidR="0032380D" w:rsidRPr="0002264A" w:rsidRDefault="0032380D" w:rsidP="00D67654">
      <w:pPr>
        <w:numPr>
          <w:ilvl w:val="2"/>
          <w:numId w:val="7"/>
        </w:numPr>
      </w:pPr>
      <w:r w:rsidRPr="0002264A">
        <w:t>Pro onemocnění:</w:t>
      </w:r>
    </w:p>
    <w:p w:rsidR="0032380D" w:rsidRPr="0002264A" w:rsidRDefault="0032380D" w:rsidP="0032380D">
      <w:pPr>
        <w:ind w:left="1434"/>
      </w:pPr>
    </w:p>
    <w:p w:rsidR="0032380D" w:rsidRPr="0002264A" w:rsidRDefault="0032380D" w:rsidP="00BC2B24">
      <w:pPr>
        <w:numPr>
          <w:ilvl w:val="4"/>
          <w:numId w:val="7"/>
        </w:numPr>
        <w:tabs>
          <w:tab w:val="clear" w:pos="2508"/>
          <w:tab w:val="num" w:pos="1843"/>
        </w:tabs>
        <w:ind w:left="1843" w:hanging="415"/>
      </w:pPr>
      <w:r w:rsidRPr="0002264A">
        <w:t xml:space="preserve">revmatoidní artritis, </w:t>
      </w:r>
    </w:p>
    <w:p w:rsidR="0032380D" w:rsidRPr="0002264A" w:rsidRDefault="0032380D" w:rsidP="00BC2B24">
      <w:pPr>
        <w:numPr>
          <w:ilvl w:val="4"/>
          <w:numId w:val="7"/>
        </w:numPr>
        <w:tabs>
          <w:tab w:val="clear" w:pos="2508"/>
          <w:tab w:val="num" w:pos="1843"/>
        </w:tabs>
        <w:ind w:left="1843" w:hanging="415"/>
      </w:pPr>
      <w:r w:rsidRPr="0002264A">
        <w:t xml:space="preserve">Bechtěrevova choroba, </w:t>
      </w:r>
    </w:p>
    <w:p w:rsidR="0032380D" w:rsidRPr="0002264A" w:rsidRDefault="0032380D" w:rsidP="00BC2B24">
      <w:pPr>
        <w:numPr>
          <w:ilvl w:val="4"/>
          <w:numId w:val="7"/>
        </w:numPr>
        <w:tabs>
          <w:tab w:val="clear" w:pos="2508"/>
          <w:tab w:val="num" w:pos="1843"/>
        </w:tabs>
        <w:ind w:left="1843" w:hanging="415"/>
      </w:pPr>
      <w:r w:rsidRPr="0002264A">
        <w:t xml:space="preserve">psoriatrická artritis, </w:t>
      </w:r>
    </w:p>
    <w:p w:rsidR="0032380D" w:rsidRPr="0002264A" w:rsidRDefault="0032380D" w:rsidP="00BC2B24">
      <w:pPr>
        <w:numPr>
          <w:ilvl w:val="4"/>
          <w:numId w:val="7"/>
        </w:numPr>
        <w:tabs>
          <w:tab w:val="clear" w:pos="2508"/>
          <w:tab w:val="num" w:pos="1843"/>
        </w:tabs>
        <w:ind w:left="1843" w:hanging="415"/>
      </w:pPr>
      <w:r w:rsidRPr="0002264A">
        <w:t xml:space="preserve">Crohnova choroba, </w:t>
      </w:r>
    </w:p>
    <w:p w:rsidR="0032380D" w:rsidRPr="0002264A" w:rsidRDefault="0032380D" w:rsidP="00BC2B24">
      <w:pPr>
        <w:numPr>
          <w:ilvl w:val="4"/>
          <w:numId w:val="7"/>
        </w:numPr>
        <w:tabs>
          <w:tab w:val="clear" w:pos="2508"/>
          <w:tab w:val="num" w:pos="1843"/>
        </w:tabs>
        <w:ind w:left="1843" w:hanging="415"/>
      </w:pPr>
      <w:r w:rsidRPr="0002264A">
        <w:t xml:space="preserve">colitis ulcerosa, </w:t>
      </w:r>
    </w:p>
    <w:p w:rsidR="0032380D" w:rsidRPr="0002264A" w:rsidRDefault="0032380D" w:rsidP="00BC2B24">
      <w:pPr>
        <w:numPr>
          <w:ilvl w:val="4"/>
          <w:numId w:val="7"/>
        </w:numPr>
        <w:tabs>
          <w:tab w:val="clear" w:pos="2508"/>
          <w:tab w:val="num" w:pos="1843"/>
        </w:tabs>
        <w:ind w:left="1843" w:hanging="415"/>
      </w:pPr>
      <w:r w:rsidRPr="0002264A">
        <w:t xml:space="preserve">psoriáza těžká, </w:t>
      </w:r>
    </w:p>
    <w:p w:rsidR="0032380D" w:rsidRPr="0002264A" w:rsidRDefault="0032380D" w:rsidP="00BC2B24">
      <w:pPr>
        <w:numPr>
          <w:ilvl w:val="4"/>
          <w:numId w:val="7"/>
        </w:numPr>
        <w:tabs>
          <w:tab w:val="clear" w:pos="2508"/>
          <w:tab w:val="num" w:pos="1843"/>
        </w:tabs>
        <w:ind w:left="1843" w:hanging="415"/>
      </w:pPr>
      <w:r w:rsidRPr="0002264A">
        <w:t xml:space="preserve">roztroušená skleróza, </w:t>
      </w:r>
    </w:p>
    <w:p w:rsidR="0032380D" w:rsidRPr="0002264A" w:rsidRDefault="0032380D" w:rsidP="00BC2B24">
      <w:pPr>
        <w:numPr>
          <w:ilvl w:val="4"/>
          <w:numId w:val="7"/>
        </w:numPr>
        <w:tabs>
          <w:tab w:val="clear" w:pos="2508"/>
          <w:tab w:val="num" w:pos="1843"/>
        </w:tabs>
        <w:ind w:left="1843" w:hanging="415"/>
      </w:pPr>
      <w:r w:rsidRPr="0002264A">
        <w:t xml:space="preserve">plicní arteriální hypertenze, </w:t>
      </w:r>
    </w:p>
    <w:p w:rsidR="0032380D" w:rsidRPr="0002264A" w:rsidRDefault="0032380D" w:rsidP="00BC2B24">
      <w:pPr>
        <w:numPr>
          <w:ilvl w:val="4"/>
          <w:numId w:val="7"/>
        </w:numPr>
        <w:tabs>
          <w:tab w:val="clear" w:pos="2508"/>
          <w:tab w:val="num" w:pos="1843"/>
        </w:tabs>
        <w:ind w:left="1843" w:hanging="415"/>
      </w:pPr>
      <w:r w:rsidRPr="0002264A">
        <w:t>astma,</w:t>
      </w:r>
    </w:p>
    <w:p w:rsidR="0032380D" w:rsidRPr="0002264A" w:rsidRDefault="0032380D" w:rsidP="00BC2B24">
      <w:pPr>
        <w:numPr>
          <w:ilvl w:val="4"/>
          <w:numId w:val="7"/>
        </w:numPr>
        <w:tabs>
          <w:tab w:val="clear" w:pos="2508"/>
          <w:tab w:val="num" w:pos="1843"/>
        </w:tabs>
        <w:ind w:left="1843" w:hanging="415"/>
      </w:pPr>
      <w:r w:rsidRPr="0002264A">
        <w:t>Parkinsonova choroba a</w:t>
      </w:r>
    </w:p>
    <w:p w:rsidR="0032380D" w:rsidRPr="0002264A" w:rsidRDefault="0032380D" w:rsidP="00BC2B24">
      <w:pPr>
        <w:numPr>
          <w:ilvl w:val="4"/>
          <w:numId w:val="7"/>
        </w:numPr>
        <w:tabs>
          <w:tab w:val="clear" w:pos="2508"/>
          <w:tab w:val="num" w:pos="1843"/>
        </w:tabs>
        <w:ind w:left="1843" w:hanging="415"/>
      </w:pPr>
      <w:r w:rsidRPr="0002264A">
        <w:t>juvenilní artritida</w:t>
      </w:r>
    </w:p>
    <w:p w:rsidR="0032380D" w:rsidRPr="0002264A" w:rsidRDefault="0032380D" w:rsidP="0032380D">
      <w:pPr>
        <w:ind w:left="1434"/>
      </w:pPr>
    </w:p>
    <w:p w:rsidR="0032380D" w:rsidRPr="001F2967" w:rsidRDefault="0032380D" w:rsidP="0032380D">
      <w:pPr>
        <w:ind w:left="1434"/>
      </w:pPr>
      <w:r w:rsidRPr="001F2967">
        <w:t xml:space="preserve">se stanoví maximální úhrada ve výši </w:t>
      </w:r>
      <w:r w:rsidR="00745A78" w:rsidRPr="00745A78">
        <w:t>96</w:t>
      </w:r>
      <w:r w:rsidRPr="00745A78">
        <w:t xml:space="preserve"> %</w:t>
      </w:r>
      <w:r w:rsidRPr="001F2967">
        <w:t xml:space="preserve"> dvanáctinásobku průměrné měsíční úhrady v</w:t>
      </w:r>
      <w:r w:rsidR="00AA6CFC">
        <w:t>ypočtené z těch měsíců roku 2014</w:t>
      </w:r>
      <w:r w:rsidRPr="001F2967">
        <w:t>, během nichž byla l</w:t>
      </w:r>
      <w:r w:rsidR="00AA6CFC">
        <w:t xml:space="preserve">éčba poskytována, </w:t>
      </w:r>
      <w:r w:rsidR="00AA6CFC" w:rsidRPr="00745A78">
        <w:t xml:space="preserve">vynásobené </w:t>
      </w:r>
      <w:r w:rsidR="00745A78" w:rsidRPr="00745A78">
        <w:t>105</w:t>
      </w:r>
      <w:r w:rsidRPr="00745A78">
        <w:t xml:space="preserve"> % počtu</w:t>
      </w:r>
      <w:r w:rsidRPr="001F2967">
        <w:t xml:space="preserve"> unikátních</w:t>
      </w:r>
      <w:r w:rsidR="00AA6CFC">
        <w:t xml:space="preserve"> pojištěnců léčených v roce 2014</w:t>
      </w:r>
      <w:r w:rsidRPr="001F2967">
        <w:t>. Maximální úhrada se vypočte takto:</w:t>
      </w:r>
    </w:p>
    <w:p w:rsidR="0032380D" w:rsidRPr="0002264A" w:rsidRDefault="0032380D" w:rsidP="0032380D">
      <w:pPr>
        <w:ind w:left="1434"/>
      </w:pPr>
    </w:p>
    <w:p w:rsidR="0032380D" w:rsidRPr="0002264A" w:rsidRDefault="0032380D" w:rsidP="0032380D">
      <w:pPr>
        <w:ind w:left="1434"/>
      </w:pPr>
    </w:p>
    <w:p w:rsidR="0032380D" w:rsidRPr="0002264A" w:rsidRDefault="0032380D" w:rsidP="0032380D">
      <w:pPr>
        <w:ind w:left="1434"/>
      </w:pPr>
    </w:p>
    <w:p w:rsidR="0032380D" w:rsidRPr="0002264A" w:rsidRDefault="00EE7212" w:rsidP="0032380D">
      <w:pPr>
        <w:ind w:left="1434"/>
      </w:pPr>
      <m:oMathPara>
        <m:oMath>
          <m:sSub>
            <m:sSubPr>
              <m:ctrlPr>
                <w:rPr>
                  <w:rFonts w:ascii="Cambria Math" w:hAnsi="Cambria Math"/>
                  <w:i/>
                </w:rPr>
              </m:ctrlPr>
            </m:sSubPr>
            <m:e>
              <m:r>
                <w:rPr>
                  <w:rFonts w:ascii="Cambria Math" w:hAnsi="Cambria Math"/>
                </w:rPr>
                <m:t>Uhr</m:t>
              </m:r>
            </m:e>
            <m:sub>
              <m:r>
                <w:rPr>
                  <w:rFonts w:ascii="Cambria Math" w:hAnsi="Cambria Math"/>
                </w:rPr>
                <m:t>max</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r>
                    <w:rPr>
                      <w:rFonts w:ascii="Cambria Math" w:hAnsi="Cambria Math"/>
                    </w:rPr>
                    <m:t>0,96*12*</m:t>
                  </m:r>
                  <m:f>
                    <m:fPr>
                      <m:ctrlPr>
                        <w:rPr>
                          <w:rFonts w:ascii="Cambria Math" w:hAnsi="Cambria Math"/>
                          <w:i/>
                        </w:rPr>
                      </m:ctrlPr>
                    </m:fPr>
                    <m:num>
                      <m:sSub>
                        <m:sSubPr>
                          <m:ctrlPr>
                            <w:rPr>
                              <w:rFonts w:ascii="Cambria Math" w:hAnsi="Cambria Math"/>
                              <w:i/>
                            </w:rPr>
                          </m:ctrlPr>
                        </m:sSubPr>
                        <m:e>
                          <m:r>
                            <w:rPr>
                              <w:rFonts w:ascii="Cambria Math" w:hAnsi="Cambria Math"/>
                            </w:rPr>
                            <m:t>Uhr</m:t>
                          </m:r>
                        </m:e>
                        <m:sub>
                          <m:r>
                            <w:rPr>
                              <w:rFonts w:ascii="Cambria Math" w:hAnsi="Cambria Math"/>
                            </w:rPr>
                            <m:t>i,2014</m:t>
                          </m:r>
                        </m:sub>
                      </m:sSub>
                    </m:num>
                    <m:den>
                      <m:sSub>
                        <m:sSubPr>
                          <m:ctrlPr>
                            <w:rPr>
                              <w:rFonts w:ascii="Cambria Math" w:hAnsi="Cambria Math"/>
                              <w:i/>
                            </w:rPr>
                          </m:ctrlPr>
                        </m:sSubPr>
                        <m:e>
                          <m:r>
                            <w:rPr>
                              <w:rFonts w:ascii="Cambria Math" w:hAnsi="Cambria Math"/>
                            </w:rPr>
                            <m:t>M</m:t>
                          </m:r>
                        </m:e>
                        <m:sub>
                          <m:r>
                            <w:rPr>
                              <w:rFonts w:ascii="Cambria Math" w:hAnsi="Cambria Math"/>
                            </w:rPr>
                            <m:t>i,2014</m:t>
                          </m:r>
                        </m:sub>
                      </m:sSub>
                    </m:den>
                  </m:f>
                  <m:r>
                    <w:rPr>
                      <w:rFonts w:ascii="Cambria Math" w:hAnsi="Cambria Math"/>
                    </w:rPr>
                    <m:t>*</m:t>
                  </m:r>
                  <m:sSub>
                    <m:sSubPr>
                      <m:ctrlPr>
                        <w:rPr>
                          <w:rFonts w:ascii="Cambria Math" w:hAnsi="Cambria Math"/>
                          <w:i/>
                        </w:rPr>
                      </m:ctrlPr>
                    </m:sSubPr>
                    <m:e>
                      <m:r>
                        <w:rPr>
                          <w:rFonts w:ascii="Cambria Math" w:hAnsi="Cambria Math"/>
                        </w:rPr>
                        <m:t>UOP</m:t>
                      </m:r>
                    </m:e>
                    <m:sub>
                      <m:r>
                        <w:rPr>
                          <w:rFonts w:ascii="Cambria Math" w:hAnsi="Cambria Math"/>
                        </w:rPr>
                        <m:t>i,2014</m:t>
                      </m:r>
                    </m:sub>
                  </m:sSub>
                  <m:r>
                    <w:rPr>
                      <w:rFonts w:ascii="Cambria Math" w:hAnsi="Cambria Math"/>
                    </w:rPr>
                    <m:t>*1,05</m:t>
                  </m:r>
                </m:e>
              </m:d>
            </m:e>
          </m:nary>
        </m:oMath>
      </m:oMathPara>
    </w:p>
    <w:p w:rsidR="0032380D" w:rsidRPr="0002264A" w:rsidRDefault="0032380D" w:rsidP="0032380D">
      <w:pPr>
        <w:ind w:left="1434"/>
      </w:pPr>
    </w:p>
    <w:p w:rsidR="0032380D" w:rsidRPr="0002264A" w:rsidRDefault="0032380D" w:rsidP="0032380D">
      <w:pPr>
        <w:ind w:left="3544" w:hanging="1417"/>
      </w:pPr>
      <w:r w:rsidRPr="0002264A">
        <w:rPr>
          <w:i/>
        </w:rPr>
        <w:t>i</w:t>
      </w:r>
      <w:r w:rsidRPr="0002264A">
        <w:rPr>
          <w:i/>
        </w:rPr>
        <w:tab/>
      </w:r>
      <w:r w:rsidRPr="0002264A">
        <w:t xml:space="preserve">nabývá hodnot 1 až </w:t>
      </w:r>
      <w:r w:rsidRPr="0002264A">
        <w:rPr>
          <w:i/>
        </w:rPr>
        <w:t>n</w:t>
      </w:r>
      <w:r w:rsidRPr="0002264A">
        <w:t xml:space="preserve">, kde </w:t>
      </w:r>
      <w:r w:rsidRPr="0002264A">
        <w:rPr>
          <w:i/>
        </w:rPr>
        <w:t>n</w:t>
      </w:r>
      <w:r w:rsidRPr="0002264A">
        <w:t xml:space="preserve"> je počet výše uvedených onemocnění</w:t>
      </w:r>
    </w:p>
    <w:p w:rsidR="0032380D" w:rsidRPr="0002264A" w:rsidRDefault="0032380D" w:rsidP="0032380D">
      <w:pPr>
        <w:ind w:left="3544" w:hanging="1417"/>
      </w:pPr>
    </w:p>
    <w:p w:rsidR="0032380D" w:rsidRPr="009F79DD" w:rsidRDefault="00EE7212" w:rsidP="0032380D">
      <w:pPr>
        <w:ind w:left="3544" w:hanging="1417"/>
      </w:pPr>
      <w:r w:rsidRPr="0002264A">
        <w:fldChar w:fldCharType="begin"/>
      </w:r>
      <w:r w:rsidR="0032380D" w:rsidRPr="0002264A">
        <w:instrText xml:space="preserve"> QUOTE </w:instrText>
      </w:r>
      <w:r w:rsidR="0032380D" w:rsidRPr="0002264A">
        <w:rPr>
          <w:noProof/>
        </w:rPr>
        <w:drawing>
          <wp:inline distT="0" distB="0" distL="0" distR="0">
            <wp:extent cx="590550" cy="152400"/>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0032380D" w:rsidRPr="0002264A">
        <w:instrText xml:space="preserve"> </w:instrText>
      </w:r>
      <w:r w:rsidRPr="0002264A">
        <w:fldChar w:fldCharType="end"/>
      </w:r>
      <m:oMath>
        <m:sSub>
          <m:sSubPr>
            <m:ctrlPr>
              <w:rPr>
                <w:rFonts w:ascii="Cambria Math" w:hAnsi="Cambria Math"/>
                <w:i/>
              </w:rPr>
            </m:ctrlPr>
          </m:sSubPr>
          <m:e>
            <m:r>
              <w:rPr>
                <w:rFonts w:ascii="Cambria Math" w:hAnsi="Cambria Math"/>
              </w:rPr>
              <m:t>Uhr</m:t>
            </m:r>
          </m:e>
          <m:sub>
            <m:r>
              <w:rPr>
                <w:rFonts w:ascii="Cambria Math" w:hAnsi="Cambria Math"/>
              </w:rPr>
              <m:t>max</m:t>
            </m:r>
          </m:sub>
        </m:sSub>
      </m:oMath>
      <w:r w:rsidR="00AA6CFC">
        <w:tab/>
        <w:t>je maximální úhrada v roce 2015</w:t>
      </w:r>
    </w:p>
    <w:p w:rsidR="0032380D" w:rsidRPr="009F79DD" w:rsidRDefault="0032380D" w:rsidP="0032380D">
      <w:pPr>
        <w:ind w:left="3544" w:hanging="1417"/>
      </w:pPr>
    </w:p>
    <w:p w:rsidR="0032380D" w:rsidRPr="009F79DD" w:rsidRDefault="00EE7212" w:rsidP="0032380D">
      <w:pPr>
        <w:ind w:left="3544" w:hanging="1417"/>
      </w:pPr>
      <w:r w:rsidRPr="009F79DD">
        <w:fldChar w:fldCharType="begin"/>
      </w:r>
      <w:r w:rsidR="0032380D" w:rsidRPr="009F79DD">
        <w:instrText xml:space="preserve"> QUOTE </w:instrText>
      </w:r>
      <w:r w:rsidR="0032380D">
        <w:rPr>
          <w:noProof/>
        </w:rPr>
        <w:drawing>
          <wp:inline distT="0" distB="0" distL="0" distR="0">
            <wp:extent cx="552450" cy="152400"/>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i/>
              </w:rPr>
            </m:ctrlPr>
          </m:sSubPr>
          <m:e>
            <m:r>
              <w:rPr>
                <w:rFonts w:ascii="Cambria Math" w:hAnsi="Cambria Math"/>
              </w:rPr>
              <m:t>Uhr</m:t>
            </m:r>
          </m:e>
          <m:sub>
            <m:r>
              <w:rPr>
                <w:rFonts w:ascii="Cambria Math" w:hAnsi="Cambria Math"/>
              </w:rPr>
              <m:t>i,2014</m:t>
            </m:r>
          </m:sub>
        </m:sSub>
      </m:oMath>
      <w:r w:rsidR="00AA6CFC">
        <w:tab/>
        <w:t>je celková úhrada v roce 2014</w:t>
      </w:r>
      <w:r w:rsidR="0032380D" w:rsidRPr="009F79DD">
        <w:t xml:space="preserve"> za léčbu onemocnění </w:t>
      </w:r>
      <w:r w:rsidR="0032380D" w:rsidRPr="002118EA">
        <w:rPr>
          <w:i/>
        </w:rPr>
        <w:t>i</w:t>
      </w:r>
    </w:p>
    <w:p w:rsidR="0032380D" w:rsidRPr="009F79DD" w:rsidRDefault="0032380D" w:rsidP="0032380D">
      <w:pPr>
        <w:ind w:left="3544" w:hanging="1417"/>
      </w:pPr>
    </w:p>
    <w:p w:rsidR="0032380D" w:rsidRPr="009F79DD" w:rsidRDefault="00EE7212" w:rsidP="0032380D">
      <w:pPr>
        <w:ind w:left="3544" w:hanging="1417"/>
      </w:pPr>
      <w:r w:rsidRPr="009F79DD">
        <w:fldChar w:fldCharType="begin"/>
      </w:r>
      <w:r w:rsidR="0032380D" w:rsidRPr="009F79DD">
        <w:instrText xml:space="preserve"> QUOTE </w:instrText>
      </w:r>
      <w:r w:rsidR="0032380D">
        <w:rPr>
          <w:noProof/>
        </w:rPr>
        <w:drawing>
          <wp:inline distT="0" distB="0" distL="0" distR="0">
            <wp:extent cx="428625" cy="152400"/>
            <wp:effectExtent l="0" t="0" r="9525"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i/>
              </w:rPr>
            </m:ctrlPr>
          </m:sSubPr>
          <m:e>
            <m:r>
              <w:rPr>
                <w:rFonts w:ascii="Cambria Math" w:hAnsi="Cambria Math"/>
              </w:rPr>
              <m:t>M</m:t>
            </m:r>
          </m:e>
          <m:sub>
            <m:r>
              <w:rPr>
                <w:rFonts w:ascii="Cambria Math" w:hAnsi="Cambria Math"/>
              </w:rPr>
              <m:t>i,2014</m:t>
            </m:r>
          </m:sub>
        </m:sSub>
      </m:oMath>
      <w:r w:rsidR="0032380D" w:rsidRPr="009F79DD">
        <w:tab/>
        <w:t xml:space="preserve">je součet měsíců, po které byla léčba onemocnění </w:t>
      </w:r>
      <w:r w:rsidR="0032380D" w:rsidRPr="002118EA">
        <w:rPr>
          <w:i/>
        </w:rPr>
        <w:t>i</w:t>
      </w:r>
      <w:r w:rsidR="0032380D" w:rsidRPr="009F79DD">
        <w:t xml:space="preserve"> poskytována každému jednotlivému pacientovi</w:t>
      </w:r>
      <w:r w:rsidR="00AA6CFC">
        <w:t xml:space="preserve"> s tímto onemocněním v roce 2014</w:t>
      </w:r>
    </w:p>
    <w:p w:rsidR="0032380D" w:rsidRPr="009F79DD" w:rsidRDefault="0032380D" w:rsidP="0032380D">
      <w:pPr>
        <w:ind w:left="3544" w:hanging="1417"/>
      </w:pPr>
    </w:p>
    <w:p w:rsidR="0032380D" w:rsidRPr="009F79DD" w:rsidRDefault="00EE7212" w:rsidP="0032380D">
      <w:pPr>
        <w:ind w:left="3544" w:hanging="1417"/>
      </w:pPr>
      <w:r w:rsidRPr="009F79DD">
        <w:lastRenderedPageBreak/>
        <w:fldChar w:fldCharType="begin"/>
      </w:r>
      <w:r w:rsidR="0032380D" w:rsidRPr="009F79DD">
        <w:instrText xml:space="preserve"> QUOTE </w:instrText>
      </w:r>
      <w:r w:rsidR="0032380D">
        <w:rPr>
          <w:noProof/>
        </w:rPr>
        <w:drawing>
          <wp:inline distT="0" distB="0" distL="0" distR="0">
            <wp:extent cx="581025" cy="152400"/>
            <wp:effectExtent l="0" t="0" r="9525"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524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i/>
              </w:rPr>
            </m:ctrlPr>
          </m:sSubPr>
          <m:e>
            <m:r>
              <w:rPr>
                <w:rFonts w:ascii="Cambria Math" w:hAnsi="Cambria Math"/>
              </w:rPr>
              <m:t>UOP</m:t>
            </m:r>
          </m:e>
          <m:sub>
            <m:r>
              <w:rPr>
                <w:rFonts w:ascii="Cambria Math" w:hAnsi="Cambria Math"/>
              </w:rPr>
              <m:t>i,2014</m:t>
            </m:r>
          </m:sub>
        </m:sSub>
      </m:oMath>
      <w:r w:rsidR="0032380D" w:rsidRPr="009F79DD">
        <w:tab/>
        <w:t>je počet unikátních</w:t>
      </w:r>
      <w:r w:rsidR="00AA6CFC">
        <w:t xml:space="preserve"> pojištěnců léčených v roce 2014</w:t>
      </w:r>
      <w:r w:rsidR="0032380D" w:rsidRPr="009F79DD">
        <w:t xml:space="preserve"> na příslušné onemocnění uvedené v písmenech a) až </w:t>
      </w:r>
      <w:r w:rsidR="0032380D">
        <w:t>k</w:t>
      </w:r>
      <w:r w:rsidR="00AA6CFC">
        <w:t>)</w:t>
      </w:r>
    </w:p>
    <w:p w:rsidR="0032380D" w:rsidRDefault="0032380D" w:rsidP="0032380D">
      <w:pPr>
        <w:ind w:left="3544" w:hanging="1417"/>
      </w:pPr>
    </w:p>
    <w:p w:rsidR="00096229" w:rsidRPr="009F79DD" w:rsidRDefault="00096229" w:rsidP="0032380D">
      <w:pPr>
        <w:ind w:left="3544" w:hanging="1417"/>
      </w:pPr>
    </w:p>
    <w:p w:rsidR="0032380D" w:rsidRPr="009F79DD" w:rsidRDefault="0032380D" w:rsidP="0032380D">
      <w:pPr>
        <w:ind w:left="1434"/>
      </w:pPr>
    </w:p>
    <w:p w:rsidR="0032380D" w:rsidRPr="00745A78" w:rsidRDefault="0032380D" w:rsidP="00D67654">
      <w:pPr>
        <w:numPr>
          <w:ilvl w:val="2"/>
          <w:numId w:val="7"/>
        </w:numPr>
      </w:pPr>
      <w:r w:rsidRPr="001F2967">
        <w:t xml:space="preserve">Pro onemocnění neuvedená v bodech 2.2.1 a 2.2.2 se stanoví maximální úhrada ve výši </w:t>
      </w:r>
      <w:r w:rsidR="00745A78">
        <w:t>96</w:t>
      </w:r>
      <w:r w:rsidRPr="00745A78">
        <w:t xml:space="preserve"> % </w:t>
      </w:r>
      <w:r w:rsidR="009D7B07" w:rsidRPr="00745A78">
        <w:t xml:space="preserve">násobku </w:t>
      </w:r>
      <w:r w:rsidRPr="00745A78">
        <w:t>průměrné měsíční úhrady v</w:t>
      </w:r>
      <w:r w:rsidR="00AA6CFC" w:rsidRPr="00745A78">
        <w:t>ypočtené z těch měsíců roku 2014</w:t>
      </w:r>
      <w:r w:rsidRPr="00745A78">
        <w:t>, během nichž byla léčba poskytována, vynásobené 102 % počtu unikátních po</w:t>
      </w:r>
      <w:r w:rsidR="00AA6CFC" w:rsidRPr="00745A78">
        <w:t>jištěnců, kterým byl v roce 2014</w:t>
      </w:r>
      <w:r w:rsidRPr="00745A78">
        <w:t xml:space="preserve"> léčivý přípravek na některé z onemocnění neuvedených v bodě 2.2.1 nebo v bodě 2.2.2 podán. Maximální úhrada se vypočte takto:</w:t>
      </w:r>
    </w:p>
    <w:p w:rsidR="0032380D" w:rsidRPr="00745A78" w:rsidRDefault="0032380D" w:rsidP="004065AD"/>
    <w:p w:rsidR="0032380D" w:rsidRPr="00745A78" w:rsidRDefault="0032380D" w:rsidP="0032380D">
      <w:pPr>
        <w:ind w:left="1434"/>
      </w:pPr>
    </w:p>
    <w:p w:rsidR="0032380D" w:rsidRPr="00875A49" w:rsidRDefault="00EE7212" w:rsidP="0032380D">
      <w:pPr>
        <w:ind w:left="1434"/>
      </w:pPr>
      <m:oMathPara>
        <m:oMath>
          <m:sSub>
            <m:sSubPr>
              <m:ctrlPr>
                <w:rPr>
                  <w:rFonts w:ascii="Cambria Math" w:hAnsi="Cambria Math"/>
                  <w:i/>
                </w:rPr>
              </m:ctrlPr>
            </m:sSubPr>
            <m:e>
              <m:r>
                <w:rPr>
                  <w:rFonts w:ascii="Cambria Math" w:hAnsi="Cambria Math"/>
                </w:rPr>
                <m:t>Uhr</m:t>
              </m:r>
            </m:e>
            <m:sub>
              <m:r>
                <w:rPr>
                  <w:rFonts w:ascii="Cambria Math" w:hAnsi="Cambria Math"/>
                </w:rPr>
                <m:t>max</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r>
                    <w:rPr>
                      <w:rFonts w:ascii="Cambria Math" w:hAnsi="Cambria Math"/>
                    </w:rPr>
                    <m:t xml:space="preserve">0,96* </m:t>
                  </m:r>
                  <m:sSub>
                    <m:sSubPr>
                      <m:ctrlPr>
                        <w:rPr>
                          <w:rFonts w:ascii="Cambria Math" w:hAnsi="Cambria Math"/>
                          <w:i/>
                        </w:rPr>
                      </m:ctrlPr>
                    </m:sSubPr>
                    <m:e>
                      <m:r>
                        <w:rPr>
                          <w:rFonts w:ascii="Cambria Math" w:hAnsi="Cambria Math"/>
                        </w:rPr>
                        <m:t>X</m:t>
                      </m:r>
                    </m:e>
                    <m:sub>
                      <m:r>
                        <w:rPr>
                          <w:rFonts w:ascii="Cambria Math" w:hAnsi="Cambria Math"/>
                        </w:rPr>
                        <m:t>2014</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Uhr</m:t>
                          </m:r>
                        </m:e>
                        <m:sub>
                          <m:r>
                            <w:rPr>
                              <w:rFonts w:ascii="Cambria Math" w:hAnsi="Cambria Math"/>
                            </w:rPr>
                            <m:t>i,2014</m:t>
                          </m:r>
                        </m:sub>
                      </m:sSub>
                    </m:num>
                    <m:den>
                      <m:sSub>
                        <m:sSubPr>
                          <m:ctrlPr>
                            <w:rPr>
                              <w:rFonts w:ascii="Cambria Math" w:hAnsi="Cambria Math"/>
                              <w:i/>
                            </w:rPr>
                          </m:ctrlPr>
                        </m:sSubPr>
                        <m:e>
                          <m:r>
                            <w:rPr>
                              <w:rFonts w:ascii="Cambria Math" w:hAnsi="Cambria Math"/>
                            </w:rPr>
                            <m:t>M</m:t>
                          </m:r>
                        </m:e>
                        <m:sub>
                          <m:r>
                            <w:rPr>
                              <w:rFonts w:ascii="Cambria Math" w:hAnsi="Cambria Math"/>
                            </w:rPr>
                            <m:t>i,2014</m:t>
                          </m:r>
                        </m:sub>
                      </m:sSub>
                    </m:den>
                  </m:f>
                  <m:r>
                    <w:rPr>
                      <w:rFonts w:ascii="Cambria Math" w:hAnsi="Cambria Math"/>
                    </w:rPr>
                    <m:t>*</m:t>
                  </m:r>
                  <m:sSub>
                    <m:sSubPr>
                      <m:ctrlPr>
                        <w:rPr>
                          <w:rFonts w:ascii="Cambria Math" w:hAnsi="Cambria Math"/>
                          <w:i/>
                        </w:rPr>
                      </m:ctrlPr>
                    </m:sSubPr>
                    <m:e>
                      <m:r>
                        <w:rPr>
                          <w:rFonts w:ascii="Cambria Math" w:hAnsi="Cambria Math"/>
                        </w:rPr>
                        <m:t>UOP</m:t>
                      </m:r>
                    </m:e>
                    <m:sub>
                      <m:r>
                        <w:rPr>
                          <w:rFonts w:ascii="Cambria Math" w:hAnsi="Cambria Math"/>
                        </w:rPr>
                        <m:t>i,2014</m:t>
                      </m:r>
                    </m:sub>
                  </m:sSub>
                  <m:r>
                    <w:rPr>
                      <w:rFonts w:ascii="Cambria Math" w:hAnsi="Cambria Math"/>
                    </w:rPr>
                    <m:t>*1,02</m:t>
                  </m:r>
                </m:e>
              </m:d>
            </m:e>
          </m:nary>
        </m:oMath>
      </m:oMathPara>
    </w:p>
    <w:p w:rsidR="00875A49" w:rsidRDefault="00875A49" w:rsidP="0032380D">
      <w:pPr>
        <w:ind w:left="1434"/>
      </w:pPr>
    </w:p>
    <w:p w:rsidR="00875A49" w:rsidRDefault="00875A49" w:rsidP="00745A78"/>
    <w:p w:rsidR="0032380D" w:rsidRPr="009F79DD" w:rsidRDefault="0032380D" w:rsidP="0032380D">
      <w:pPr>
        <w:ind w:left="1434"/>
      </w:pPr>
    </w:p>
    <w:p w:rsidR="0032380D" w:rsidRPr="009F79DD" w:rsidRDefault="0032380D" w:rsidP="0032380D">
      <w:pPr>
        <w:ind w:left="3544" w:hanging="1417"/>
      </w:pPr>
      <w:r w:rsidRPr="009F79DD">
        <w:rPr>
          <w:i/>
        </w:rPr>
        <w:t>i</w:t>
      </w:r>
      <w:r w:rsidRPr="009F79DD">
        <w:rPr>
          <w:i/>
        </w:rPr>
        <w:tab/>
      </w:r>
      <w:r w:rsidRPr="009F79DD">
        <w:t>nabývá hodnot 1 až n, kde n je počet onemocnění spadajících do bodu 2.2.3</w:t>
      </w:r>
    </w:p>
    <w:p w:rsidR="0032380D" w:rsidRPr="009F79DD" w:rsidRDefault="0032380D" w:rsidP="0032380D">
      <w:pPr>
        <w:ind w:left="3544" w:hanging="1417"/>
      </w:pPr>
    </w:p>
    <w:p w:rsidR="0032380D" w:rsidRDefault="00EE7212" w:rsidP="0032380D">
      <w:pPr>
        <w:ind w:left="3544" w:hanging="1417"/>
      </w:pPr>
      <w:r w:rsidRPr="009F79DD">
        <w:fldChar w:fldCharType="begin"/>
      </w:r>
      <w:r w:rsidR="0032380D" w:rsidRPr="009F79DD">
        <w:instrText xml:space="preserve"> QUOTE </w:instrText>
      </w:r>
      <w:r w:rsidR="0032380D">
        <w:rPr>
          <w:noProof/>
        </w:rPr>
        <w:drawing>
          <wp:inline distT="0" distB="0" distL="0" distR="0">
            <wp:extent cx="590550" cy="152400"/>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i/>
              </w:rPr>
            </m:ctrlPr>
          </m:sSubPr>
          <m:e>
            <m:r>
              <w:rPr>
                <w:rFonts w:ascii="Cambria Math" w:hAnsi="Cambria Math"/>
              </w:rPr>
              <m:t>Uhr</m:t>
            </m:r>
          </m:e>
          <m:sub>
            <m:r>
              <w:rPr>
                <w:rFonts w:ascii="Cambria Math" w:hAnsi="Cambria Math"/>
              </w:rPr>
              <m:t>max</m:t>
            </m:r>
          </m:sub>
        </m:sSub>
      </m:oMath>
      <w:r w:rsidR="00AA6CFC">
        <w:tab/>
        <w:t>je maximální úhrada v roce 2015</w:t>
      </w:r>
    </w:p>
    <w:p w:rsidR="009D7B07" w:rsidRDefault="009D7B07" w:rsidP="0032380D">
      <w:pPr>
        <w:ind w:left="3544" w:hanging="1417"/>
      </w:pPr>
    </w:p>
    <w:p w:rsidR="0032380D" w:rsidRDefault="009D7B07" w:rsidP="0032380D">
      <w:pPr>
        <w:ind w:left="3544" w:hanging="1417"/>
      </w:pPr>
      <w:r>
        <w:rPr>
          <w:i/>
        </w:rPr>
        <w:t>X</w:t>
      </w:r>
      <w:r w:rsidRPr="009D7B07">
        <w:rPr>
          <w:i/>
          <w:vertAlign w:val="subscript"/>
        </w:rPr>
        <w:t>2014</w:t>
      </w:r>
      <w:r>
        <w:rPr>
          <w:i/>
        </w:rPr>
        <w:t xml:space="preserve"> </w:t>
      </w:r>
      <w:r>
        <w:rPr>
          <w:i/>
        </w:rPr>
        <w:tab/>
      </w:r>
      <w:r w:rsidRPr="009D7B07">
        <w:t xml:space="preserve">je násobek </w:t>
      </w:r>
      <w:r w:rsidR="007C40A6" w:rsidRPr="001F2967">
        <w:t>průměrné měsíční úhrady v</w:t>
      </w:r>
      <w:r w:rsidR="007C40A6">
        <w:t>ypočtené z těch měsíců roku 2014</w:t>
      </w:r>
      <w:r w:rsidR="007C40A6" w:rsidRPr="001F2967">
        <w:t>, během nichž byla léčba poskytována</w:t>
      </w:r>
      <w:r w:rsidR="007C40A6">
        <w:t xml:space="preserve"> </w:t>
      </w:r>
    </w:p>
    <w:p w:rsidR="007C40A6" w:rsidRPr="009F79DD" w:rsidRDefault="007C40A6" w:rsidP="0032380D">
      <w:pPr>
        <w:ind w:left="3544" w:hanging="1417"/>
      </w:pPr>
    </w:p>
    <w:p w:rsidR="0032380D" w:rsidRPr="009F79DD" w:rsidRDefault="00EE7212" w:rsidP="0032380D">
      <w:pPr>
        <w:ind w:left="3544" w:hanging="1417"/>
      </w:pPr>
      <w:r w:rsidRPr="009F79DD">
        <w:fldChar w:fldCharType="begin"/>
      </w:r>
      <w:r w:rsidR="0032380D" w:rsidRPr="009F79DD">
        <w:instrText xml:space="preserve"> QUOTE </w:instrText>
      </w:r>
      <w:r w:rsidR="0032380D">
        <w:rPr>
          <w:noProof/>
        </w:rPr>
        <w:drawing>
          <wp:inline distT="0" distB="0" distL="0" distR="0">
            <wp:extent cx="552450" cy="152400"/>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i/>
              </w:rPr>
            </m:ctrlPr>
          </m:sSubPr>
          <m:e>
            <m:r>
              <w:rPr>
                <w:rFonts w:ascii="Cambria Math" w:hAnsi="Cambria Math"/>
              </w:rPr>
              <m:t>Uhr</m:t>
            </m:r>
          </m:e>
          <m:sub>
            <m:r>
              <w:rPr>
                <w:rFonts w:ascii="Cambria Math" w:hAnsi="Cambria Math"/>
              </w:rPr>
              <m:t>i,2014</m:t>
            </m:r>
          </m:sub>
        </m:sSub>
      </m:oMath>
      <w:r w:rsidR="00AA6CFC">
        <w:tab/>
        <w:t>je celková úhrada v roce 2014</w:t>
      </w:r>
      <w:r w:rsidR="0032380D" w:rsidRPr="009F79DD">
        <w:t xml:space="preserve"> za léčbu onemocnění </w:t>
      </w:r>
      <w:r w:rsidR="0032380D" w:rsidRPr="00AA6CFC">
        <w:rPr>
          <w:i/>
        </w:rPr>
        <w:t>i</w:t>
      </w:r>
    </w:p>
    <w:p w:rsidR="0032380D" w:rsidRPr="009F79DD" w:rsidRDefault="0032380D" w:rsidP="0032380D">
      <w:pPr>
        <w:ind w:left="3544" w:hanging="1417"/>
      </w:pPr>
    </w:p>
    <w:p w:rsidR="0032380D" w:rsidRPr="009F79DD" w:rsidRDefault="00EE7212" w:rsidP="0032380D">
      <w:pPr>
        <w:ind w:left="3544" w:hanging="1417"/>
      </w:pPr>
      <w:r w:rsidRPr="009F79DD">
        <w:fldChar w:fldCharType="begin"/>
      </w:r>
      <w:r w:rsidR="0032380D" w:rsidRPr="009F79DD">
        <w:instrText xml:space="preserve"> QUOTE </w:instrText>
      </w:r>
      <w:r w:rsidR="0032380D">
        <w:rPr>
          <w:noProof/>
        </w:rPr>
        <w:drawing>
          <wp:inline distT="0" distB="0" distL="0" distR="0">
            <wp:extent cx="428625" cy="152400"/>
            <wp:effectExtent l="0" t="0" r="9525"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i/>
              </w:rPr>
            </m:ctrlPr>
          </m:sSubPr>
          <m:e>
            <m:r>
              <w:rPr>
                <w:rFonts w:ascii="Cambria Math" w:hAnsi="Cambria Math"/>
              </w:rPr>
              <m:t>M</m:t>
            </m:r>
          </m:e>
          <m:sub>
            <m:r>
              <w:rPr>
                <w:rFonts w:ascii="Cambria Math" w:hAnsi="Cambria Math"/>
              </w:rPr>
              <m:t>i,2014</m:t>
            </m:r>
          </m:sub>
        </m:sSub>
      </m:oMath>
      <w:r w:rsidR="0032380D" w:rsidRPr="009F79DD">
        <w:tab/>
        <w:t xml:space="preserve">je součet měsíců, po které byla léčba onemocnění </w:t>
      </w:r>
      <w:r w:rsidR="0032380D" w:rsidRPr="00AA6CFC">
        <w:rPr>
          <w:i/>
        </w:rPr>
        <w:t>i</w:t>
      </w:r>
      <w:r w:rsidR="0032380D" w:rsidRPr="009F79DD">
        <w:t xml:space="preserve"> poskytována každému jednotlivému pacientovi s tím</w:t>
      </w:r>
      <w:r w:rsidR="00AA6CFC">
        <w:t>to onemocněním v roce 2014</w:t>
      </w:r>
    </w:p>
    <w:p w:rsidR="0032380D" w:rsidRPr="009F79DD" w:rsidRDefault="0032380D" w:rsidP="0032380D">
      <w:pPr>
        <w:ind w:left="3544" w:hanging="1417"/>
      </w:pPr>
    </w:p>
    <w:p w:rsidR="0032380D" w:rsidRDefault="00EE7212" w:rsidP="0032380D">
      <w:pPr>
        <w:ind w:left="3544" w:hanging="1417"/>
      </w:pPr>
      <w:r w:rsidRPr="009F79DD">
        <w:fldChar w:fldCharType="begin"/>
      </w:r>
      <w:r w:rsidR="0032380D" w:rsidRPr="009F79DD">
        <w:instrText xml:space="preserve"> QUOTE </w:instrText>
      </w:r>
      <w:r w:rsidR="0032380D">
        <w:rPr>
          <w:noProof/>
        </w:rPr>
        <w:drawing>
          <wp:inline distT="0" distB="0" distL="0" distR="0">
            <wp:extent cx="581025" cy="152400"/>
            <wp:effectExtent l="0" t="0" r="9525"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524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i/>
              </w:rPr>
            </m:ctrlPr>
          </m:sSubPr>
          <m:e>
            <m:r>
              <w:rPr>
                <w:rFonts w:ascii="Cambria Math" w:hAnsi="Cambria Math"/>
              </w:rPr>
              <m:t>UOP</m:t>
            </m:r>
          </m:e>
          <m:sub>
            <m:r>
              <w:rPr>
                <w:rFonts w:ascii="Cambria Math" w:hAnsi="Cambria Math"/>
              </w:rPr>
              <m:t>i,2014</m:t>
            </m:r>
          </m:sub>
        </m:sSub>
      </m:oMath>
      <w:r w:rsidR="0032380D" w:rsidRPr="009F79DD">
        <w:tab/>
        <w:t>je počet unikátních</w:t>
      </w:r>
      <w:r w:rsidR="00AA6CFC">
        <w:t xml:space="preserve"> pojištěnců léčených v roce 2014</w:t>
      </w:r>
      <w:r w:rsidR="0032380D" w:rsidRPr="009F79DD">
        <w:t xml:space="preserve"> na příslušné onemocnění spadající do </w:t>
      </w:r>
      <w:r w:rsidR="0032380D">
        <w:t>bodu</w:t>
      </w:r>
      <w:r w:rsidR="00AA6CFC">
        <w:t xml:space="preserve"> 2.2.3</w:t>
      </w:r>
    </w:p>
    <w:p w:rsidR="00096229" w:rsidRPr="009F79DD" w:rsidRDefault="00096229" w:rsidP="0032380D">
      <w:pPr>
        <w:ind w:left="3544" w:hanging="1417"/>
      </w:pPr>
    </w:p>
    <w:p w:rsidR="0032380D" w:rsidRDefault="0032380D" w:rsidP="0032380D">
      <w:pPr>
        <w:ind w:left="2124" w:hanging="1407"/>
      </w:pPr>
    </w:p>
    <w:p w:rsidR="00096229" w:rsidRPr="009F79DD" w:rsidRDefault="00096229" w:rsidP="0032380D">
      <w:pPr>
        <w:ind w:left="2124" w:hanging="1407"/>
      </w:pPr>
    </w:p>
    <w:p w:rsidR="0032380D" w:rsidRPr="00096229" w:rsidRDefault="0032380D" w:rsidP="00D67654">
      <w:pPr>
        <w:numPr>
          <w:ilvl w:val="2"/>
          <w:numId w:val="7"/>
        </w:numPr>
        <w:rPr>
          <w:u w:val="single"/>
        </w:rPr>
      </w:pPr>
      <w:r w:rsidRPr="00BA2F81">
        <w:t>Úhrada za léčivé přípravky poskytnuté pojištěncům na léčbu v hodnoceném období nad celkový limit úhrady stanovený podle bodů 2.2.1. až 2.2.3 se uhradí po předchozí dohodě mezi zdravotní pojišťovnou a poskytovatele</w:t>
      </w:r>
      <w:r w:rsidRPr="00745A78">
        <w:t>m</w:t>
      </w:r>
      <w:r w:rsidR="00745A78" w:rsidRPr="00745A78">
        <w:t>.</w:t>
      </w:r>
    </w:p>
    <w:p w:rsidR="0032380D" w:rsidRPr="0002264A" w:rsidRDefault="0032380D" w:rsidP="00ED0CEB"/>
    <w:p w:rsidR="0032380D" w:rsidRDefault="0032380D" w:rsidP="0032380D">
      <w:pPr>
        <w:numPr>
          <w:ilvl w:val="2"/>
          <w:numId w:val="7"/>
        </w:numPr>
      </w:pPr>
      <w:r w:rsidRPr="00BA2F81">
        <w:t>Do celkového limitu úhrady stanoveného podle bodů 2.2.1. až 2.2.3. se započítávají i léčivé přípravky předepsané v referenčním období na recept v případě, že v hodnoceném období jsou tyto léčivé přípravky vykazovány jako zvlášť účtované léčivé přípravky a současně pokud v hodnoceném období dále splňují podmínky pro léčivé přípravky označené symbolem</w:t>
      </w:r>
      <w:r w:rsidRPr="0002264A">
        <w:t xml:space="preserve"> „S“ podle vyhlášky</w:t>
      </w:r>
      <w:r w:rsidR="00993188">
        <w:t xml:space="preserve"> č. 376/2011 Sb.</w:t>
      </w:r>
    </w:p>
    <w:p w:rsidR="009C757B" w:rsidRDefault="009C757B" w:rsidP="009C757B">
      <w:pPr>
        <w:pStyle w:val="Odstavecseseznamem"/>
      </w:pPr>
    </w:p>
    <w:p w:rsidR="009C757B" w:rsidRPr="00E80CD1" w:rsidRDefault="009C757B" w:rsidP="009C757B">
      <w:pPr>
        <w:ind w:left="1434"/>
      </w:pPr>
    </w:p>
    <w:p w:rsidR="0032380D" w:rsidRDefault="0032380D" w:rsidP="00D67654">
      <w:pPr>
        <w:pStyle w:val="Textbodu"/>
        <w:numPr>
          <w:ilvl w:val="0"/>
          <w:numId w:val="8"/>
        </w:numPr>
        <w:spacing w:after="120"/>
      </w:pPr>
      <w:r w:rsidRPr="009F79DD">
        <w:rPr>
          <w:u w:val="single"/>
        </w:rPr>
        <w:lastRenderedPageBreak/>
        <w:t>Ú</w:t>
      </w:r>
      <w:r w:rsidR="003F0238">
        <w:rPr>
          <w:u w:val="single"/>
        </w:rPr>
        <w:t>hrada formou případového paušálu</w:t>
      </w:r>
    </w:p>
    <w:p w:rsidR="003F0238" w:rsidRDefault="003F0238" w:rsidP="003F0238">
      <w:pPr>
        <w:pStyle w:val="Textbodu"/>
        <w:numPr>
          <w:ilvl w:val="1"/>
          <w:numId w:val="18"/>
        </w:numPr>
        <w:spacing w:after="120"/>
      </w:pPr>
      <w:r w:rsidRPr="009F79DD">
        <w:rPr>
          <w:szCs w:val="24"/>
        </w:rPr>
        <w:t xml:space="preserve">Případy hospitalizací se při výpočtu </w:t>
      </w:r>
      <w:r w:rsidR="00EE7212" w:rsidRPr="009F79DD">
        <w:fldChar w:fldCharType="begin"/>
      </w:r>
      <w:r w:rsidRPr="009F79DD">
        <w:instrText xml:space="preserve"> QUOTE </w:instrText>
      </w:r>
      <w:r>
        <w:rPr>
          <w:noProof/>
        </w:rPr>
        <w:drawing>
          <wp:inline distT="0" distB="0" distL="0" distR="0">
            <wp:extent cx="666750" cy="171450"/>
            <wp:effectExtent l="0" t="0" r="0" b="0"/>
            <wp:docPr id="14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Pr="009F79DD">
        <w:instrText xml:space="preserve"> </w:instrText>
      </w:r>
      <w:r w:rsidR="00EE7212" w:rsidRPr="009F79DD">
        <w:fldChar w:fldCharType="end"/>
      </w:r>
      <w:r w:rsidRPr="009F79DD">
        <w:t xml:space="preserve"> </w:t>
      </w:r>
      <w:r w:rsidR="00EE7212" w:rsidRPr="009F79DD">
        <w:rPr>
          <w:vertAlign w:val="subscript"/>
        </w:rPr>
        <w:fldChar w:fldCharType="begin"/>
      </w:r>
      <w:r w:rsidRPr="009F79DD">
        <w:rPr>
          <w:vertAlign w:val="subscript"/>
        </w:rPr>
        <w:instrText xml:space="preserve"> QUOTE </w:instrText>
      </w:r>
      <w:r>
        <w:rPr>
          <w:noProof/>
        </w:rPr>
        <w:drawing>
          <wp:inline distT="0" distB="0" distL="0" distR="0">
            <wp:extent cx="704850" cy="171450"/>
            <wp:effectExtent l="0" t="0" r="0" b="0"/>
            <wp:docPr id="142" name="obráze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171450"/>
                    </a:xfrm>
                    <a:prstGeom prst="rect">
                      <a:avLst/>
                    </a:prstGeom>
                    <a:noFill/>
                    <a:ln>
                      <a:noFill/>
                    </a:ln>
                  </pic:spPr>
                </pic:pic>
              </a:graphicData>
            </a:graphic>
          </wp:inline>
        </w:drawing>
      </w:r>
      <w:r w:rsidRPr="009F79DD">
        <w:rPr>
          <w:vertAlign w:val="subscript"/>
        </w:rPr>
        <w:instrText xml:space="preserve"> </w:instrText>
      </w:r>
      <w:r w:rsidR="00EE7212" w:rsidRPr="009F79DD">
        <w:rPr>
          <w:vertAlign w:val="subscript"/>
        </w:rPr>
        <w:fldChar w:fldCharType="end"/>
      </w:r>
      <m:oMath>
        <m:sSub>
          <m:sSubPr>
            <m:ctrlPr>
              <w:rPr>
                <w:rFonts w:ascii="Cambria Math" w:hAnsi="Cambria Math"/>
                <w:i/>
              </w:rPr>
            </m:ctrlPr>
          </m:sSubPr>
          <m:e>
            <m:r>
              <w:rPr>
                <w:rFonts w:ascii="Cambria Math" w:hAnsi="Cambria Math"/>
              </w:rPr>
              <m:t>CM</m:t>
            </m:r>
          </m:e>
          <m:sub>
            <m:r>
              <w:rPr>
                <w:rFonts w:ascii="Cambria Math" w:hAnsi="Cambria Math"/>
              </w:rPr>
              <m:t>drgi,2013</m:t>
            </m:r>
          </m:sub>
        </m:sSub>
      </m:oMath>
      <w:r w:rsidRPr="009F79DD">
        <w:rPr>
          <w:vertAlign w:val="subscript"/>
        </w:rPr>
        <w:t xml:space="preserve"> </w:t>
      </w:r>
      <w:r w:rsidRPr="009F79DD">
        <w:t>rozumí případy hospitalizací přepočtené pomocí pravidel pro Klasifikaci a sestavování případů hos</w:t>
      </w:r>
      <w:r>
        <w:t xml:space="preserve">pitalizací platných pro rok 2013 a případy hospitalizací při výpočtu </w:t>
      </w:r>
      <m:oMath>
        <m:sSub>
          <m:sSubPr>
            <m:ctrlPr>
              <w:rPr>
                <w:rFonts w:ascii="Cambria Math" w:hAnsi="Cambria Math"/>
                <w:i/>
              </w:rPr>
            </m:ctrlPr>
          </m:sSubPr>
          <m:e>
            <m:r>
              <w:rPr>
                <w:rFonts w:ascii="Cambria Math" w:hAnsi="Cambria Math"/>
              </w:rPr>
              <m:t>CM</m:t>
            </m:r>
          </m:e>
          <m:sub>
            <m:r>
              <w:rPr>
                <w:rFonts w:ascii="Cambria Math" w:hAnsi="Cambria Math"/>
              </w:rPr>
              <m:t>drg,2013</m:t>
            </m:r>
          </m:sub>
        </m:sSub>
      </m:oMath>
      <w:r>
        <w:t xml:space="preserve"> se rozumí</w:t>
      </w:r>
      <w:r w:rsidRPr="00964DE5">
        <w:t xml:space="preserve"> </w:t>
      </w:r>
      <w:r w:rsidRPr="009F79DD">
        <w:t>případy hospitalizací přepočtené pomocí pravidel pro Klasifikaci a sestavování případů hospitalizací platných pro rok</w:t>
      </w:r>
      <w:r>
        <w:t xml:space="preserve"> 2015</w:t>
      </w:r>
      <w:r w:rsidRPr="009F79DD">
        <w:t xml:space="preserve">. </w:t>
      </w:r>
    </w:p>
    <w:p w:rsidR="003F0238" w:rsidRDefault="003F0238" w:rsidP="003F0238">
      <w:pPr>
        <w:pStyle w:val="Textbodu"/>
        <w:numPr>
          <w:ilvl w:val="1"/>
          <w:numId w:val="18"/>
        </w:numPr>
        <w:spacing w:after="120"/>
      </w:pPr>
      <w:r>
        <w:t xml:space="preserve">Léčivé přípravky </w:t>
      </w:r>
      <w:r w:rsidRPr="009F79DD">
        <w:t>vyjmut</w:t>
      </w:r>
      <w:r>
        <w:t>é</w:t>
      </w:r>
      <w:r w:rsidRPr="009F79DD">
        <w:t xml:space="preserve"> z platby případovým paušálem a uveden</w:t>
      </w:r>
      <w:r>
        <w:t xml:space="preserve">é v příloze </w:t>
      </w:r>
      <w:r w:rsidRPr="009D4AD1">
        <w:t xml:space="preserve">č. </w:t>
      </w:r>
      <w:r w:rsidR="009D4AD1">
        <w:t>4</w:t>
      </w:r>
      <w:r w:rsidRPr="009F79DD">
        <w:t xml:space="preserve"> k této </w:t>
      </w:r>
      <w:r>
        <w:t xml:space="preserve">dohodě uhradí </w:t>
      </w:r>
      <w:r w:rsidRPr="009F79DD">
        <w:t xml:space="preserve">zdravotní pojišťovna poskytovateli </w:t>
      </w:r>
      <w:r>
        <w:t>ve výši jejich vykázané jednotkové ceny, maximálně však ve výši jejich jednotkové ceny v roce 2014</w:t>
      </w:r>
      <w:r w:rsidRPr="009F79DD">
        <w:t>.</w:t>
      </w:r>
    </w:p>
    <w:p w:rsidR="00B7788C" w:rsidRPr="00821AC2" w:rsidRDefault="00B7788C" w:rsidP="00B7788C">
      <w:pPr>
        <w:pStyle w:val="Textbodu"/>
        <w:numPr>
          <w:ilvl w:val="1"/>
          <w:numId w:val="18"/>
        </w:numPr>
        <w:tabs>
          <w:tab w:val="left" w:pos="3119"/>
        </w:tabs>
        <w:spacing w:after="120"/>
        <w:rPr>
          <w:szCs w:val="24"/>
        </w:rPr>
      </w:pPr>
      <w:r w:rsidRPr="00821AC2">
        <w:t xml:space="preserve">Vyžádanou extramurální péčí se rozumí péče, </w:t>
      </w:r>
      <w:r w:rsidRPr="00821AC2">
        <w:rPr>
          <w:szCs w:val="24"/>
        </w:rPr>
        <w:t xml:space="preserve">která je poskytnuta v době hospitalizace, kdy žádající poskytovatel je odlišný od poskytujícího poskytovatele. </w:t>
      </w:r>
    </w:p>
    <w:p w:rsidR="003F0238" w:rsidRPr="00821AC2" w:rsidRDefault="003F0238" w:rsidP="003F0238">
      <w:pPr>
        <w:pStyle w:val="Textbodu"/>
        <w:numPr>
          <w:ilvl w:val="0"/>
          <w:numId w:val="0"/>
        </w:numPr>
        <w:spacing w:after="120"/>
      </w:pPr>
    </w:p>
    <w:p w:rsidR="003F0238" w:rsidRPr="00821AC2" w:rsidRDefault="003F0238" w:rsidP="003F0238">
      <w:pPr>
        <w:pStyle w:val="Textbodu"/>
        <w:numPr>
          <w:ilvl w:val="0"/>
          <w:numId w:val="0"/>
        </w:numPr>
        <w:spacing w:after="120"/>
        <w:ind w:left="426" w:hanging="426"/>
      </w:pPr>
      <w:r w:rsidRPr="00821AC2">
        <w:t>3.4 Úhrada formou případového paušálu zahrnuje hrazené služby zařazené podle Klasifikace do skupin vztažených k diagnóze uvedených v </w:t>
      </w:r>
      <w:r w:rsidRPr="00821AC2">
        <w:rPr>
          <w:szCs w:val="24"/>
        </w:rPr>
        <w:t xml:space="preserve">příloze č. </w:t>
      </w:r>
      <w:r w:rsidR="009D4AD1" w:rsidRPr="00821AC2">
        <w:rPr>
          <w:szCs w:val="24"/>
        </w:rPr>
        <w:t>2</w:t>
      </w:r>
      <w:r w:rsidRPr="00821AC2">
        <w:rPr>
          <w:szCs w:val="24"/>
        </w:rPr>
        <w:t xml:space="preserve"> k této dohodě a</w:t>
      </w:r>
      <w:r w:rsidRPr="00821AC2">
        <w:t> stanoví se až do výše CELK PU</w:t>
      </w:r>
      <w:r w:rsidRPr="00821AC2">
        <w:rPr>
          <w:vertAlign w:val="subscript"/>
        </w:rPr>
        <w:t xml:space="preserve">drg2015 </w:t>
      </w:r>
      <w:r w:rsidRPr="00821AC2">
        <w:t>podle výrazu (i), kdy individuální paušální úhrada (IPU) je poměrně snížena, nedojde-li k dosažení alespoň 97 % produkce referenčního období (CM</w:t>
      </w:r>
      <w:r w:rsidRPr="00821AC2">
        <w:rPr>
          <w:vertAlign w:val="subscript"/>
        </w:rPr>
        <w:t>drg,2013</w:t>
      </w:r>
      <w:r w:rsidRPr="00821AC2">
        <w:t>) vážené koeficientem přechodu pojištěnců (Kp</w:t>
      </w:r>
      <w:r w:rsidRPr="00821AC2">
        <w:rPr>
          <w:vertAlign w:val="subscript"/>
        </w:rPr>
        <w:t>p</w:t>
      </w:r>
      <w:r w:rsidRPr="00821AC2">
        <w:t>), a od poměrně snížené individuální paušální úhrady je odečtena úhrada za vyžádanou extramurální péči (EM</w:t>
      </w:r>
      <w:r w:rsidRPr="00821AC2">
        <w:rPr>
          <w:vertAlign w:val="subscript"/>
        </w:rPr>
        <w:t>2015</w:t>
      </w:r>
      <w:r w:rsidRPr="00821AC2">
        <w:t>).</w:t>
      </w:r>
    </w:p>
    <w:p w:rsidR="003F0238" w:rsidRPr="00821AC2" w:rsidRDefault="003F0238" w:rsidP="003F0238">
      <w:pPr>
        <w:pStyle w:val="Textbodu"/>
        <w:numPr>
          <w:ilvl w:val="0"/>
          <w:numId w:val="0"/>
        </w:numPr>
        <w:spacing w:after="120"/>
        <w:ind w:left="426" w:hanging="426"/>
        <w:rPr>
          <w:szCs w:val="24"/>
        </w:rPr>
      </w:pPr>
      <w:r w:rsidRPr="00821AC2">
        <w:t xml:space="preserve">       Individuální paušální úhrada (IPU) se vypočte podle výrazu (ii) jako referenční produkce (KS_</w:t>
      </w:r>
      <w:r w:rsidRPr="00821AC2">
        <w:rPr>
          <w:szCs w:val="24"/>
        </w:rPr>
        <w:t>CM</w:t>
      </w:r>
      <w:r w:rsidRPr="00821AC2">
        <w:rPr>
          <w:szCs w:val="24"/>
          <w:vertAlign w:val="subscript"/>
        </w:rPr>
        <w:t>p,2013</w:t>
      </w:r>
      <w:r w:rsidRPr="00821AC2">
        <w:rPr>
          <w:szCs w:val="24"/>
        </w:rPr>
        <w:t>) vážená koeficienty specializace zdravotních služeb podle výrazu (iii), násobená technickou základní sazbou (TZS) a koeficientem přechodu pojištěnců (Kp</w:t>
      </w:r>
      <w:r w:rsidRPr="00821AC2">
        <w:rPr>
          <w:szCs w:val="24"/>
          <w:vertAlign w:val="subscript"/>
        </w:rPr>
        <w:t>p</w:t>
      </w:r>
      <w:r w:rsidRPr="00821AC2">
        <w:rPr>
          <w:szCs w:val="24"/>
        </w:rPr>
        <w:t>). Takto vypočtená paušální úhrada neklesne pod 97 % úhrady referenčního období (PU</w:t>
      </w:r>
      <w:r w:rsidRPr="00821AC2">
        <w:rPr>
          <w:szCs w:val="24"/>
          <w:vertAlign w:val="subscript"/>
        </w:rPr>
        <w:t>drg,2013</w:t>
      </w:r>
      <w:r w:rsidRPr="00821AC2">
        <w:rPr>
          <w:szCs w:val="24"/>
        </w:rPr>
        <w:t>) násobené koeficientem přechodu pojištěnců (Kp</w:t>
      </w:r>
      <w:r w:rsidRPr="00821AC2">
        <w:rPr>
          <w:szCs w:val="24"/>
          <w:vertAlign w:val="subscript"/>
        </w:rPr>
        <w:t>p</w:t>
      </w:r>
      <w:r w:rsidRPr="00821AC2">
        <w:rPr>
          <w:szCs w:val="24"/>
        </w:rPr>
        <w:t>) a zároveň nepřekročí 150 % úhrady referenčního roku (PU</w:t>
      </w:r>
      <w:r w:rsidRPr="00821AC2">
        <w:rPr>
          <w:szCs w:val="24"/>
          <w:vertAlign w:val="subscript"/>
        </w:rPr>
        <w:t>drg,2013</w:t>
      </w:r>
      <w:r w:rsidRPr="00821AC2">
        <w:rPr>
          <w:szCs w:val="24"/>
        </w:rPr>
        <w:t>) násobené koeficientem přechodu pojištěnců (Kp</w:t>
      </w:r>
      <w:r w:rsidRPr="00821AC2">
        <w:rPr>
          <w:szCs w:val="24"/>
          <w:vertAlign w:val="subscript"/>
        </w:rPr>
        <w:t>p</w:t>
      </w:r>
      <w:r w:rsidRPr="00821AC2">
        <w:rPr>
          <w:szCs w:val="24"/>
        </w:rPr>
        <w:t>).</w:t>
      </w:r>
    </w:p>
    <w:p w:rsidR="003F0238" w:rsidRPr="00821AC2" w:rsidRDefault="003F0238" w:rsidP="003F0238">
      <w:pPr>
        <w:pStyle w:val="Textbodu"/>
        <w:numPr>
          <w:ilvl w:val="0"/>
          <w:numId w:val="0"/>
        </w:numPr>
        <w:spacing w:after="120"/>
        <w:ind w:left="426" w:hanging="426"/>
        <w:rPr>
          <w:szCs w:val="24"/>
        </w:rPr>
      </w:pPr>
      <w:r w:rsidRPr="00821AC2">
        <w:rPr>
          <w:szCs w:val="24"/>
        </w:rPr>
        <w:t xml:space="preserve">       Objem produkce hodnoceného období (CM</w:t>
      </w:r>
      <w:r w:rsidRPr="00821AC2">
        <w:rPr>
          <w:szCs w:val="24"/>
          <w:vertAlign w:val="subscript"/>
        </w:rPr>
        <w:t>red</w:t>
      </w:r>
      <w:r w:rsidRPr="00821AC2">
        <w:rPr>
          <w:szCs w:val="24"/>
        </w:rPr>
        <w:t xml:space="preserve">) se stanoví podle výrazu (iv) tak, že do výše 105 % průměrné referenční produkce na případ </w:t>
      </w:r>
      <w:r w:rsidR="00EE7212" w:rsidRPr="00821AC2">
        <w:rPr>
          <w:szCs w:val="24"/>
        </w:rPr>
        <w:fldChar w:fldCharType="begin"/>
      </w:r>
      <w:r w:rsidRPr="00821AC2">
        <w:rPr>
          <w:szCs w:val="24"/>
        </w:rPr>
        <w:instrText xml:space="preserve"> QUOTE </w:instrText>
      </w:r>
      <w:r w:rsidRPr="00821AC2">
        <w:rPr>
          <w:noProof/>
          <w:szCs w:val="24"/>
        </w:rPr>
        <w:drawing>
          <wp:inline distT="0" distB="0" distL="0" distR="0">
            <wp:extent cx="800100" cy="361950"/>
            <wp:effectExtent l="0" t="0" r="0" b="0"/>
            <wp:docPr id="155"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361950"/>
                    </a:xfrm>
                    <a:prstGeom prst="rect">
                      <a:avLst/>
                    </a:prstGeom>
                    <a:noFill/>
                    <a:ln>
                      <a:noFill/>
                    </a:ln>
                  </pic:spPr>
                </pic:pic>
              </a:graphicData>
            </a:graphic>
          </wp:inline>
        </w:drawing>
      </w:r>
      <w:r w:rsidRPr="00821AC2">
        <w:rPr>
          <w:szCs w:val="24"/>
        </w:rPr>
        <w:instrText xml:space="preserve"> </w:instrText>
      </w:r>
      <w:r w:rsidR="00EE7212" w:rsidRPr="00821AC2">
        <w:rPr>
          <w:szCs w:val="24"/>
        </w:rPr>
        <w:fldChar w:fldCharType="end"/>
      </w:r>
      <m:oMath>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m:t>
                    </m:r>
                  </m:e>
                  <m:sub>
                    <m:r>
                      <w:rPr>
                        <w:rFonts w:ascii="Cambria Math" w:hAnsi="Cambria Math"/>
                        <w:szCs w:val="24"/>
                      </w:rPr>
                      <m:t>drg,2013</m:t>
                    </m:r>
                  </m:sub>
                </m:sSub>
              </m:num>
              <m:den>
                <m:sSub>
                  <m:sSubPr>
                    <m:ctrlPr>
                      <w:rPr>
                        <w:rFonts w:ascii="Cambria Math" w:hAnsi="Cambria Math"/>
                        <w:i/>
                        <w:szCs w:val="24"/>
                      </w:rPr>
                    </m:ctrlPr>
                  </m:sSubPr>
                  <m:e>
                    <m:r>
                      <w:rPr>
                        <w:rFonts w:ascii="Cambria Math" w:hAnsi="Cambria Math"/>
                        <w:szCs w:val="24"/>
                      </w:rPr>
                      <m:t>PP</m:t>
                    </m:r>
                  </m:e>
                  <m:sub>
                    <m:r>
                      <w:rPr>
                        <w:rFonts w:ascii="Cambria Math" w:hAnsi="Cambria Math"/>
                        <w:szCs w:val="24"/>
                      </w:rPr>
                      <m:t>drg,2013</m:t>
                    </m:r>
                  </m:sub>
                </m:sSub>
              </m:den>
            </m:f>
          </m:e>
        </m:d>
      </m:oMath>
      <w:r w:rsidRPr="00821AC2">
        <w:rPr>
          <w:szCs w:val="24"/>
        </w:rPr>
        <w:t xml:space="preserve"> násobené počtem případů v hodnoceném období (PP</w:t>
      </w:r>
      <w:r w:rsidRPr="00821AC2">
        <w:rPr>
          <w:szCs w:val="24"/>
          <w:vertAlign w:val="subscript"/>
        </w:rPr>
        <w:t>drg,2015</w:t>
      </w:r>
      <w:r w:rsidRPr="00821AC2">
        <w:rPr>
          <w:szCs w:val="24"/>
        </w:rPr>
        <w:t>) je brána plná hodnota (CM</w:t>
      </w:r>
      <w:r w:rsidRPr="00821AC2">
        <w:rPr>
          <w:szCs w:val="24"/>
          <w:vertAlign w:val="subscript"/>
        </w:rPr>
        <w:t>drg,2015</w:t>
      </w:r>
      <w:r w:rsidRPr="00821AC2">
        <w:rPr>
          <w:szCs w:val="24"/>
        </w:rPr>
        <w:t>) a nad tuto hranici je objem produkce poměrně snížen v závislosti na výši nedosažení potřebného počtu případů (PP</w:t>
      </w:r>
      <w:r w:rsidRPr="00821AC2">
        <w:rPr>
          <w:szCs w:val="24"/>
          <w:vertAlign w:val="subscript"/>
        </w:rPr>
        <w:t>drg,2015</w:t>
      </w:r>
      <w:r w:rsidRPr="00821AC2">
        <w:rPr>
          <w:szCs w:val="24"/>
        </w:rPr>
        <w:t>).</w:t>
      </w:r>
    </w:p>
    <w:p w:rsidR="003F0238" w:rsidRPr="00821AC2" w:rsidRDefault="003F0238" w:rsidP="00096229">
      <w:pPr>
        <w:pStyle w:val="Textbodu"/>
        <w:numPr>
          <w:ilvl w:val="0"/>
          <w:numId w:val="0"/>
        </w:numPr>
        <w:spacing w:after="120"/>
        <w:ind w:left="709" w:hanging="283"/>
        <w:rPr>
          <w:szCs w:val="24"/>
        </w:rPr>
      </w:pPr>
      <w:r w:rsidRPr="00821AC2">
        <w:rPr>
          <w:szCs w:val="24"/>
        </w:rPr>
        <w:t>Výpočet všech výše uvedených složek úhrady se provede takto:</w:t>
      </w:r>
    </w:p>
    <w:p w:rsidR="003F0238" w:rsidRPr="00821AC2" w:rsidRDefault="003F0238" w:rsidP="003F0238">
      <w:pPr>
        <w:pStyle w:val="Textbodu"/>
        <w:numPr>
          <w:ilvl w:val="0"/>
          <w:numId w:val="0"/>
        </w:numPr>
        <w:spacing w:after="120"/>
        <w:rPr>
          <w:szCs w:val="24"/>
        </w:rPr>
      </w:pPr>
    </w:p>
    <w:p w:rsidR="003F0238" w:rsidRPr="00821AC2" w:rsidRDefault="003F0238" w:rsidP="00096229">
      <w:pPr>
        <w:pStyle w:val="Textbodu"/>
        <w:numPr>
          <w:ilvl w:val="0"/>
          <w:numId w:val="0"/>
        </w:numPr>
        <w:spacing w:after="120"/>
        <w:ind w:firstLine="426"/>
        <w:rPr>
          <w:szCs w:val="24"/>
        </w:rPr>
      </w:pPr>
      <w:r w:rsidRPr="00821AC2">
        <w:rPr>
          <w:szCs w:val="24"/>
        </w:rPr>
        <w:t xml:space="preserve">(i) </w:t>
      </w:r>
      <m:oMath>
        <m:sSub>
          <m:sSubPr>
            <m:ctrlPr>
              <w:rPr>
                <w:rFonts w:ascii="Cambria Math" w:hAnsi="Cambria Math"/>
                <w:i/>
                <w:szCs w:val="24"/>
              </w:rPr>
            </m:ctrlPr>
          </m:sSubPr>
          <m:e>
            <m:r>
              <w:rPr>
                <w:rFonts w:ascii="Cambria Math" w:hAnsi="Cambria Math"/>
                <w:szCs w:val="24"/>
              </w:rPr>
              <m:t>CELK PU</m:t>
            </m:r>
          </m:e>
          <m:sub>
            <m:r>
              <w:rPr>
                <w:rFonts w:ascii="Cambria Math" w:hAnsi="Cambria Math"/>
                <w:szCs w:val="24"/>
              </w:rPr>
              <m:t>drg, 2015</m:t>
            </m:r>
          </m:sub>
        </m:sSub>
        <m:r>
          <w:rPr>
            <w:rFonts w:ascii="Cambria Math" w:hAnsi="Cambria Math"/>
            <w:szCs w:val="24"/>
          </w:rPr>
          <m:t>=min</m:t>
        </m:r>
        <m:d>
          <m:dPr>
            <m:begChr m:val="{"/>
            <m:endChr m:val="}"/>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m:t>
                    </m:r>
                  </m:sub>
                </m:sSub>
              </m:num>
              <m:den>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0,97*Kp</m:t>
                        </m:r>
                      </m:e>
                      <m:sub>
                        <m:r>
                          <w:rPr>
                            <w:rFonts w:ascii="Cambria Math" w:hAnsi="Cambria Math"/>
                            <w:szCs w:val="24"/>
                          </w:rPr>
                          <m:t>p</m:t>
                        </m:r>
                      </m:sub>
                    </m:sSub>
                    <m:r>
                      <w:rPr>
                        <w:rFonts w:ascii="Cambria Math" w:hAnsi="Cambria Math"/>
                        <w:szCs w:val="24"/>
                      </w:rPr>
                      <m:t>*CM</m:t>
                    </m:r>
                  </m:e>
                  <m:sub>
                    <m:r>
                      <w:rPr>
                        <w:rFonts w:ascii="Cambria Math" w:hAnsi="Cambria Math"/>
                        <w:szCs w:val="24"/>
                      </w:rPr>
                      <m:t>drg,2013</m:t>
                    </m:r>
                  </m:sub>
                </m:sSub>
              </m:den>
            </m:f>
          </m:e>
        </m:d>
        <m:r>
          <w:rPr>
            <w:rFonts w:ascii="Cambria Math" w:hAnsi="Cambria Math"/>
            <w:szCs w:val="24"/>
          </w:rPr>
          <m:t>*IPU-</m:t>
        </m:r>
        <m:sSub>
          <m:sSubPr>
            <m:ctrlPr>
              <w:rPr>
                <w:rFonts w:ascii="Cambria Math" w:hAnsi="Cambria Math"/>
                <w:i/>
                <w:szCs w:val="24"/>
              </w:rPr>
            </m:ctrlPr>
          </m:sSubPr>
          <m:e>
            <m:r>
              <w:rPr>
                <w:rFonts w:ascii="Cambria Math" w:hAnsi="Cambria Math"/>
                <w:szCs w:val="24"/>
              </w:rPr>
              <m:t>EM</m:t>
            </m:r>
          </m:e>
          <m:sub>
            <m:r>
              <w:rPr>
                <w:rFonts w:ascii="Cambria Math" w:hAnsi="Cambria Math"/>
                <w:szCs w:val="24"/>
              </w:rPr>
              <m:t>2015</m:t>
            </m:r>
          </m:sub>
        </m:sSub>
      </m:oMath>
      <w:r w:rsidRPr="00821AC2">
        <w:rPr>
          <w:szCs w:val="24"/>
        </w:rPr>
        <w:t>,</w:t>
      </w:r>
    </w:p>
    <w:p w:rsidR="003F0238" w:rsidRPr="00821AC2" w:rsidRDefault="003F0238" w:rsidP="00096229">
      <w:pPr>
        <w:pStyle w:val="Textbodu"/>
        <w:numPr>
          <w:ilvl w:val="0"/>
          <w:numId w:val="0"/>
        </w:numPr>
        <w:spacing w:after="120"/>
        <w:ind w:firstLine="426"/>
        <w:rPr>
          <w:szCs w:val="24"/>
        </w:rPr>
      </w:pPr>
      <w:r w:rsidRPr="00821AC2">
        <w:rPr>
          <w:szCs w:val="24"/>
        </w:rPr>
        <w:t>kde:</w:t>
      </w:r>
    </w:p>
    <w:p w:rsidR="003F0238" w:rsidRPr="00821AC2" w:rsidRDefault="003F0238" w:rsidP="00096229">
      <w:pPr>
        <w:pStyle w:val="Textbodu"/>
        <w:numPr>
          <w:ilvl w:val="0"/>
          <w:numId w:val="0"/>
        </w:numPr>
        <w:spacing w:after="120"/>
        <w:ind w:firstLine="426"/>
        <w:rPr>
          <w:szCs w:val="24"/>
        </w:rPr>
      </w:pPr>
    </w:p>
    <w:p w:rsidR="003F0238" w:rsidRPr="00821AC2" w:rsidRDefault="003F0238" w:rsidP="00096229">
      <w:pPr>
        <w:pStyle w:val="Textbodu"/>
        <w:numPr>
          <w:ilvl w:val="0"/>
          <w:numId w:val="0"/>
        </w:numPr>
        <w:spacing w:after="120"/>
        <w:ind w:firstLine="426"/>
        <w:rPr>
          <w:szCs w:val="24"/>
        </w:rPr>
      </w:pPr>
      <w:r w:rsidRPr="00821AC2">
        <w:rPr>
          <w:szCs w:val="24"/>
        </w:rPr>
        <w:t>IPU je individuální paušální úhrada vypočtená takto:</w:t>
      </w:r>
    </w:p>
    <w:p w:rsidR="003F0238" w:rsidRPr="00821AC2" w:rsidRDefault="003F0238" w:rsidP="003F0238">
      <w:pPr>
        <w:pStyle w:val="Textbodu"/>
        <w:numPr>
          <w:ilvl w:val="0"/>
          <w:numId w:val="0"/>
        </w:numPr>
        <w:spacing w:after="120"/>
        <w:rPr>
          <w:szCs w:val="24"/>
        </w:rPr>
      </w:pPr>
    </w:p>
    <w:p w:rsidR="003F0238" w:rsidRPr="00821AC2" w:rsidRDefault="003F0238" w:rsidP="00096229">
      <w:pPr>
        <w:pStyle w:val="Textbodu"/>
        <w:numPr>
          <w:ilvl w:val="0"/>
          <w:numId w:val="0"/>
        </w:numPr>
        <w:spacing w:after="120"/>
        <w:ind w:left="851" w:hanging="425"/>
        <w:rPr>
          <w:szCs w:val="24"/>
        </w:rPr>
      </w:pPr>
      <w:r w:rsidRPr="00821AC2">
        <w:rPr>
          <w:szCs w:val="24"/>
        </w:rPr>
        <w:t xml:space="preserve">(ii) </w:t>
      </w:r>
      <m:oMath>
        <m:r>
          <w:rPr>
            <w:rFonts w:ascii="Cambria Math" w:hAnsi="Cambria Math"/>
            <w:szCs w:val="24"/>
          </w:rPr>
          <m:t>IPU=min</m:t>
        </m:r>
        <m:d>
          <m:dPr>
            <m:begChr m:val="{"/>
            <m:endChr m:val="}"/>
            <m:ctrlPr>
              <w:rPr>
                <w:rFonts w:ascii="Cambria Math" w:hAnsi="Cambria Math"/>
                <w:i/>
                <w:szCs w:val="24"/>
              </w:rPr>
            </m:ctrlPr>
          </m:dPr>
          <m:e>
            <m:r>
              <w:rPr>
                <w:rFonts w:ascii="Cambria Math" w:hAnsi="Cambria Math"/>
                <w:szCs w:val="24"/>
              </w:rPr>
              <m:t>1,5*</m:t>
            </m:r>
            <m:sSub>
              <m:sSubPr>
                <m:ctrlPr>
                  <w:rPr>
                    <w:rFonts w:ascii="Cambria Math" w:hAnsi="Cambria Math"/>
                    <w:i/>
                    <w:szCs w:val="24"/>
                  </w:rPr>
                </m:ctrlPr>
              </m:sSubPr>
              <m:e>
                <m:r>
                  <w:rPr>
                    <w:rFonts w:ascii="Cambria Math" w:hAnsi="Cambria Math"/>
                    <w:szCs w:val="24"/>
                  </w:rPr>
                  <m:t>Kp</m:t>
                </m:r>
              </m:e>
              <m:sub>
                <m:r>
                  <w:rPr>
                    <w:rFonts w:ascii="Cambria Math" w:hAnsi="Cambria Math"/>
                    <w:szCs w:val="24"/>
                  </w:rPr>
                  <m:t>p</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PU</m:t>
                </m:r>
              </m:e>
              <m:sub>
                <m:r>
                  <w:rPr>
                    <w:rFonts w:ascii="Cambria Math" w:hAnsi="Cambria Math"/>
                    <w:szCs w:val="24"/>
                  </w:rPr>
                  <m:t>drg,2013</m:t>
                </m:r>
              </m:sub>
            </m:sSub>
            <m:r>
              <w:rPr>
                <w:rFonts w:ascii="Cambria Math" w:hAnsi="Cambria Math"/>
                <w:szCs w:val="24"/>
              </w:rPr>
              <m:t>;max</m:t>
            </m:r>
            <m:d>
              <m:dPr>
                <m:begChr m:val="{"/>
                <m:endChr m:val="}"/>
                <m:ctrlPr>
                  <w:rPr>
                    <w:rFonts w:ascii="Cambria Math" w:hAnsi="Cambria Math"/>
                    <w:i/>
                    <w:szCs w:val="24"/>
                  </w:rPr>
                </m:ctrlPr>
              </m:dPr>
              <m:e>
                <m:r>
                  <w:rPr>
                    <w:rFonts w:ascii="Cambria Math" w:hAnsi="Cambria Math"/>
                    <w:szCs w:val="24"/>
                  </w:rPr>
                  <m:t>0,97*</m:t>
                </m:r>
                <m:sSub>
                  <m:sSubPr>
                    <m:ctrlPr>
                      <w:rPr>
                        <w:rFonts w:ascii="Cambria Math" w:hAnsi="Cambria Math"/>
                        <w:i/>
                        <w:szCs w:val="24"/>
                      </w:rPr>
                    </m:ctrlPr>
                  </m:sSubPr>
                  <m:e>
                    <m:r>
                      <w:rPr>
                        <w:rFonts w:ascii="Cambria Math" w:hAnsi="Cambria Math"/>
                        <w:szCs w:val="24"/>
                      </w:rPr>
                      <m:t>Kp</m:t>
                    </m:r>
                  </m:e>
                  <m:sub>
                    <m:r>
                      <w:rPr>
                        <w:rFonts w:ascii="Cambria Math" w:hAnsi="Cambria Math"/>
                        <w:szCs w:val="24"/>
                      </w:rPr>
                      <m:t>p</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PU</m:t>
                    </m:r>
                  </m:e>
                  <m:sub>
                    <m:r>
                      <w:rPr>
                        <w:rFonts w:ascii="Cambria Math" w:hAnsi="Cambria Math"/>
                        <w:szCs w:val="24"/>
                      </w:rPr>
                      <m:t>drg,2013</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K</m:t>
                    </m:r>
                    <m:sSub>
                      <m:sSubPr>
                        <m:ctrlPr>
                          <w:rPr>
                            <w:rFonts w:ascii="Cambria Math" w:hAnsi="Cambria Math"/>
                            <w:i/>
                            <w:szCs w:val="24"/>
                          </w:rPr>
                        </m:ctrlPr>
                      </m:sSubPr>
                      <m:e>
                        <m:r>
                          <w:rPr>
                            <w:rFonts w:ascii="Cambria Math" w:hAnsi="Cambria Math"/>
                            <w:szCs w:val="24"/>
                          </w:rPr>
                          <m:t>S_CM</m:t>
                        </m:r>
                      </m:e>
                      <m:sub>
                        <m:r>
                          <w:rPr>
                            <w:rFonts w:ascii="Cambria Math" w:hAnsi="Cambria Math"/>
                            <w:szCs w:val="24"/>
                          </w:rPr>
                          <m:t xml:space="preserve"> </m:t>
                        </m:r>
                      </m:sub>
                    </m:sSub>
                  </m:e>
                  <m:sub>
                    <m:r>
                      <w:rPr>
                        <w:rFonts w:ascii="Cambria Math" w:hAnsi="Cambria Math"/>
                        <w:szCs w:val="24"/>
                      </w:rPr>
                      <m:t>p,2013</m:t>
                    </m:r>
                  </m:sub>
                </m:sSub>
                <m:r>
                  <w:rPr>
                    <w:rFonts w:ascii="Cambria Math" w:hAnsi="Cambria Math"/>
                    <w:szCs w:val="24"/>
                  </w:rPr>
                  <m:t>*TZS*</m:t>
                </m:r>
                <m:sSub>
                  <m:sSubPr>
                    <m:ctrlPr>
                      <w:rPr>
                        <w:rFonts w:ascii="Cambria Math" w:hAnsi="Cambria Math"/>
                        <w:i/>
                        <w:szCs w:val="24"/>
                      </w:rPr>
                    </m:ctrlPr>
                  </m:sSubPr>
                  <m:e>
                    <m:r>
                      <w:rPr>
                        <w:rFonts w:ascii="Cambria Math" w:hAnsi="Cambria Math"/>
                        <w:szCs w:val="24"/>
                      </w:rPr>
                      <m:t>Kp</m:t>
                    </m:r>
                  </m:e>
                  <m:sub>
                    <m:r>
                      <w:rPr>
                        <w:rFonts w:ascii="Cambria Math" w:hAnsi="Cambria Math"/>
                        <w:szCs w:val="24"/>
                      </w:rPr>
                      <m:t>p</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Úhr</m:t>
                    </m:r>
                  </m:e>
                  <m:sub>
                    <m:r>
                      <w:rPr>
                        <w:rFonts w:ascii="Cambria Math" w:hAnsi="Cambria Math"/>
                        <w:szCs w:val="24"/>
                      </w:rPr>
                      <m:t>15</m:t>
                    </m:r>
                  </m:sub>
                </m:sSub>
              </m:e>
            </m:d>
          </m:e>
        </m:d>
      </m:oMath>
      <w:r w:rsidRPr="00821AC2">
        <w:rPr>
          <w:szCs w:val="24"/>
        </w:rPr>
        <w:t>,</w:t>
      </w:r>
    </w:p>
    <w:p w:rsidR="003F0238" w:rsidRPr="00821AC2" w:rsidRDefault="003F0238" w:rsidP="00096229">
      <w:pPr>
        <w:pStyle w:val="Textbodu"/>
        <w:numPr>
          <w:ilvl w:val="0"/>
          <w:numId w:val="0"/>
        </w:numPr>
        <w:spacing w:after="120"/>
        <w:ind w:left="851" w:hanging="425"/>
        <w:rPr>
          <w:szCs w:val="24"/>
        </w:rPr>
      </w:pPr>
    </w:p>
    <w:p w:rsidR="003F0238" w:rsidRPr="00821AC2" w:rsidRDefault="00096229" w:rsidP="00096229">
      <w:pPr>
        <w:pStyle w:val="Textbodu"/>
        <w:numPr>
          <w:ilvl w:val="0"/>
          <w:numId w:val="0"/>
        </w:numPr>
        <w:spacing w:after="120"/>
        <w:ind w:left="142" w:hanging="142"/>
        <w:rPr>
          <w:szCs w:val="24"/>
        </w:rPr>
      </w:pPr>
      <w:r>
        <w:rPr>
          <w:szCs w:val="24"/>
        </w:rPr>
        <w:t xml:space="preserve">      </w:t>
      </w:r>
      <w:r w:rsidR="003F0238" w:rsidRPr="00821AC2">
        <w:rPr>
          <w:szCs w:val="24"/>
        </w:rPr>
        <w:t>kde:</w:t>
      </w:r>
    </w:p>
    <w:p w:rsidR="003F0238" w:rsidRPr="00821AC2" w:rsidRDefault="003F0238" w:rsidP="00096229">
      <w:pPr>
        <w:pStyle w:val="Textbodu"/>
        <w:numPr>
          <w:ilvl w:val="0"/>
          <w:numId w:val="0"/>
        </w:numPr>
        <w:spacing w:after="120"/>
        <w:ind w:left="851" w:hanging="425"/>
        <w:rPr>
          <w:szCs w:val="24"/>
        </w:rPr>
      </w:pPr>
    </w:p>
    <w:p w:rsidR="003F0238" w:rsidRPr="00821AC2" w:rsidRDefault="003F0238" w:rsidP="00096229">
      <w:pPr>
        <w:pStyle w:val="Textbodu"/>
        <w:numPr>
          <w:ilvl w:val="0"/>
          <w:numId w:val="0"/>
        </w:numPr>
        <w:spacing w:after="120"/>
        <w:ind w:left="851" w:hanging="425"/>
        <w:rPr>
          <w:szCs w:val="24"/>
        </w:rPr>
      </w:pPr>
      <w:r w:rsidRPr="00821AC2">
        <w:rPr>
          <w:szCs w:val="24"/>
        </w:rPr>
        <w:t>(iii)</w:t>
      </w:r>
      <w:r w:rsidRPr="00821AC2">
        <w:rPr>
          <w:szCs w:val="24"/>
        </w:rPr>
        <w:tab/>
      </w:r>
      <m:oMath>
        <m:sSub>
          <m:sSubPr>
            <m:ctrlPr>
              <w:rPr>
                <w:rFonts w:ascii="Cambria Math" w:hAnsi="Cambria Math"/>
                <w:i/>
                <w:szCs w:val="24"/>
              </w:rPr>
            </m:ctrlPr>
          </m:sSubPr>
          <m:e>
            <m:r>
              <w:rPr>
                <w:rFonts w:ascii="Cambria Math" w:hAnsi="Cambria Math"/>
                <w:szCs w:val="24"/>
              </w:rPr>
              <m:t>KS_CM</m:t>
            </m:r>
          </m:e>
          <m:sub>
            <m:r>
              <w:rPr>
                <w:rFonts w:ascii="Cambria Math" w:hAnsi="Cambria Math"/>
                <w:szCs w:val="24"/>
              </w:rPr>
              <m:t>p,2013</m:t>
            </m:r>
          </m:sub>
        </m:sSub>
        <m:r>
          <w:rPr>
            <w:rFonts w:ascii="Cambria Math" w:hAnsi="Cambria Math"/>
            <w:szCs w:val="24"/>
          </w:rPr>
          <m:t>=</m:t>
        </m:r>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sSub>
              <m:sSubPr>
                <m:ctrlPr>
                  <w:rPr>
                    <w:rFonts w:ascii="Cambria Math" w:hAnsi="Cambria Math"/>
                    <w:i/>
                    <w:szCs w:val="24"/>
                  </w:rPr>
                </m:ctrlPr>
              </m:sSubPr>
              <m:e>
                <m:r>
                  <w:rPr>
                    <w:rFonts w:ascii="Cambria Math" w:hAnsi="Cambria Math"/>
                    <w:szCs w:val="24"/>
                  </w:rPr>
                  <m:t>Ks</m:t>
                </m:r>
              </m:e>
              <m:sub>
                <m:r>
                  <w:rPr>
                    <w:rFonts w:ascii="Cambria Math" w:hAnsi="Cambria Math"/>
                    <w:szCs w:val="24"/>
                  </w:rPr>
                  <m:t>p,i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m:t>
                </m:r>
              </m:e>
              <m:sub>
                <m:r>
                  <w:rPr>
                    <w:rFonts w:ascii="Cambria Math" w:hAnsi="Cambria Math"/>
                    <w:szCs w:val="24"/>
                  </w:rPr>
                  <m:t>drgi,2013</m:t>
                </m:r>
              </m:sub>
            </m:sSub>
          </m:e>
        </m:nary>
      </m:oMath>
    </w:p>
    <w:p w:rsidR="003F0238" w:rsidRPr="00821AC2" w:rsidRDefault="003F0238" w:rsidP="003F0238">
      <w:pPr>
        <w:pStyle w:val="Textbodu"/>
        <w:numPr>
          <w:ilvl w:val="0"/>
          <w:numId w:val="0"/>
        </w:numPr>
        <w:spacing w:after="120"/>
        <w:ind w:left="2694" w:hanging="1276"/>
      </w:pPr>
    </w:p>
    <w:p w:rsidR="003F0238" w:rsidRPr="00821AC2" w:rsidRDefault="00EE7212" w:rsidP="00821AC2">
      <w:pPr>
        <w:pStyle w:val="Textbodu"/>
        <w:numPr>
          <w:ilvl w:val="0"/>
          <w:numId w:val="0"/>
        </w:numPr>
        <w:spacing w:after="120"/>
        <w:ind w:left="2694" w:hanging="2127"/>
        <w:rPr>
          <w:szCs w:val="24"/>
        </w:rPr>
      </w:pPr>
      <m:oMath>
        <m:sSub>
          <m:sSubPr>
            <m:ctrlPr>
              <w:rPr>
                <w:rFonts w:ascii="Cambria Math" w:hAnsi="Cambria Math"/>
                <w:i/>
              </w:rPr>
            </m:ctrlPr>
          </m:sSubPr>
          <m:e>
            <m:r>
              <w:rPr>
                <w:rFonts w:ascii="Cambria Math" w:hAnsi="Cambria Math"/>
              </w:rPr>
              <m:t>CM</m:t>
            </m:r>
          </m:e>
          <m:sub>
            <m:r>
              <w:rPr>
                <w:rFonts w:ascii="Cambria Math" w:hAnsi="Cambria Math"/>
              </w:rPr>
              <m:t>drgi,2013</m:t>
            </m:r>
          </m:sub>
        </m:sSub>
      </m:oMath>
      <w:r w:rsidR="003F0238" w:rsidRPr="00821AC2">
        <w:tab/>
      </w:r>
      <w:r w:rsidR="003F0238" w:rsidRPr="00821AC2">
        <w:rPr>
          <w:szCs w:val="24"/>
        </w:rPr>
        <w:t>počet případů hospitalizací ukončených v referenčním období a zdravotní pojišťovnou uznaných, které jsou podle Klasifikace zařazeny do skupin vztažených k di</w:t>
      </w:r>
      <w:r w:rsidR="006B0C17" w:rsidRPr="00821AC2">
        <w:rPr>
          <w:szCs w:val="24"/>
        </w:rPr>
        <w:t xml:space="preserve">agnóze uvedených v příloze č. </w:t>
      </w:r>
      <w:r w:rsidR="009D4AD1" w:rsidRPr="00821AC2">
        <w:rPr>
          <w:szCs w:val="24"/>
        </w:rPr>
        <w:t>2</w:t>
      </w:r>
      <w:r w:rsidR="003F0238" w:rsidRPr="00821AC2">
        <w:rPr>
          <w:szCs w:val="24"/>
        </w:rPr>
        <w:t xml:space="preserve"> k této </w:t>
      </w:r>
      <w:r w:rsidR="006B0C17" w:rsidRPr="00821AC2">
        <w:rPr>
          <w:szCs w:val="24"/>
        </w:rPr>
        <w:t xml:space="preserve">dohodě </w:t>
      </w:r>
      <w:r w:rsidR="003F0238" w:rsidRPr="00821AC2">
        <w:rPr>
          <w:szCs w:val="24"/>
        </w:rPr>
        <w:t xml:space="preserve">vynásobených indexy těchto skupin stanovenými </w:t>
      </w:r>
      <w:r w:rsidR="003F0238" w:rsidRPr="00821AC2">
        <w:t>právním předpisem upravujícím hodnoty bodu a výši úhrad pro rok</w:t>
      </w:r>
      <w:r w:rsidR="006B0C17" w:rsidRPr="00821AC2">
        <w:t xml:space="preserve"> 2013 (dále jen „indexy 2013</w:t>
      </w:r>
      <w:r w:rsidR="003F0238" w:rsidRPr="00821AC2">
        <w:t>“),</w:t>
      </w:r>
      <w:r w:rsidR="003F0238" w:rsidRPr="00821AC2">
        <w:rPr>
          <w:szCs w:val="24"/>
        </w:rPr>
        <w:t xml:space="preserve"> kde </w:t>
      </w:r>
      <w:r w:rsidR="003F0238" w:rsidRPr="00821AC2">
        <w:rPr>
          <w:i/>
          <w:szCs w:val="24"/>
        </w:rPr>
        <w:t>i</w:t>
      </w:r>
      <w:r w:rsidR="003F0238" w:rsidRPr="00821AC2">
        <w:rPr>
          <w:szCs w:val="24"/>
        </w:rPr>
        <w:t xml:space="preserve"> nabývá hodnot 1 až </w:t>
      </w:r>
      <w:r w:rsidR="003F0238" w:rsidRPr="00821AC2">
        <w:rPr>
          <w:i/>
          <w:szCs w:val="24"/>
        </w:rPr>
        <w:t>n</w:t>
      </w:r>
      <w:r w:rsidR="003F0238" w:rsidRPr="00821AC2">
        <w:rPr>
          <w:szCs w:val="24"/>
        </w:rPr>
        <w:t xml:space="preserve"> a </w:t>
      </w:r>
      <w:r w:rsidR="003F0238" w:rsidRPr="00821AC2">
        <w:t xml:space="preserve">kde </w:t>
      </w:r>
      <w:r w:rsidR="003F0238" w:rsidRPr="00821AC2">
        <w:rPr>
          <w:i/>
          <w:szCs w:val="24"/>
        </w:rPr>
        <w:t>n</w:t>
      </w:r>
      <w:r w:rsidR="003F0238" w:rsidRPr="00821AC2">
        <w:rPr>
          <w:szCs w:val="24"/>
        </w:rPr>
        <w:t xml:space="preserve"> je celkový počet skupin vztažených k diagnóze uvedených v příloze </w:t>
      </w:r>
      <w:r w:rsidR="009D4AD1" w:rsidRPr="00821AC2">
        <w:rPr>
          <w:szCs w:val="24"/>
        </w:rPr>
        <w:t xml:space="preserve">č. 2 </w:t>
      </w:r>
      <w:r w:rsidR="003F0238" w:rsidRPr="00821AC2">
        <w:t>k</w:t>
      </w:r>
      <w:r w:rsidR="006B0C17" w:rsidRPr="00821AC2">
        <w:t> </w:t>
      </w:r>
      <w:r w:rsidR="003F0238" w:rsidRPr="00821AC2">
        <w:t>této</w:t>
      </w:r>
      <w:r w:rsidR="006B0C17" w:rsidRPr="00821AC2">
        <w:t xml:space="preserve"> dohodě</w:t>
      </w:r>
    </w:p>
    <w:p w:rsidR="003F0238" w:rsidRPr="00821AC2" w:rsidRDefault="00EE7212" w:rsidP="003C2BD0">
      <w:pPr>
        <w:pStyle w:val="Textbodu"/>
        <w:numPr>
          <w:ilvl w:val="0"/>
          <w:numId w:val="0"/>
        </w:numPr>
        <w:spacing w:after="120"/>
        <w:ind w:left="2694" w:hanging="2127"/>
      </w:pPr>
      <w:r w:rsidRPr="00821AC2">
        <w:fldChar w:fldCharType="begin"/>
      </w:r>
      <w:r w:rsidR="003F0238" w:rsidRPr="00821AC2">
        <w:instrText xml:space="preserve"> QUOTE </w:instrText>
      </w:r>
      <w:r w:rsidR="003F0238" w:rsidRPr="00821AC2">
        <w:rPr>
          <w:noProof/>
        </w:rPr>
        <w:drawing>
          <wp:inline distT="0" distB="0" distL="0" distR="0">
            <wp:extent cx="323850" cy="171450"/>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171450"/>
                    </a:xfrm>
                    <a:prstGeom prst="rect">
                      <a:avLst/>
                    </a:prstGeom>
                    <a:noFill/>
                    <a:ln>
                      <a:noFill/>
                    </a:ln>
                  </pic:spPr>
                </pic:pic>
              </a:graphicData>
            </a:graphic>
          </wp:inline>
        </w:drawing>
      </w:r>
      <w:r w:rsidR="003F0238" w:rsidRPr="00821AC2">
        <w:instrText xml:space="preserve"> </w:instrText>
      </w:r>
      <w:r w:rsidRPr="00821AC2">
        <w:fldChar w:fldCharType="end"/>
      </w:r>
      <m:oMath>
        <m:sSub>
          <m:sSubPr>
            <m:ctrlPr>
              <w:rPr>
                <w:rFonts w:ascii="Cambria Math" w:hAnsi="Cambria Math"/>
                <w:i/>
              </w:rPr>
            </m:ctrlPr>
          </m:sSubPr>
          <m:e>
            <m:r>
              <w:rPr>
                <w:rFonts w:ascii="Cambria Math" w:hAnsi="Cambria Math"/>
              </w:rPr>
              <m:t>Ks</m:t>
            </m:r>
          </m:e>
          <m:sub>
            <m:r>
              <w:rPr>
                <w:rFonts w:ascii="Cambria Math" w:hAnsi="Cambria Math"/>
              </w:rPr>
              <m:t>p,i</m:t>
            </m:r>
          </m:sub>
        </m:sSub>
      </m:oMath>
      <w:r w:rsidR="003F0238" w:rsidRPr="00821AC2">
        <w:tab/>
        <w:t xml:space="preserve">koeficient specializace jednotlivých skupin vztažených k diagnóze uvedených v příloze č. </w:t>
      </w:r>
      <w:r w:rsidR="009D4AD1" w:rsidRPr="00821AC2">
        <w:t>2</w:t>
      </w:r>
      <w:r w:rsidR="003C2BD0" w:rsidRPr="00821AC2">
        <w:t xml:space="preserve"> </w:t>
      </w:r>
      <w:r w:rsidR="003F0238" w:rsidRPr="00821AC2">
        <w:t xml:space="preserve">k této </w:t>
      </w:r>
      <w:r w:rsidR="003C2BD0" w:rsidRPr="00821AC2">
        <w:t>dohodě</w:t>
      </w:r>
    </w:p>
    <w:p w:rsidR="003F0238" w:rsidRPr="00821AC2" w:rsidRDefault="00EE7212" w:rsidP="00B7788C">
      <w:pPr>
        <w:tabs>
          <w:tab w:val="left" w:pos="3119"/>
        </w:tabs>
        <w:spacing w:after="120"/>
        <w:ind w:left="2694" w:hanging="2127"/>
      </w:pPr>
      <w:r w:rsidRPr="00821AC2">
        <w:fldChar w:fldCharType="begin"/>
      </w:r>
      <w:r w:rsidR="003F0238" w:rsidRPr="00821AC2">
        <w:instrText xml:space="preserve"> QUOTE </w:instrText>
      </w:r>
      <w:r w:rsidR="003F0238" w:rsidRPr="00821AC2">
        <w:rPr>
          <w:noProof/>
        </w:rPr>
        <w:drawing>
          <wp:inline distT="0" distB="0" distL="0" distR="0">
            <wp:extent cx="266700" cy="171450"/>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003F0238" w:rsidRPr="00821AC2">
        <w:instrText xml:space="preserve"> </w:instrText>
      </w:r>
      <w:r w:rsidRPr="00821AC2">
        <w:fldChar w:fldCharType="end"/>
      </w:r>
      <m:oMath>
        <m:sSub>
          <m:sSubPr>
            <m:ctrlPr>
              <w:rPr>
                <w:rFonts w:ascii="Cambria Math" w:hAnsi="Cambria Math"/>
                <w:i/>
              </w:rPr>
            </m:ctrlPr>
          </m:sSubPr>
          <m:e>
            <m:r>
              <w:rPr>
                <w:rFonts w:ascii="Cambria Math" w:hAnsi="Cambria Math"/>
              </w:rPr>
              <m:t>Kp</m:t>
            </m:r>
          </m:e>
          <m:sub>
            <m:r>
              <w:rPr>
                <w:rFonts w:ascii="Cambria Math" w:hAnsi="Cambria Math"/>
              </w:rPr>
              <m:t>p</m:t>
            </m:r>
          </m:sub>
        </m:sSub>
      </m:oMath>
      <w:r w:rsidR="003F0238" w:rsidRPr="00821AC2">
        <w:tab/>
      </w:r>
      <w:r w:rsidR="003C2BD0" w:rsidRPr="00821AC2">
        <w:rPr>
          <w:szCs w:val="24"/>
        </w:rPr>
        <w:t>koeficient změny podílu počtu pojištěnců příslušné zdravotní pojišťovny čerpajících hrazené služby u daného poskytovatele na celkovém počtu pojištěnců čerpajících hrazené služby u daného poskytovatele mezi</w:t>
      </w:r>
      <w:r w:rsidR="00BA7F90" w:rsidRPr="00821AC2">
        <w:rPr>
          <w:szCs w:val="24"/>
        </w:rPr>
        <w:t xml:space="preserve"> 1. lednem 2015 a 1. lednem 2013</w:t>
      </w:r>
      <w:r w:rsidR="003C2BD0" w:rsidRPr="00821AC2">
        <w:rPr>
          <w:szCs w:val="24"/>
        </w:rPr>
        <w:t xml:space="preserve">, přičemž jednotliví pojištěnci jsou váženi jejich náklady v referenčním období; pokud došlo v referenčním </w:t>
      </w:r>
      <w:r w:rsidR="00BA7F90" w:rsidRPr="00821AC2">
        <w:rPr>
          <w:szCs w:val="24"/>
        </w:rPr>
        <w:t>období nebo v roce 2014</w:t>
      </w:r>
      <w:r w:rsidR="003C2BD0" w:rsidRPr="00821AC2">
        <w:rPr>
          <w:szCs w:val="24"/>
        </w:rPr>
        <w:t xml:space="preserve"> ke sloučení dvou či více zdravotních pojišťoven, jde o koeficient změny podílu počtu pojištěnců všech sloučených zdravotních pojišťoven</w:t>
      </w:r>
      <w:r w:rsidR="003C2BD0" w:rsidRPr="00821AC2">
        <w:t>.</w:t>
      </w:r>
      <w:r w:rsidR="003C2BD0" w:rsidRPr="00821AC2">
        <w:rPr>
          <w:szCs w:val="24"/>
        </w:rPr>
        <w:t xml:space="preserve"> Tento koeficient se stanoví jako </w:t>
      </w:r>
      <w:r w:rsidR="003C2BD0" w:rsidRPr="00821AC2">
        <w:t xml:space="preserve">index změny počtu pojištěnců váženého náklady příslušné zdravotní pojišťovny poskytování hrazených služeb mezi </w:t>
      </w:r>
      <w:r w:rsidR="00BA7F90" w:rsidRPr="00821AC2">
        <w:rPr>
          <w:szCs w:val="24"/>
        </w:rPr>
        <w:t>1. lednem 2013</w:t>
      </w:r>
      <w:r w:rsidR="003C2BD0" w:rsidRPr="00821AC2">
        <w:rPr>
          <w:szCs w:val="24"/>
        </w:rPr>
        <w:t xml:space="preserve"> a 1.</w:t>
      </w:r>
      <w:r w:rsidR="003C2BD0" w:rsidRPr="00821AC2">
        <w:t> </w:t>
      </w:r>
      <w:r w:rsidR="003C2BD0" w:rsidRPr="00821AC2">
        <w:rPr>
          <w:szCs w:val="24"/>
        </w:rPr>
        <w:t>lednem 2015</w:t>
      </w:r>
      <w:r w:rsidR="003C2BD0" w:rsidRPr="00821AC2">
        <w:t xml:space="preserve">, přičemž tyto koeficienty změny váženého počtu pojištěnců zdravotních pojišťoven podle České republiky jsou uvedeny v příloze č. </w:t>
      </w:r>
      <w:r w:rsidR="0027384E" w:rsidRPr="00821AC2">
        <w:t>3</w:t>
      </w:r>
      <w:r w:rsidR="00BA7F90" w:rsidRPr="00821AC2">
        <w:t xml:space="preserve"> k této dohodě</w:t>
      </w:r>
    </w:p>
    <w:p w:rsidR="003F0238" w:rsidRPr="00821AC2" w:rsidRDefault="00EE7212" w:rsidP="003C2BD0">
      <w:pPr>
        <w:pStyle w:val="Textbodu"/>
        <w:numPr>
          <w:ilvl w:val="0"/>
          <w:numId w:val="0"/>
        </w:numPr>
        <w:spacing w:after="120"/>
        <w:ind w:left="2694" w:hanging="2127"/>
      </w:pPr>
      <w:r w:rsidRPr="00821AC2">
        <w:fldChar w:fldCharType="begin"/>
      </w:r>
      <w:r w:rsidR="003F0238" w:rsidRPr="00821AC2">
        <w:instrText xml:space="preserve"> QUOTE </w:instrText>
      </w:r>
      <w:r w:rsidR="003F0238" w:rsidRPr="00821AC2">
        <w:rPr>
          <w:noProof/>
        </w:rPr>
        <w:drawing>
          <wp:inline distT="0" distB="0" distL="0" distR="0">
            <wp:extent cx="638175" cy="171450"/>
            <wp:effectExtent l="0" t="0" r="9525"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171450"/>
                    </a:xfrm>
                    <a:prstGeom prst="rect">
                      <a:avLst/>
                    </a:prstGeom>
                    <a:noFill/>
                    <a:ln>
                      <a:noFill/>
                    </a:ln>
                  </pic:spPr>
                </pic:pic>
              </a:graphicData>
            </a:graphic>
          </wp:inline>
        </w:drawing>
      </w:r>
      <w:r w:rsidR="003F0238" w:rsidRPr="00821AC2">
        <w:instrText xml:space="preserve"> </w:instrText>
      </w:r>
      <w:r w:rsidRPr="00821AC2">
        <w:fldChar w:fldCharType="end"/>
      </w:r>
      <m:oMath>
        <m:sSub>
          <m:sSubPr>
            <m:ctrlPr>
              <w:rPr>
                <w:rFonts w:ascii="Cambria Math" w:hAnsi="Cambria Math"/>
                <w:i/>
              </w:rPr>
            </m:ctrlPr>
          </m:sSubPr>
          <m:e>
            <m:r>
              <w:rPr>
                <w:rFonts w:ascii="Cambria Math" w:hAnsi="Cambria Math"/>
              </w:rPr>
              <m:t>PU</m:t>
            </m:r>
          </m:e>
          <m:sub>
            <m:r>
              <w:rPr>
                <w:rFonts w:ascii="Cambria Math" w:hAnsi="Cambria Math"/>
              </w:rPr>
              <m:t>drg,2013</m:t>
            </m:r>
          </m:sub>
        </m:sSub>
      </m:oMath>
      <w:r w:rsidR="003F0238" w:rsidRPr="00821AC2">
        <w:tab/>
        <w:t xml:space="preserve">je celková výše úhrady za poskytovatelem vykázané a zdravotní pojišťovnou uznané hrazené služby poskytnuté </w:t>
      </w:r>
      <w:r w:rsidR="003F0238" w:rsidRPr="00821AC2">
        <w:rPr>
          <w:rFonts w:cs="Arial"/>
        </w:rPr>
        <w:t xml:space="preserve">během hospitalizací ukončených v referenčním období, </w:t>
      </w:r>
      <w:r w:rsidR="003F0238" w:rsidRPr="00821AC2">
        <w:rPr>
          <w:szCs w:val="24"/>
        </w:rPr>
        <w:t xml:space="preserve">které jsou podle Klasifikace zařazeny do skupin vztažených k diagnóze uvedených v příloze </w:t>
      </w:r>
      <w:r w:rsidR="0027384E" w:rsidRPr="00821AC2">
        <w:rPr>
          <w:szCs w:val="24"/>
        </w:rPr>
        <w:t>č. 2</w:t>
      </w:r>
      <w:r w:rsidR="003F0238" w:rsidRPr="00821AC2">
        <w:rPr>
          <w:szCs w:val="24"/>
        </w:rPr>
        <w:t xml:space="preserve"> k</w:t>
      </w:r>
      <w:r w:rsidR="00BA7F90" w:rsidRPr="00821AC2">
        <w:rPr>
          <w:szCs w:val="24"/>
        </w:rPr>
        <w:t> </w:t>
      </w:r>
      <w:r w:rsidR="003F0238" w:rsidRPr="00821AC2">
        <w:rPr>
          <w:szCs w:val="24"/>
        </w:rPr>
        <w:t>této</w:t>
      </w:r>
      <w:r w:rsidR="00BA7F90" w:rsidRPr="00821AC2">
        <w:rPr>
          <w:szCs w:val="24"/>
        </w:rPr>
        <w:t xml:space="preserve"> dohodě</w:t>
      </w:r>
      <w:r w:rsidR="003F0238" w:rsidRPr="00821AC2">
        <w:rPr>
          <w:rFonts w:cs="Arial"/>
        </w:rPr>
        <w:t xml:space="preserve">, </w:t>
      </w:r>
      <w:r w:rsidR="003F0238" w:rsidRPr="00821AC2">
        <w:t>včetně vypořádání regulačních omezení s výjimkou regulace na předepsané léčivé přípravky a zdravotnické prostředky, zvýšené o hodnotu</w:t>
      </w:r>
      <w:r w:rsidR="00BA7F90" w:rsidRPr="00821AC2">
        <w:t xml:space="preserve"> </w:t>
      </w:r>
      <w:r w:rsidR="003F0238" w:rsidRPr="00821AC2">
        <w:t xml:space="preserve">vyžádané extramurální péče oceněné hodnotami bodu platnými v hodnoceném období včetně nákladů na zvlášť účtovaný materiál a zvlášť účtované léčivé přípravky a snížené o úhradu léčivých přípravků uvedených v příloze č. </w:t>
      </w:r>
      <w:r w:rsidR="0027384E" w:rsidRPr="00821AC2">
        <w:t xml:space="preserve">4 </w:t>
      </w:r>
      <w:r w:rsidR="00BA7F90" w:rsidRPr="00821AC2">
        <w:t>k této dohodě</w:t>
      </w:r>
    </w:p>
    <w:p w:rsidR="003F0238" w:rsidRPr="00821AC2" w:rsidRDefault="00EE7212" w:rsidP="00A77FB4">
      <w:pPr>
        <w:ind w:left="2694" w:hanging="2127"/>
        <w:rPr>
          <w:szCs w:val="24"/>
        </w:rPr>
      </w:pPr>
      <m:oMath>
        <m:sSub>
          <m:sSubPr>
            <m:ctrlPr>
              <w:rPr>
                <w:rFonts w:ascii="Cambria Math" w:hAnsi="Cambria Math"/>
                <w:i/>
                <w:szCs w:val="24"/>
              </w:rPr>
            </m:ctrlPr>
          </m:sSubPr>
          <m:e>
            <m:r>
              <w:rPr>
                <w:rFonts w:ascii="Cambria Math" w:hAnsi="Cambria Math"/>
                <w:szCs w:val="24"/>
              </w:rPr>
              <m:t>Úhr</m:t>
            </m:r>
          </m:e>
          <m:sub>
            <m:r>
              <w:rPr>
                <w:rFonts w:ascii="Cambria Math" w:hAnsi="Cambria Math"/>
                <w:szCs w:val="24"/>
              </w:rPr>
              <m:t>15</m:t>
            </m:r>
          </m:sub>
        </m:sSub>
      </m:oMath>
      <w:r w:rsidR="003F0238" w:rsidRPr="00821AC2">
        <w:rPr>
          <w:szCs w:val="24"/>
        </w:rPr>
        <w:tab/>
      </w:r>
      <w:r w:rsidR="00A77FB4" w:rsidRPr="00821AC2">
        <w:rPr>
          <w:szCs w:val="24"/>
        </w:rPr>
        <w:t xml:space="preserve">je úhrada za léčivý přípravek </w:t>
      </w:r>
      <w:r w:rsidR="00A77FB4" w:rsidRPr="00821AC2">
        <w:t xml:space="preserve">Plazma čerstvá, zmrazená pro klinické použití (0207921) </w:t>
      </w:r>
      <w:r w:rsidR="00970936" w:rsidRPr="00821AC2">
        <w:rPr>
          <w:szCs w:val="24"/>
        </w:rPr>
        <w:t>uvedený</w:t>
      </w:r>
      <w:r w:rsidR="003F0238" w:rsidRPr="00821AC2">
        <w:rPr>
          <w:szCs w:val="24"/>
        </w:rPr>
        <w:t xml:space="preserve"> v příloze č. </w:t>
      </w:r>
      <w:r w:rsidR="0027384E" w:rsidRPr="00821AC2">
        <w:rPr>
          <w:szCs w:val="24"/>
        </w:rPr>
        <w:t>4</w:t>
      </w:r>
      <w:r w:rsidR="00BA7F90" w:rsidRPr="00821AC2">
        <w:rPr>
          <w:szCs w:val="24"/>
        </w:rPr>
        <w:t xml:space="preserve"> k této dohodě</w:t>
      </w:r>
      <w:r w:rsidR="00970936" w:rsidRPr="00821AC2">
        <w:rPr>
          <w:szCs w:val="24"/>
        </w:rPr>
        <w:t xml:space="preserve"> </w:t>
      </w:r>
    </w:p>
    <w:p w:rsidR="00A77FB4" w:rsidRPr="00821AC2" w:rsidRDefault="00A77FB4" w:rsidP="00A77FB4">
      <w:pPr>
        <w:ind w:left="2694" w:hanging="2127"/>
      </w:pPr>
    </w:p>
    <w:p w:rsidR="003F0238" w:rsidRPr="00821AC2" w:rsidRDefault="003F0238" w:rsidP="00BA7F90">
      <w:pPr>
        <w:pStyle w:val="Textbodu"/>
        <w:numPr>
          <w:ilvl w:val="0"/>
          <w:numId w:val="0"/>
        </w:numPr>
        <w:spacing w:after="120"/>
        <w:ind w:left="2694" w:hanging="2127"/>
      </w:pPr>
      <w:r w:rsidRPr="00821AC2">
        <w:rPr>
          <w:i/>
        </w:rPr>
        <w:t>TZS</w:t>
      </w:r>
      <w:r w:rsidRPr="00821AC2">
        <w:tab/>
        <w:t xml:space="preserve">je technická </w:t>
      </w:r>
      <w:r w:rsidR="00BA7F90" w:rsidRPr="00821AC2">
        <w:t>základní sazba stanovená na 22 800 Kč</w:t>
      </w:r>
    </w:p>
    <w:p w:rsidR="003F0238" w:rsidRPr="00821AC2" w:rsidRDefault="00EE7212" w:rsidP="00BA7F90">
      <w:pPr>
        <w:pStyle w:val="Textbodu"/>
        <w:numPr>
          <w:ilvl w:val="0"/>
          <w:numId w:val="0"/>
        </w:numPr>
        <w:spacing w:after="120"/>
        <w:ind w:left="2694" w:hanging="2127"/>
      </w:pPr>
      <w:r w:rsidRPr="00821AC2">
        <w:lastRenderedPageBreak/>
        <w:fldChar w:fldCharType="begin"/>
      </w:r>
      <w:r w:rsidR="003F0238" w:rsidRPr="00821AC2">
        <w:instrText xml:space="preserve"> QUOTE </w:instrText>
      </w:r>
      <w:r w:rsidR="003F0238" w:rsidRPr="00821AC2">
        <w:rPr>
          <w:noProof/>
        </w:rPr>
        <w:drawing>
          <wp:inline distT="0" distB="0" distL="0" distR="0">
            <wp:extent cx="457200" cy="142875"/>
            <wp:effectExtent l="0" t="0" r="0" b="9525"/>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142875"/>
                    </a:xfrm>
                    <a:prstGeom prst="rect">
                      <a:avLst/>
                    </a:prstGeom>
                    <a:noFill/>
                    <a:ln>
                      <a:noFill/>
                    </a:ln>
                  </pic:spPr>
                </pic:pic>
              </a:graphicData>
            </a:graphic>
          </wp:inline>
        </w:drawing>
      </w:r>
      <w:r w:rsidR="003F0238" w:rsidRPr="00821AC2">
        <w:instrText xml:space="preserve"> </w:instrText>
      </w:r>
      <w:r w:rsidRPr="00821AC2">
        <w:fldChar w:fldCharType="end"/>
      </w:r>
      <m:oMath>
        <m:sSub>
          <m:sSubPr>
            <m:ctrlPr>
              <w:rPr>
                <w:rFonts w:ascii="Cambria Math" w:hAnsi="Cambria Math"/>
                <w:i/>
              </w:rPr>
            </m:ctrlPr>
          </m:sSubPr>
          <m:e>
            <m:r>
              <w:rPr>
                <w:rFonts w:ascii="Cambria Math" w:hAnsi="Cambria Math"/>
              </w:rPr>
              <m:t>EM</m:t>
            </m:r>
          </m:e>
          <m:sub>
            <m:r>
              <w:rPr>
                <w:rFonts w:ascii="Cambria Math" w:hAnsi="Cambria Math"/>
              </w:rPr>
              <m:t>2015</m:t>
            </m:r>
          </m:sub>
        </m:sSub>
      </m:oMath>
      <w:r w:rsidR="003F0238" w:rsidRPr="00821AC2">
        <w:tab/>
        <w:t xml:space="preserve">je </w:t>
      </w:r>
      <w:r w:rsidR="003F0238" w:rsidRPr="00821AC2">
        <w:rPr>
          <w:szCs w:val="24"/>
        </w:rPr>
        <w:t xml:space="preserve">celková hodnota </w:t>
      </w:r>
      <w:r w:rsidR="003F0238" w:rsidRPr="00821AC2">
        <w:t>vyžádané extramurální péče</w:t>
      </w:r>
      <w:r w:rsidR="003F0238" w:rsidRPr="00821AC2">
        <w:rPr>
          <w:szCs w:val="24"/>
        </w:rPr>
        <w:t xml:space="preserve"> v rámci případů hospitalizací poskytovatelem vykázaných a zdravotní pojišťovnou uznaných, které byly ukončeny v hodnoceném období, oceněná hodnotami bodu platnými v hodnoceném období včetně nákladů na zvlášť účtovaný materiál a zvlášť účtované léčivé přípravky</w:t>
      </w:r>
    </w:p>
    <w:p w:rsidR="003F0238" w:rsidRPr="00821AC2" w:rsidRDefault="003F0238" w:rsidP="003F0238">
      <w:pPr>
        <w:pStyle w:val="Textbodu"/>
        <w:numPr>
          <w:ilvl w:val="0"/>
          <w:numId w:val="0"/>
        </w:numPr>
        <w:spacing w:after="120"/>
        <w:ind w:left="2694" w:hanging="1276"/>
      </w:pPr>
    </w:p>
    <w:p w:rsidR="003F0238" w:rsidRPr="00821AC2" w:rsidRDefault="003F0238" w:rsidP="00C648CF">
      <w:pPr>
        <w:pStyle w:val="Textbodu"/>
        <w:numPr>
          <w:ilvl w:val="0"/>
          <w:numId w:val="0"/>
        </w:numPr>
        <w:spacing w:after="120"/>
        <w:ind w:left="567"/>
      </w:pPr>
      <w:r w:rsidRPr="00821AC2">
        <w:t>a kde:</w:t>
      </w:r>
    </w:p>
    <w:p w:rsidR="003F0238" w:rsidRPr="00821AC2" w:rsidRDefault="003F0238" w:rsidP="003F0238">
      <w:pPr>
        <w:pStyle w:val="Textbodu"/>
        <w:numPr>
          <w:ilvl w:val="0"/>
          <w:numId w:val="0"/>
        </w:numPr>
        <w:spacing w:after="120"/>
        <w:ind w:left="709"/>
      </w:pPr>
    </w:p>
    <w:p w:rsidR="003F0238" w:rsidRPr="00821AC2" w:rsidRDefault="003F0238" w:rsidP="003F0238">
      <w:pPr>
        <w:pStyle w:val="Textbodu"/>
        <w:numPr>
          <w:ilvl w:val="0"/>
          <w:numId w:val="0"/>
        </w:numPr>
        <w:spacing w:after="120"/>
        <w:ind w:left="709"/>
      </w:pPr>
      <w:r w:rsidRPr="00821AC2">
        <w:t xml:space="preserve">(iv)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red</m:t>
            </m:r>
          </m:sub>
        </m:sSub>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drg,2015</m:t>
                </m:r>
              </m:sub>
            </m:sSub>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drg,2015</m:t>
                        </m:r>
                      </m:sub>
                    </m:sSub>
                  </m:e>
                </m:d>
              </m:e>
              <m:sup>
                <m:r>
                  <w:rPr>
                    <w:rFonts w:ascii="Cambria Math" w:hAnsi="Cambria Math"/>
                    <w:sz w:val="22"/>
                  </w:rPr>
                  <m:t>0,2</m:t>
                </m:r>
              </m:sup>
            </m:sSup>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r>
                      <w:rPr>
                        <w:rFonts w:ascii="Cambria Math" w:hAnsi="Cambria Math"/>
                        <w:sz w:val="22"/>
                      </w:rPr>
                      <m:t>1,05*</m:t>
                    </m:r>
                    <m:sSub>
                      <m:sSubPr>
                        <m:ctrlPr>
                          <w:rPr>
                            <w:rFonts w:ascii="Cambria Math" w:hAnsi="Cambria Math"/>
                            <w:i/>
                            <w:sz w:val="22"/>
                          </w:rPr>
                        </m:ctrlPr>
                      </m:sSubPr>
                      <m:e>
                        <m:r>
                          <w:rPr>
                            <w:rFonts w:ascii="Cambria Math" w:hAnsi="Cambria Math"/>
                            <w:sz w:val="22"/>
                          </w:rPr>
                          <m:t>PP</m:t>
                        </m:r>
                      </m:e>
                      <m:sub>
                        <m:r>
                          <w:rPr>
                            <w:rFonts w:ascii="Cambria Math" w:hAnsi="Cambria Math"/>
                            <w:sz w:val="22"/>
                          </w:rPr>
                          <m:t>drg,2015</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CM</m:t>
                            </m:r>
                          </m:e>
                          <m:sub>
                            <m:r>
                              <w:rPr>
                                <w:rFonts w:ascii="Cambria Math" w:hAnsi="Cambria Math"/>
                                <w:sz w:val="22"/>
                              </w:rPr>
                              <m:t>drg,2013</m:t>
                            </m:r>
                          </m:sub>
                        </m:sSub>
                      </m:num>
                      <m:den>
                        <m:sSub>
                          <m:sSubPr>
                            <m:ctrlPr>
                              <w:rPr>
                                <w:rFonts w:ascii="Cambria Math" w:hAnsi="Cambria Math"/>
                                <w:i/>
                                <w:sz w:val="22"/>
                              </w:rPr>
                            </m:ctrlPr>
                          </m:sSubPr>
                          <m:e>
                            <m:r>
                              <w:rPr>
                                <w:rFonts w:ascii="Cambria Math" w:hAnsi="Cambria Math"/>
                                <w:sz w:val="22"/>
                              </w:rPr>
                              <m:t>PP</m:t>
                            </m:r>
                          </m:e>
                          <m:sub>
                            <m:r>
                              <w:rPr>
                                <w:rFonts w:ascii="Cambria Math" w:hAnsi="Cambria Math"/>
                                <w:sz w:val="22"/>
                              </w:rPr>
                              <m:t>drg,2013</m:t>
                            </m:r>
                          </m:sub>
                        </m:sSub>
                      </m:den>
                    </m:f>
                  </m:e>
                </m:d>
              </m:e>
              <m:sup>
                <m:r>
                  <w:rPr>
                    <w:rFonts w:ascii="Cambria Math" w:hAnsi="Cambria Math"/>
                    <w:sz w:val="22"/>
                  </w:rPr>
                  <m:t>0,8</m:t>
                </m:r>
              </m:sup>
            </m:sSup>
          </m:e>
        </m:d>
      </m:oMath>
      <w:r w:rsidRPr="00821AC2">
        <w:rPr>
          <w:sz w:val="22"/>
        </w:rPr>
        <w:t>,</w:t>
      </w:r>
    </w:p>
    <w:p w:rsidR="003F0238" w:rsidRPr="00821AC2" w:rsidRDefault="003F0238" w:rsidP="003F0238">
      <w:pPr>
        <w:pStyle w:val="Textbodu"/>
        <w:numPr>
          <w:ilvl w:val="0"/>
          <w:numId w:val="0"/>
        </w:numPr>
        <w:spacing w:after="120"/>
        <w:ind w:left="709"/>
      </w:pPr>
    </w:p>
    <w:p w:rsidR="003F0238" w:rsidRDefault="003F0238" w:rsidP="00C648CF">
      <w:pPr>
        <w:pStyle w:val="Textbodu"/>
        <w:numPr>
          <w:ilvl w:val="0"/>
          <w:numId w:val="0"/>
        </w:numPr>
        <w:spacing w:after="120"/>
        <w:ind w:left="567"/>
      </w:pPr>
      <w:r w:rsidRPr="00821AC2">
        <w:t>a kde:</w:t>
      </w:r>
    </w:p>
    <w:p w:rsidR="00972B08" w:rsidRPr="00821AC2" w:rsidRDefault="00972B08" w:rsidP="00C648CF">
      <w:pPr>
        <w:pStyle w:val="Textbodu"/>
        <w:numPr>
          <w:ilvl w:val="0"/>
          <w:numId w:val="0"/>
        </w:numPr>
        <w:spacing w:after="120"/>
        <w:ind w:left="567"/>
      </w:pPr>
    </w:p>
    <w:p w:rsidR="003F0238" w:rsidRPr="00821AC2" w:rsidRDefault="00EE7212" w:rsidP="00C648CF">
      <w:pPr>
        <w:pStyle w:val="Textbodu"/>
        <w:numPr>
          <w:ilvl w:val="0"/>
          <w:numId w:val="0"/>
        </w:numPr>
        <w:spacing w:after="120"/>
        <w:ind w:left="2694" w:hanging="2127"/>
        <w:rPr>
          <w:szCs w:val="24"/>
        </w:rPr>
      </w:pPr>
      <w:r w:rsidRPr="00821AC2">
        <w:fldChar w:fldCharType="begin"/>
      </w:r>
      <w:r w:rsidR="003F0238" w:rsidRPr="00821AC2">
        <w:instrText xml:space="preserve"> QUOTE </w:instrText>
      </w:r>
      <w:r w:rsidR="003F0238" w:rsidRPr="00821AC2">
        <w:rPr>
          <w:noProof/>
        </w:rPr>
        <w:drawing>
          <wp:inline distT="0" distB="0" distL="0" distR="0">
            <wp:extent cx="666750" cy="171450"/>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3F0238" w:rsidRPr="00821AC2">
        <w:instrText xml:space="preserve"> </w:instrText>
      </w:r>
      <w:r w:rsidRPr="00821AC2">
        <w:fldChar w:fldCharType="end"/>
      </w:r>
      <m:oMath>
        <m:sSub>
          <m:sSubPr>
            <m:ctrlPr>
              <w:rPr>
                <w:rFonts w:ascii="Cambria Math" w:hAnsi="Cambria Math"/>
                <w:i/>
              </w:rPr>
            </m:ctrlPr>
          </m:sSubPr>
          <m:e>
            <m:r>
              <w:rPr>
                <w:rFonts w:ascii="Cambria Math" w:hAnsi="Cambria Math"/>
              </w:rPr>
              <m:t>CM</m:t>
            </m:r>
          </m:e>
          <m:sub>
            <m:r>
              <w:rPr>
                <w:rFonts w:ascii="Cambria Math" w:hAnsi="Cambria Math"/>
              </w:rPr>
              <m:t>drg,2015</m:t>
            </m:r>
          </m:sub>
        </m:sSub>
      </m:oMath>
      <w:r w:rsidR="003F0238" w:rsidRPr="00821AC2">
        <w:tab/>
        <w:t xml:space="preserve">je </w:t>
      </w:r>
      <w:r w:rsidR="003F0238" w:rsidRPr="00821AC2">
        <w:rPr>
          <w:szCs w:val="24"/>
        </w:rPr>
        <w:t xml:space="preserve">počet případů hospitalizací poskytovatelem vykázaných a zdravotní pojišťovnou uznaných, které byly ukončeny v hodnoceném období, které jsou podle Klasifikace zařazeny do skupin vztažených k </w:t>
      </w:r>
      <w:r w:rsidR="00C648CF" w:rsidRPr="00821AC2">
        <w:rPr>
          <w:szCs w:val="24"/>
        </w:rPr>
        <w:t>diagnóze, vynásobený indexy 2015</w:t>
      </w:r>
    </w:p>
    <w:p w:rsidR="003F0238" w:rsidRPr="00821AC2" w:rsidRDefault="00EE7212" w:rsidP="00C648CF">
      <w:pPr>
        <w:pStyle w:val="Textbodu"/>
        <w:numPr>
          <w:ilvl w:val="0"/>
          <w:numId w:val="0"/>
        </w:numPr>
        <w:spacing w:after="120"/>
        <w:ind w:left="2694" w:hanging="2127"/>
        <w:rPr>
          <w:szCs w:val="24"/>
        </w:rPr>
      </w:pPr>
      <w:r w:rsidRPr="00821AC2">
        <w:fldChar w:fldCharType="begin"/>
      </w:r>
      <w:r w:rsidR="003F0238" w:rsidRPr="00821AC2">
        <w:instrText xml:space="preserve"> QUOTE </w:instrText>
      </w:r>
      <w:r w:rsidR="003F0238" w:rsidRPr="00821AC2">
        <w:rPr>
          <w:noProof/>
        </w:rPr>
        <w:drawing>
          <wp:inline distT="0" distB="0" distL="0" distR="0">
            <wp:extent cx="628650" cy="171450"/>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3F0238" w:rsidRPr="00821AC2">
        <w:instrText xml:space="preserve"> </w:instrText>
      </w:r>
      <w:r w:rsidRPr="00821AC2">
        <w:fldChar w:fldCharType="end"/>
      </w:r>
      <m:oMath>
        <m:sSub>
          <m:sSubPr>
            <m:ctrlPr>
              <w:rPr>
                <w:rFonts w:ascii="Cambria Math" w:hAnsi="Cambria Math"/>
                <w:i/>
              </w:rPr>
            </m:ctrlPr>
          </m:sSubPr>
          <m:e>
            <m:r>
              <w:rPr>
                <w:rFonts w:ascii="Cambria Math" w:hAnsi="Cambria Math"/>
              </w:rPr>
              <m:t>PP</m:t>
            </m:r>
          </m:e>
          <m:sub>
            <m:r>
              <w:rPr>
                <w:rFonts w:ascii="Cambria Math" w:hAnsi="Cambria Math"/>
              </w:rPr>
              <m:t>drg,2015</m:t>
            </m:r>
          </m:sub>
        </m:sSub>
      </m:oMath>
      <w:r w:rsidR="003F0238" w:rsidRPr="00821AC2">
        <w:tab/>
      </w:r>
      <w:r w:rsidR="003F0238" w:rsidRPr="00821AC2">
        <w:rPr>
          <w:szCs w:val="24"/>
        </w:rPr>
        <w:t>počet poskytovatelem vykázaných a zdravotní pojišťovnou uznaných hospitalizací, ukončených v hodnoceném období zařazených do skupin vztažených k diagnóze podle Klasifikace, kt</w:t>
      </w:r>
      <w:r w:rsidR="00C648CF" w:rsidRPr="00821AC2">
        <w:rPr>
          <w:szCs w:val="24"/>
        </w:rPr>
        <w:t xml:space="preserve">eré jsou uvedeny v příloze </w:t>
      </w:r>
      <w:r w:rsidR="0027384E" w:rsidRPr="00821AC2">
        <w:rPr>
          <w:szCs w:val="24"/>
        </w:rPr>
        <w:t>č. 2</w:t>
      </w:r>
      <w:r w:rsidR="00C648CF" w:rsidRPr="00821AC2">
        <w:rPr>
          <w:szCs w:val="24"/>
        </w:rPr>
        <w:t xml:space="preserve"> k této dohodě</w:t>
      </w:r>
    </w:p>
    <w:p w:rsidR="003F0238" w:rsidRPr="00821AC2" w:rsidRDefault="00EE7212" w:rsidP="00C648CF">
      <w:pPr>
        <w:pStyle w:val="Textbodu"/>
        <w:numPr>
          <w:ilvl w:val="0"/>
          <w:numId w:val="0"/>
        </w:numPr>
        <w:spacing w:after="120"/>
        <w:ind w:left="2694" w:hanging="2127"/>
        <w:rPr>
          <w:szCs w:val="24"/>
        </w:rPr>
      </w:pPr>
      <w:r w:rsidRPr="00821AC2">
        <w:fldChar w:fldCharType="begin"/>
      </w:r>
      <w:r w:rsidR="003F0238" w:rsidRPr="00821AC2">
        <w:instrText xml:space="preserve"> QUOTE </w:instrText>
      </w:r>
      <w:r w:rsidR="003F0238" w:rsidRPr="00821AC2">
        <w:rPr>
          <w:noProof/>
        </w:rPr>
        <w:drawing>
          <wp:inline distT="0" distB="0" distL="0" distR="0">
            <wp:extent cx="666750" cy="171450"/>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3F0238" w:rsidRPr="00821AC2">
        <w:instrText xml:space="preserve"> </w:instrText>
      </w:r>
      <w:r w:rsidRPr="00821AC2">
        <w:fldChar w:fldCharType="end"/>
      </w:r>
      <m:oMath>
        <m:sSub>
          <m:sSubPr>
            <m:ctrlPr>
              <w:rPr>
                <w:rFonts w:ascii="Cambria Math" w:hAnsi="Cambria Math"/>
                <w:i/>
              </w:rPr>
            </m:ctrlPr>
          </m:sSubPr>
          <m:e>
            <m:r>
              <w:rPr>
                <w:rFonts w:ascii="Cambria Math" w:hAnsi="Cambria Math"/>
              </w:rPr>
              <m:t>CM</m:t>
            </m:r>
          </m:e>
          <m:sub>
            <m:r>
              <w:rPr>
                <w:rFonts w:ascii="Cambria Math" w:hAnsi="Cambria Math"/>
              </w:rPr>
              <m:t>drg,2013</m:t>
            </m:r>
          </m:sub>
        </m:sSub>
      </m:oMath>
      <w:r w:rsidR="003F0238" w:rsidRPr="00821AC2">
        <w:tab/>
      </w:r>
      <w:r w:rsidR="003F0238" w:rsidRPr="00821AC2">
        <w:rPr>
          <w:szCs w:val="24"/>
        </w:rPr>
        <w:t xml:space="preserve">počet případů hospitalizací ukončených v referenčním období a zdravotní pojišťovnou uznaných, které jsou podle Klasifikace zařazeny do skupin vztažených k diagnóze uvedených v příloze </w:t>
      </w:r>
      <w:r w:rsidR="00C648CF" w:rsidRPr="00821AC2">
        <w:rPr>
          <w:szCs w:val="24"/>
        </w:rPr>
        <w:t xml:space="preserve">č. </w:t>
      </w:r>
      <w:r w:rsidR="0027384E" w:rsidRPr="00821AC2">
        <w:rPr>
          <w:szCs w:val="24"/>
        </w:rPr>
        <w:t xml:space="preserve">2 </w:t>
      </w:r>
      <w:r w:rsidR="003F0238" w:rsidRPr="00821AC2">
        <w:rPr>
          <w:szCs w:val="24"/>
        </w:rPr>
        <w:t xml:space="preserve">k této </w:t>
      </w:r>
      <w:r w:rsidR="00C648CF" w:rsidRPr="00821AC2">
        <w:rPr>
          <w:szCs w:val="24"/>
        </w:rPr>
        <w:t xml:space="preserve">dohodě </w:t>
      </w:r>
      <w:r w:rsidR="003F0238" w:rsidRPr="00821AC2">
        <w:rPr>
          <w:szCs w:val="24"/>
        </w:rPr>
        <w:t>vynásobených indexy 201</w:t>
      </w:r>
      <w:r w:rsidR="00C648CF" w:rsidRPr="00821AC2">
        <w:rPr>
          <w:szCs w:val="24"/>
        </w:rPr>
        <w:t>5</w:t>
      </w:r>
    </w:p>
    <w:p w:rsidR="003F0238" w:rsidRPr="00972B08" w:rsidRDefault="00EE7212" w:rsidP="00972B08">
      <w:pPr>
        <w:pStyle w:val="Textbodu"/>
        <w:numPr>
          <w:ilvl w:val="0"/>
          <w:numId w:val="0"/>
        </w:numPr>
        <w:spacing w:after="120"/>
        <w:ind w:left="2694" w:hanging="2127"/>
        <w:rPr>
          <w:szCs w:val="24"/>
        </w:rPr>
      </w:pPr>
      <w:r w:rsidRPr="00821AC2">
        <w:fldChar w:fldCharType="begin"/>
      </w:r>
      <w:r w:rsidR="003F0238" w:rsidRPr="00821AC2">
        <w:instrText xml:space="preserve"> QUOTE </w:instrText>
      </w:r>
      <w:r w:rsidR="003F0238" w:rsidRPr="00821AC2">
        <w:rPr>
          <w:noProof/>
        </w:rPr>
        <w:drawing>
          <wp:inline distT="0" distB="0" distL="0" distR="0">
            <wp:extent cx="628650" cy="171450"/>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3F0238" w:rsidRPr="00821AC2">
        <w:instrText xml:space="preserve"> </w:instrText>
      </w:r>
      <w:r w:rsidRPr="00821AC2">
        <w:fldChar w:fldCharType="end"/>
      </w:r>
      <m:oMath>
        <m:sSub>
          <m:sSubPr>
            <m:ctrlPr>
              <w:rPr>
                <w:rFonts w:ascii="Cambria Math" w:hAnsi="Cambria Math"/>
                <w:i/>
              </w:rPr>
            </m:ctrlPr>
          </m:sSubPr>
          <m:e>
            <m:r>
              <w:rPr>
                <w:rFonts w:ascii="Cambria Math" w:hAnsi="Cambria Math"/>
              </w:rPr>
              <m:t>PP</m:t>
            </m:r>
          </m:e>
          <m:sub>
            <m:r>
              <w:rPr>
                <w:rFonts w:ascii="Cambria Math" w:hAnsi="Cambria Math"/>
              </w:rPr>
              <m:t>drg,2013</m:t>
            </m:r>
          </m:sub>
        </m:sSub>
      </m:oMath>
      <w:r w:rsidR="003F0238" w:rsidRPr="00821AC2">
        <w:tab/>
      </w:r>
      <w:r w:rsidR="003F0238" w:rsidRPr="00821AC2">
        <w:rPr>
          <w:szCs w:val="24"/>
        </w:rPr>
        <w:t>počet poskytovatelem vykázaných a zdravotní pojišťovnou uznaných hospitalizací, ukončených v referenčním období zařazených do skupin vztažených k diagnóze podle Klasifikace, kt</w:t>
      </w:r>
      <w:r w:rsidR="00C648CF" w:rsidRPr="00821AC2">
        <w:rPr>
          <w:szCs w:val="24"/>
        </w:rPr>
        <w:t xml:space="preserve">eré jsou uvedeny v příloze č. </w:t>
      </w:r>
      <w:r w:rsidR="0027384E" w:rsidRPr="00821AC2">
        <w:rPr>
          <w:szCs w:val="24"/>
        </w:rPr>
        <w:t>2</w:t>
      </w:r>
      <w:r w:rsidR="00C648CF" w:rsidRPr="00821AC2">
        <w:rPr>
          <w:szCs w:val="24"/>
        </w:rPr>
        <w:t xml:space="preserve"> k této dohodě</w:t>
      </w:r>
    </w:p>
    <w:p w:rsidR="003F0238" w:rsidRPr="00821AC2" w:rsidRDefault="003F0238" w:rsidP="00C648CF">
      <w:pPr>
        <w:spacing w:after="120"/>
        <w:ind w:left="2694" w:hanging="2127"/>
      </w:pPr>
      <w:r w:rsidRPr="00821AC2">
        <w:t>min</w:t>
      </w:r>
      <w:r w:rsidRPr="00821AC2">
        <w:tab/>
        <w:t xml:space="preserve">funkce minimum, která vybere </w:t>
      </w:r>
      <w:r w:rsidR="00C648CF" w:rsidRPr="00821AC2">
        <w:t>z oboru hodnot hodnotu nejnižší</w:t>
      </w:r>
    </w:p>
    <w:p w:rsidR="003F0238" w:rsidRPr="00821AC2" w:rsidRDefault="003F0238" w:rsidP="00C648CF">
      <w:pPr>
        <w:spacing w:after="120"/>
        <w:ind w:left="2694" w:hanging="2127"/>
      </w:pPr>
      <w:r w:rsidRPr="00821AC2">
        <w:t>max</w:t>
      </w:r>
      <w:r w:rsidRPr="00821AC2">
        <w:tab/>
        <w:t xml:space="preserve">funkce maximum, která vybere </w:t>
      </w:r>
      <w:r w:rsidR="00C648CF" w:rsidRPr="00821AC2">
        <w:t>z oboru hodnot hodnotu nejvyšší</w:t>
      </w:r>
    </w:p>
    <w:p w:rsidR="00E80CD1" w:rsidRPr="00821AC2" w:rsidRDefault="00E80CD1" w:rsidP="003F0238"/>
    <w:p w:rsidR="00E80CD1" w:rsidRPr="00821AC2" w:rsidRDefault="00E80CD1" w:rsidP="0032380D">
      <w:pPr>
        <w:pStyle w:val="Textbodu"/>
        <w:numPr>
          <w:ilvl w:val="0"/>
          <w:numId w:val="0"/>
        </w:numPr>
        <w:spacing w:after="120"/>
      </w:pPr>
    </w:p>
    <w:p w:rsidR="0032380D" w:rsidRPr="009F79DD" w:rsidRDefault="0032380D" w:rsidP="00D67654">
      <w:pPr>
        <w:pStyle w:val="Textbodu"/>
        <w:numPr>
          <w:ilvl w:val="0"/>
          <w:numId w:val="9"/>
        </w:numPr>
        <w:spacing w:after="120"/>
      </w:pPr>
      <w:r w:rsidRPr="00821AC2">
        <w:rPr>
          <w:u w:val="single"/>
        </w:rPr>
        <w:t>Ambulantní složka úhrady</w:t>
      </w:r>
      <w:r w:rsidRPr="00821AC2">
        <w:rPr>
          <w:b/>
        </w:rPr>
        <w:t xml:space="preserve"> </w:t>
      </w:r>
      <w:r w:rsidRPr="00821AC2">
        <w:t>zahrnuje úhradu specializované ambulantní zdravotní péče, hrazených služeb v odbornostech 603 a 604 podle seznamu výkonů, hrazených služeb poskytovaných poskytovateli v oboru všeobecné praktické lékařství a poskytovateli v oboru praktické lékařství pro děti a dorost, hrazených služeb poskytovaných poskytovateli v oboru zubní lékařství, hrazených služeb ve vyjmenovaných odbornostech, zdravotnické dopravní služby, lékařské pohotovostní služby a hrazených služeb poskytovaných poskytovateli v odbornostech 902, 903, 905, 911, 914, 919, 921, 925 a 927 (dále jen „ambulantní péče“) s výjimkou výkonů, kterými se vykazuje vyšetření pacienta při příjmu k hospitalizaci a při</w:t>
      </w:r>
      <w:r w:rsidRPr="009F79DD">
        <w:t xml:space="preserve"> propuštění z hospitalizace.</w:t>
      </w:r>
    </w:p>
    <w:p w:rsidR="006C34B6" w:rsidRPr="006C34B6" w:rsidRDefault="0032380D" w:rsidP="002E69FD">
      <w:pPr>
        <w:pStyle w:val="Textbodu"/>
        <w:numPr>
          <w:ilvl w:val="1"/>
          <w:numId w:val="29"/>
        </w:numPr>
        <w:tabs>
          <w:tab w:val="clear" w:pos="432"/>
          <w:tab w:val="num" w:pos="567"/>
        </w:tabs>
        <w:spacing w:after="120"/>
        <w:ind w:left="567" w:hanging="567"/>
        <w:rPr>
          <w:rStyle w:val="Siln"/>
          <w:b w:val="0"/>
        </w:rPr>
      </w:pPr>
      <w:r w:rsidRPr="009F79DD">
        <w:lastRenderedPageBreak/>
        <w:t xml:space="preserve">Pro hrazené služby poskytované poskytovateli v oboru všeobecné praktické lékařství a poskytovateli v oboru praktické lékařství pro děti a dorost, hrazené </w:t>
      </w:r>
      <w:r w:rsidRPr="009F79DD">
        <w:rPr>
          <w:rStyle w:val="Siln"/>
          <w:b w:val="0"/>
          <w:szCs w:val="22"/>
        </w:rPr>
        <w:t>kombinovanou kapitačně výkonovou platbou, kombinovanou kapitačně výkonovou platbou s dorovnáním kapitace nebo podle seznamu výkonů, se hodnota bodu a výše úhrad hrazený</w:t>
      </w:r>
      <w:r w:rsidR="00727303">
        <w:rPr>
          <w:rStyle w:val="Siln"/>
          <w:b w:val="0"/>
          <w:szCs w:val="22"/>
        </w:rPr>
        <w:t>ch služeb stanoví v příloze č. x</w:t>
      </w:r>
      <w:r w:rsidRPr="009F79DD">
        <w:rPr>
          <w:rStyle w:val="Siln"/>
          <w:b w:val="0"/>
          <w:szCs w:val="22"/>
        </w:rPr>
        <w:t>.</w:t>
      </w:r>
    </w:p>
    <w:p w:rsidR="0032380D" w:rsidRPr="009F79DD" w:rsidRDefault="0032380D" w:rsidP="002E69FD">
      <w:pPr>
        <w:pStyle w:val="Textbodu"/>
        <w:numPr>
          <w:ilvl w:val="1"/>
          <w:numId w:val="30"/>
        </w:numPr>
        <w:tabs>
          <w:tab w:val="clear" w:pos="432"/>
          <w:tab w:val="num" w:pos="567"/>
        </w:tabs>
        <w:spacing w:after="120"/>
        <w:ind w:left="567" w:hanging="567"/>
        <w:rPr>
          <w:strike/>
        </w:rPr>
      </w:pPr>
      <w:r w:rsidRPr="009F79DD">
        <w:t>Pro specializovanou ambulantní zdravotní péči hrazenou podle seznamu výkonů a poskytovatele v odbornostech 903, 905, 919 a 927 podle seznamu výkonů se</w:t>
      </w:r>
      <w:r w:rsidRPr="009F79DD">
        <w:rPr>
          <w:b/>
          <w:bCs/>
        </w:rPr>
        <w:t xml:space="preserve"> </w:t>
      </w:r>
      <w:r w:rsidRPr="009F79DD">
        <w:t>hodnota bodu a výše úhrad zdravotní péče stanov</w:t>
      </w:r>
      <w:r w:rsidR="00E32A6A">
        <w:t>í v příloze č. x</w:t>
      </w:r>
      <w:r>
        <w:t>, přičemž regulační omezen</w:t>
      </w:r>
      <w:r w:rsidR="00727303">
        <w:t>í uvedená v čás</w:t>
      </w:r>
      <w:r w:rsidR="002476E7">
        <w:t>ti x</w:t>
      </w:r>
      <w:r w:rsidR="00727303">
        <w:t xml:space="preserve"> přílohy č. x</w:t>
      </w:r>
      <w:r>
        <w:t xml:space="preserve"> se nepoužijí.</w:t>
      </w:r>
    </w:p>
    <w:p w:rsidR="0032380D" w:rsidRPr="009F79DD" w:rsidRDefault="00FE0784" w:rsidP="002E69FD">
      <w:pPr>
        <w:pStyle w:val="Textbodu"/>
        <w:numPr>
          <w:ilvl w:val="0"/>
          <w:numId w:val="0"/>
        </w:numPr>
        <w:tabs>
          <w:tab w:val="num" w:pos="567"/>
        </w:tabs>
        <w:spacing w:after="120"/>
        <w:ind w:left="567" w:hanging="567"/>
      </w:pPr>
      <w:r>
        <w:t xml:space="preserve">4.3  </w:t>
      </w:r>
      <w:r w:rsidR="0032380D" w:rsidRPr="009F79DD">
        <w:t>Pro hrazené služby poskytované v odbornostech 603 a 604 podle seznamu výkonů hrazené podle seznamu výkonů se</w:t>
      </w:r>
      <w:r w:rsidR="0032380D" w:rsidRPr="006C34B6">
        <w:t xml:space="preserve"> </w:t>
      </w:r>
      <w:r w:rsidR="0032380D" w:rsidRPr="009F79DD">
        <w:t>hodnota bodu a výše úhrad hrazených služeb stanov</w:t>
      </w:r>
      <w:r w:rsidR="00727303">
        <w:t>í v příloze č. x</w:t>
      </w:r>
      <w:r w:rsidR="0032380D" w:rsidRPr="009F79DD">
        <w:t xml:space="preserve">. </w:t>
      </w:r>
    </w:p>
    <w:p w:rsidR="0032380D" w:rsidRPr="006C34B6" w:rsidRDefault="0032380D" w:rsidP="002E69FD">
      <w:pPr>
        <w:pStyle w:val="Textbodu"/>
        <w:numPr>
          <w:ilvl w:val="1"/>
          <w:numId w:val="33"/>
        </w:numPr>
        <w:tabs>
          <w:tab w:val="num" w:pos="567"/>
        </w:tabs>
        <w:spacing w:after="120"/>
        <w:ind w:left="567" w:hanging="567"/>
      </w:pPr>
      <w:r w:rsidRPr="009F79DD">
        <w:t xml:space="preserve">Pro hrazené služby poskytované ve vyjmenovaných odbornostech hrazené podle seznamu výkonů se </w:t>
      </w:r>
      <w:r w:rsidRPr="006C34B6">
        <w:t>hodnota bodu a výše úhrad hrazených služeb stanov</w:t>
      </w:r>
      <w:r w:rsidR="00727303">
        <w:t>í v příloze č. x</w:t>
      </w:r>
      <w:r w:rsidRPr="006C34B6">
        <w:t>.</w:t>
      </w:r>
    </w:p>
    <w:p w:rsidR="0032380D" w:rsidRPr="009F79DD" w:rsidRDefault="0032380D" w:rsidP="002E69FD">
      <w:pPr>
        <w:pStyle w:val="Textbodu"/>
        <w:numPr>
          <w:ilvl w:val="1"/>
          <w:numId w:val="33"/>
        </w:numPr>
        <w:tabs>
          <w:tab w:val="num" w:pos="567"/>
        </w:tabs>
        <w:spacing w:after="120"/>
        <w:ind w:left="567" w:hanging="567"/>
      </w:pPr>
      <w:r w:rsidRPr="009F79DD">
        <w:t>Pro hrazené služby poskytované v odbornostech 911, 914, 921 a 925 podle seznamu výkonů hrazené podle seznamu výkonů se hodnota bodu a výše úhrad hrazených služeb stanov</w:t>
      </w:r>
      <w:r w:rsidR="00727303">
        <w:t>í v příloze č. x</w:t>
      </w:r>
      <w:r w:rsidRPr="009F79DD">
        <w:t>.</w:t>
      </w:r>
    </w:p>
    <w:p w:rsidR="0032380D" w:rsidRPr="009F79DD" w:rsidRDefault="0032380D" w:rsidP="002E69FD">
      <w:pPr>
        <w:pStyle w:val="Textbodu"/>
        <w:numPr>
          <w:ilvl w:val="1"/>
          <w:numId w:val="33"/>
        </w:numPr>
        <w:tabs>
          <w:tab w:val="num" w:pos="567"/>
        </w:tabs>
        <w:spacing w:after="120"/>
        <w:ind w:left="567" w:hanging="567"/>
        <w:rPr>
          <w:rStyle w:val="Siln"/>
          <w:b w:val="0"/>
        </w:rPr>
      </w:pPr>
      <w:r w:rsidRPr="009F79DD">
        <w:t xml:space="preserve">Pro hrazené služby poskytované v odbornostech 902 a 917 podle seznamu výkonů hrazených podle seznamu výkonů se </w:t>
      </w:r>
      <w:r w:rsidRPr="009F79DD">
        <w:rPr>
          <w:rStyle w:val="Siln"/>
          <w:b w:val="0"/>
          <w:szCs w:val="22"/>
        </w:rPr>
        <w:t>hodnota bodu a výše úhrad hrazených služeb stanov</w:t>
      </w:r>
      <w:r w:rsidR="00727303">
        <w:rPr>
          <w:rStyle w:val="Siln"/>
          <w:b w:val="0"/>
          <w:szCs w:val="22"/>
        </w:rPr>
        <w:t>í v příloze č. x</w:t>
      </w:r>
      <w:r w:rsidRPr="009F79DD">
        <w:rPr>
          <w:rStyle w:val="Siln"/>
          <w:b w:val="0"/>
          <w:szCs w:val="22"/>
        </w:rPr>
        <w:t>.</w:t>
      </w:r>
    </w:p>
    <w:p w:rsidR="0032380D" w:rsidRPr="009F79DD" w:rsidRDefault="0032380D" w:rsidP="002E69FD">
      <w:pPr>
        <w:pStyle w:val="Textbodu"/>
        <w:numPr>
          <w:ilvl w:val="1"/>
          <w:numId w:val="33"/>
        </w:numPr>
        <w:tabs>
          <w:tab w:val="num" w:pos="567"/>
        </w:tabs>
        <w:spacing w:after="120"/>
        <w:ind w:left="567" w:hanging="567"/>
        <w:rPr>
          <w:rStyle w:val="Siln"/>
          <w:b w:val="0"/>
        </w:rPr>
      </w:pPr>
      <w:r w:rsidRPr="009F79DD">
        <w:t xml:space="preserve">Pro výkony poskytované poskytovateli zdravotnické dopravní služby hrazené podle seznamu výkonů se </w:t>
      </w:r>
      <w:r w:rsidRPr="009F79DD">
        <w:rPr>
          <w:rStyle w:val="Siln"/>
          <w:b w:val="0"/>
          <w:szCs w:val="22"/>
        </w:rPr>
        <w:t>hodnota bodu a výše úhrad hrazených služeb stanov</w:t>
      </w:r>
      <w:r w:rsidR="00727303">
        <w:rPr>
          <w:rStyle w:val="Siln"/>
          <w:b w:val="0"/>
          <w:szCs w:val="22"/>
        </w:rPr>
        <w:t>í v příloze č. x</w:t>
      </w:r>
      <w:r w:rsidRPr="009F79DD">
        <w:rPr>
          <w:rStyle w:val="Siln"/>
          <w:b w:val="0"/>
          <w:szCs w:val="22"/>
        </w:rPr>
        <w:t>.</w:t>
      </w:r>
    </w:p>
    <w:p w:rsidR="0032380D" w:rsidRPr="009F79DD" w:rsidRDefault="0032380D" w:rsidP="002E69FD">
      <w:pPr>
        <w:pStyle w:val="Textbodu"/>
        <w:numPr>
          <w:ilvl w:val="1"/>
          <w:numId w:val="33"/>
        </w:numPr>
        <w:tabs>
          <w:tab w:val="num" w:pos="567"/>
        </w:tabs>
        <w:spacing w:after="120"/>
        <w:ind w:left="567" w:hanging="567"/>
      </w:pPr>
      <w:r w:rsidRPr="009F79DD">
        <w:t>Hrazené služby poskytované poskytovateli v oboru zu</w:t>
      </w:r>
      <w:r w:rsidR="00727303">
        <w:t>bní lékařství se hradí podle § x</w:t>
      </w:r>
      <w:r w:rsidRPr="009F79DD">
        <w:t xml:space="preserve">. </w:t>
      </w:r>
    </w:p>
    <w:p w:rsidR="0032380D" w:rsidRPr="009F79DD" w:rsidRDefault="0032380D" w:rsidP="002E69FD">
      <w:pPr>
        <w:pStyle w:val="Textbodu"/>
        <w:numPr>
          <w:ilvl w:val="1"/>
          <w:numId w:val="33"/>
        </w:numPr>
        <w:tabs>
          <w:tab w:val="num" w:pos="567"/>
        </w:tabs>
        <w:spacing w:after="120"/>
        <w:ind w:left="567" w:hanging="567"/>
      </w:pPr>
      <w:r w:rsidRPr="009F79DD">
        <w:t>Hrazené služby poskytované v rámci lékařské pohotov</w:t>
      </w:r>
      <w:r w:rsidR="00727303">
        <w:t>ostní služby se hradí podle § x</w:t>
      </w:r>
      <w:r w:rsidRPr="009F79DD">
        <w:t>.</w:t>
      </w:r>
    </w:p>
    <w:p w:rsidR="0032380D" w:rsidRPr="009F79DD" w:rsidRDefault="0032380D" w:rsidP="002E69FD">
      <w:pPr>
        <w:pStyle w:val="Textbodu"/>
        <w:numPr>
          <w:ilvl w:val="1"/>
          <w:numId w:val="33"/>
        </w:numPr>
        <w:tabs>
          <w:tab w:val="num" w:pos="567"/>
        </w:tabs>
        <w:spacing w:after="120"/>
        <w:ind w:left="567" w:hanging="567"/>
      </w:pPr>
      <w:r w:rsidRPr="009F79DD">
        <w:t>Maximální úhrada za p</w:t>
      </w:r>
      <w:r w:rsidR="00944204">
        <w:t xml:space="preserve">oskytovatelem vykázané hrazené </w:t>
      </w:r>
      <w:r w:rsidR="00FE0784">
        <w:t>služby podle bodů 4.1 až 4</w:t>
      </w:r>
      <w:r w:rsidRPr="009F79DD">
        <w:t>.9 se stanoví ve výši:</w:t>
      </w:r>
    </w:p>
    <w:p w:rsidR="0032380D" w:rsidRPr="009F79DD" w:rsidRDefault="0032380D" w:rsidP="0032380D">
      <w:pPr>
        <w:pStyle w:val="Textbodu"/>
        <w:numPr>
          <w:ilvl w:val="0"/>
          <w:numId w:val="0"/>
        </w:numPr>
        <w:tabs>
          <w:tab w:val="left" w:pos="708"/>
        </w:tabs>
        <w:spacing w:after="120"/>
        <w:ind w:left="360"/>
      </w:pPr>
    </w:p>
    <w:p w:rsidR="0032380D" w:rsidRPr="007E1DA2" w:rsidRDefault="00EE7212" w:rsidP="0032380D">
      <w:pPr>
        <w:pStyle w:val="Textbodu"/>
        <w:numPr>
          <w:ilvl w:val="0"/>
          <w:numId w:val="0"/>
        </w:numPr>
        <w:tabs>
          <w:tab w:val="left" w:pos="708"/>
        </w:tabs>
        <w:spacing w:after="120"/>
        <w:ind w:left="360"/>
      </w:pPr>
      <m:oMathPara>
        <m:oMath>
          <m:sSub>
            <m:sSubPr>
              <m:ctrlPr>
                <w:rPr>
                  <w:rFonts w:ascii="Cambria Math" w:hAnsi="Cambria Math"/>
                </w:rPr>
              </m:ctrlPr>
            </m:sSubPr>
            <m:e>
              <m:r>
                <m:rPr>
                  <m:sty m:val="p"/>
                </m:rPr>
                <w:rPr>
                  <w:rFonts w:ascii="Cambria Math" w:hAnsi="Cambria Math"/>
                </w:rPr>
                <m:t>Úhr_amb</m:t>
              </m:r>
            </m:e>
            <m:sub>
              <m:r>
                <m:rPr>
                  <m:sty m:val="p"/>
                </m:rPr>
                <w:rPr>
                  <w:rFonts w:ascii="Cambria Math" w:hAnsi="Cambria Math"/>
                </w:rPr>
                <m:t>max2015</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Úhr_amb</m:t>
              </m:r>
            </m:e>
            <m:sub>
              <m:r>
                <m:rPr>
                  <m:sty m:val="p"/>
                </m:rPr>
                <w:rPr>
                  <w:rFonts w:ascii="Cambria Math" w:hAnsi="Cambria Math"/>
                </w:rPr>
                <m:t>2013</m:t>
              </m:r>
            </m:sub>
          </m:sSub>
          <m:r>
            <m:rPr>
              <m:sty m:val="p"/>
            </m:rPr>
            <w:rPr>
              <w:rFonts w:ascii="Cambria Math" w:hAnsi="Cambria Math"/>
            </w:rPr>
            <m:t>*1,02*</m:t>
          </m:r>
          <m:sSub>
            <m:sSubPr>
              <m:ctrlPr>
                <w:rPr>
                  <w:rFonts w:ascii="Cambria Math" w:hAnsi="Cambria Math"/>
                </w:rPr>
              </m:ctrlPr>
            </m:sSubPr>
            <m:e>
              <m:r>
                <m:rPr>
                  <m:sty m:val="p"/>
                </m:rPr>
                <w:rPr>
                  <w:rFonts w:ascii="Cambria Math" w:hAnsi="Cambria Math"/>
                </w:rPr>
                <m:t>Kp</m:t>
              </m:r>
            </m:e>
            <m:sub>
              <m:r>
                <m:rPr>
                  <m:sty m:val="p"/>
                </m:rPr>
                <w:rPr>
                  <w:rFonts w:ascii="Cambria Math" w:hAnsi="Cambria Math"/>
                </w:rPr>
                <m:t>p</m:t>
              </m:r>
            </m:sub>
          </m:sSub>
        </m:oMath>
      </m:oMathPara>
    </w:p>
    <w:p w:rsidR="0032380D" w:rsidRDefault="007E1DA2" w:rsidP="0032380D">
      <w:pPr>
        <w:pStyle w:val="Textbodu"/>
        <w:numPr>
          <w:ilvl w:val="0"/>
          <w:numId w:val="0"/>
        </w:numPr>
        <w:tabs>
          <w:tab w:val="left" w:pos="708"/>
        </w:tabs>
        <w:spacing w:after="120"/>
        <w:ind w:left="360"/>
      </w:pPr>
      <w:r>
        <w:t xml:space="preserve">   </w:t>
      </w:r>
      <w:r w:rsidR="002476E7">
        <w:t>kde:</w:t>
      </w:r>
    </w:p>
    <w:p w:rsidR="007E1DA2" w:rsidRPr="009F79DD" w:rsidRDefault="007E1DA2" w:rsidP="0032380D">
      <w:pPr>
        <w:pStyle w:val="Textbodu"/>
        <w:numPr>
          <w:ilvl w:val="0"/>
          <w:numId w:val="0"/>
        </w:numPr>
        <w:tabs>
          <w:tab w:val="left" w:pos="708"/>
        </w:tabs>
        <w:spacing w:after="120"/>
        <w:ind w:left="360"/>
      </w:pPr>
    </w:p>
    <w:p w:rsidR="0032380D" w:rsidRPr="009F79DD" w:rsidRDefault="00EE7212" w:rsidP="005671A6">
      <w:pPr>
        <w:pStyle w:val="Textbodu"/>
        <w:numPr>
          <w:ilvl w:val="0"/>
          <w:numId w:val="0"/>
        </w:numPr>
        <w:tabs>
          <w:tab w:val="left" w:pos="708"/>
        </w:tabs>
        <w:spacing w:after="120"/>
        <w:ind w:left="2835" w:hanging="2267"/>
      </w:pPr>
      <w:r w:rsidRPr="009F79DD">
        <w:fldChar w:fldCharType="begin"/>
      </w:r>
      <w:r w:rsidR="0032380D" w:rsidRPr="009F79DD">
        <w:instrText xml:space="preserve"> QUOTE </w:instrText>
      </w:r>
      <w:r w:rsidR="0032380D">
        <w:rPr>
          <w:noProof/>
        </w:rPr>
        <w:drawing>
          <wp:inline distT="0" distB="0" distL="0" distR="0">
            <wp:extent cx="819150" cy="190500"/>
            <wp:effectExtent l="0" t="0" r="0" b="0"/>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1905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rPr>
            </m:ctrlPr>
          </m:sSubPr>
          <m:e>
            <m:r>
              <m:rPr>
                <m:sty m:val="p"/>
              </m:rPr>
              <w:rPr>
                <w:rFonts w:ascii="Cambria Math" w:hAnsi="Cambria Math"/>
              </w:rPr>
              <m:t>Úhr_amb</m:t>
            </m:r>
          </m:e>
          <m:sub>
            <m:r>
              <m:rPr>
                <m:sty m:val="p"/>
              </m:rPr>
              <w:rPr>
                <w:rFonts w:ascii="Cambria Math" w:hAnsi="Cambria Math"/>
              </w:rPr>
              <m:t>max2015</m:t>
            </m:r>
          </m:sub>
        </m:sSub>
      </m:oMath>
      <w:r w:rsidR="0032380D" w:rsidRPr="009F79DD">
        <w:tab/>
        <w:t>je maximální možná celková úhrada poskytovateli za hrazené</w:t>
      </w:r>
      <w:r w:rsidR="005671A6">
        <w:t xml:space="preserve"> </w:t>
      </w:r>
      <w:r w:rsidR="0032380D" w:rsidRPr="009F79DD">
        <w:t>služby</w:t>
      </w:r>
      <w:r w:rsidR="0032380D">
        <w:t xml:space="preserve">, včetně zvlášť účtovaných léčivých přípravků a zvlášť účtovaného materiálu, </w:t>
      </w:r>
      <w:r w:rsidR="0032380D" w:rsidRPr="009F79DD">
        <w:t>s výjimkou zvlášť účtovaných léčivých přípravků označených symbolem „S“ podle § 39 odst. 1 vyhlášky č. 376/2011 Sb.</w:t>
      </w:r>
      <w:r w:rsidR="0032380D">
        <w:t xml:space="preserve"> </w:t>
      </w:r>
    </w:p>
    <w:p w:rsidR="0032380D" w:rsidRPr="009F79DD" w:rsidRDefault="00EE7212" w:rsidP="005671A6">
      <w:pPr>
        <w:pStyle w:val="Textbodu"/>
        <w:numPr>
          <w:ilvl w:val="0"/>
          <w:numId w:val="0"/>
        </w:numPr>
        <w:tabs>
          <w:tab w:val="left" w:pos="708"/>
        </w:tabs>
        <w:spacing w:after="120"/>
        <w:ind w:left="2835" w:hanging="2268"/>
      </w:pPr>
      <w:r w:rsidRPr="009F79DD">
        <w:fldChar w:fldCharType="begin"/>
      </w:r>
      <w:r w:rsidR="0032380D" w:rsidRPr="009F79DD">
        <w:instrText xml:space="preserve"> QUOTE </w:instrText>
      </w:r>
      <w:r w:rsidR="0032380D">
        <w:rPr>
          <w:noProof/>
        </w:rPr>
        <w:drawing>
          <wp:inline distT="0" distB="0" distL="0" distR="0">
            <wp:extent cx="714375" cy="190500"/>
            <wp:effectExtent l="0" t="0" r="9525" b="0"/>
            <wp:docPr id="98"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1905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rPr>
            </m:ctrlPr>
          </m:sSubPr>
          <m:e>
            <m:r>
              <m:rPr>
                <m:sty m:val="p"/>
              </m:rPr>
              <w:rPr>
                <w:rFonts w:ascii="Cambria Math" w:hAnsi="Cambria Math"/>
              </w:rPr>
              <m:t>Úhr_amb</m:t>
            </m:r>
          </m:e>
          <m:sub>
            <m:r>
              <m:rPr>
                <m:sty m:val="p"/>
              </m:rPr>
              <w:rPr>
                <w:rFonts w:ascii="Cambria Math" w:hAnsi="Cambria Math"/>
              </w:rPr>
              <m:t>2013</m:t>
            </m:r>
          </m:sub>
        </m:sSub>
      </m:oMath>
      <w:r w:rsidR="0032380D" w:rsidRPr="009F79DD">
        <w:tab/>
      </w:r>
      <w:r w:rsidR="004A6637">
        <w:t>úhrada náležející poskytovateli za ambu</w:t>
      </w:r>
      <w:r w:rsidR="0027384E">
        <w:t>lantní složku úhrady za rok 2013</w:t>
      </w:r>
      <w:r w:rsidR="004A6637">
        <w:t xml:space="preserve"> </w:t>
      </w:r>
      <w:r w:rsidR="0032380D" w:rsidRPr="009F79DD">
        <w:t>s výjimkou zvlášť účtovaných léčivých přípravků označených symbolem „S“ podle § 39 odst. 1 vyhlášky č. 376/2011 Sb.</w:t>
      </w:r>
      <w:r w:rsidR="0032380D">
        <w:t xml:space="preserve"> </w:t>
      </w:r>
    </w:p>
    <w:p w:rsidR="00C648CF" w:rsidRPr="009F79DD" w:rsidRDefault="00727303" w:rsidP="00C648CF">
      <w:pPr>
        <w:tabs>
          <w:tab w:val="left" w:pos="3119"/>
        </w:tabs>
        <w:spacing w:after="120"/>
        <w:ind w:left="2835" w:hanging="2268"/>
      </w:pPr>
      <w:r w:rsidRPr="00727303">
        <w:rPr>
          <w:szCs w:val="24"/>
        </w:rPr>
        <w:t>Kp</w:t>
      </w:r>
      <w:r w:rsidRPr="00727303">
        <w:rPr>
          <w:szCs w:val="24"/>
          <w:vertAlign w:val="subscript"/>
        </w:rPr>
        <w:t>p</w:t>
      </w:r>
      <w:r w:rsidRPr="00727303">
        <w:rPr>
          <w:szCs w:val="24"/>
          <w:vertAlign w:val="subscript"/>
        </w:rPr>
        <w:tab/>
      </w:r>
      <w:r w:rsidR="00C648CF" w:rsidRPr="009F79DD">
        <w:rPr>
          <w:szCs w:val="24"/>
        </w:rPr>
        <w:t>koeficient změny podílu počtu pojištěnců příslušné zdravotní pojišťovny čerpajících hrazené služby u daného poskytovatele na celkovém počtu pojištěnců čerpajících hrazené služby u daného p</w:t>
      </w:r>
      <w:r w:rsidR="00C648CF">
        <w:rPr>
          <w:szCs w:val="24"/>
        </w:rPr>
        <w:t>oskytovatele mezi 1. lednem 2015 a 1. lednem 2013</w:t>
      </w:r>
      <w:r w:rsidR="00C648CF" w:rsidRPr="009F79DD">
        <w:rPr>
          <w:szCs w:val="24"/>
        </w:rPr>
        <w:t xml:space="preserve">, </w:t>
      </w:r>
      <w:r w:rsidR="00C648CF" w:rsidRPr="009F79DD">
        <w:rPr>
          <w:szCs w:val="24"/>
        </w:rPr>
        <w:lastRenderedPageBreak/>
        <w:t>přičemž jednotliví pojištěnci jsou váženi jejich náklady v referenčním období; pokud došlo v ref</w:t>
      </w:r>
      <w:r w:rsidR="00C648CF">
        <w:rPr>
          <w:szCs w:val="24"/>
        </w:rPr>
        <w:t>erenčním období nebo v roce 2014</w:t>
      </w:r>
      <w:r w:rsidR="00C648CF" w:rsidRPr="009F79DD">
        <w:rPr>
          <w:szCs w:val="24"/>
        </w:rPr>
        <w:t xml:space="preserve"> ke sloučení dvou či více zdravotních pojišťoven, jde o koeficient změny podílu počtu pojištěnců všech sloučených zdravotních pojišťoven</w:t>
      </w:r>
      <w:r w:rsidR="00C648CF" w:rsidRPr="009F79DD">
        <w:t>.</w:t>
      </w:r>
      <w:r w:rsidR="00C648CF" w:rsidRPr="009F79DD">
        <w:rPr>
          <w:szCs w:val="24"/>
        </w:rPr>
        <w:t xml:space="preserve"> </w:t>
      </w:r>
      <w:r w:rsidR="00C648CF">
        <w:rPr>
          <w:szCs w:val="24"/>
        </w:rPr>
        <w:t>T</w:t>
      </w:r>
      <w:r w:rsidR="00C648CF" w:rsidRPr="009F79DD">
        <w:rPr>
          <w:szCs w:val="24"/>
        </w:rPr>
        <w:t xml:space="preserve">ento koeficient se stanoví jako </w:t>
      </w:r>
      <w:r w:rsidR="00C648CF" w:rsidRPr="009F79DD">
        <w:t xml:space="preserve">index změny počtu pojištěnců váženého náklady příslušné zdravotní pojišťovny poskytování hrazených služeb mezi </w:t>
      </w:r>
      <w:r w:rsidR="00C648CF">
        <w:rPr>
          <w:szCs w:val="24"/>
        </w:rPr>
        <w:t>1. lednem 2013</w:t>
      </w:r>
      <w:r w:rsidR="00C648CF" w:rsidRPr="009F79DD">
        <w:rPr>
          <w:szCs w:val="24"/>
        </w:rPr>
        <w:t xml:space="preserve"> a 1.</w:t>
      </w:r>
      <w:r w:rsidR="00C648CF" w:rsidRPr="009F79DD">
        <w:t> </w:t>
      </w:r>
      <w:r w:rsidR="00C648CF">
        <w:rPr>
          <w:szCs w:val="24"/>
        </w:rPr>
        <w:t>lednem 2015</w:t>
      </w:r>
      <w:r w:rsidR="00C648CF" w:rsidRPr="009F79DD">
        <w:t>, přičemž tyto koeficienty změny váženého počtu pojištěnců zdravotních pojišťoven po</w:t>
      </w:r>
      <w:r w:rsidR="00C648CF">
        <w:t xml:space="preserve">dle České republiky jsou </w:t>
      </w:r>
      <w:r w:rsidR="00C648CF" w:rsidRPr="009F79DD">
        <w:t>uvedeny v </w:t>
      </w:r>
      <w:r w:rsidR="00C648CF" w:rsidRPr="0027384E">
        <w:t xml:space="preserve">příloze č. </w:t>
      </w:r>
      <w:r w:rsidR="0027384E">
        <w:t xml:space="preserve">3 </w:t>
      </w:r>
      <w:r w:rsidR="00C648CF">
        <w:t>k této dohodě</w:t>
      </w:r>
    </w:p>
    <w:p w:rsidR="00FE0784" w:rsidRPr="009F79DD" w:rsidRDefault="00EE7212" w:rsidP="00241D8C">
      <w:pPr>
        <w:tabs>
          <w:tab w:val="left" w:pos="3119"/>
        </w:tabs>
        <w:spacing w:after="120"/>
      </w:pPr>
      <w:r w:rsidRPr="009F79DD">
        <w:fldChar w:fldCharType="begin"/>
      </w:r>
      <w:r w:rsidR="0032380D" w:rsidRPr="009F79DD">
        <w:instrText xml:space="preserve"> QUOTE </w:instrText>
      </w:r>
      <w:r w:rsidR="0032380D">
        <w:rPr>
          <w:noProof/>
        </w:rPr>
        <w:drawing>
          <wp:inline distT="0" distB="0" distL="0" distR="0">
            <wp:extent cx="266700" cy="171450"/>
            <wp:effectExtent l="0" t="0" r="0" b="0"/>
            <wp:docPr id="100" name="obráze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0032380D" w:rsidRPr="009F79DD">
        <w:instrText xml:space="preserve"> </w:instrText>
      </w:r>
      <w:r w:rsidRPr="009F79DD">
        <w:fldChar w:fldCharType="end"/>
      </w:r>
    </w:p>
    <w:p w:rsidR="005671A6" w:rsidRDefault="004F6D58" w:rsidP="002476E7">
      <w:pPr>
        <w:pStyle w:val="Textbodu"/>
        <w:numPr>
          <w:ilvl w:val="1"/>
          <w:numId w:val="33"/>
        </w:numPr>
        <w:tabs>
          <w:tab w:val="left" w:pos="567"/>
        </w:tabs>
        <w:spacing w:after="120"/>
        <w:ind w:left="567" w:hanging="567"/>
      </w:pPr>
      <w:r>
        <w:t>Zdravotní p</w:t>
      </w:r>
      <w:r w:rsidRPr="009F79DD">
        <w:t xml:space="preserve">ojišťovna nezahrne do výpočtu </w:t>
      </w:r>
      <w:r>
        <w:rPr>
          <w:szCs w:val="24"/>
        </w:rPr>
        <w:t>regulace podle bodů 4.1 až 4</w:t>
      </w:r>
      <w:r w:rsidRPr="006E4E2A">
        <w:rPr>
          <w:szCs w:val="24"/>
        </w:rPr>
        <w:t>.10 výkony uve</w:t>
      </w:r>
      <w:r w:rsidR="005F250C">
        <w:rPr>
          <w:szCs w:val="24"/>
        </w:rPr>
        <w:t>dené v bodě 4.12</w:t>
      </w:r>
      <w:r w:rsidRPr="006E4E2A">
        <w:rPr>
          <w:szCs w:val="24"/>
        </w:rPr>
        <w:t xml:space="preserve"> a dále screeningové výkony </w:t>
      </w:r>
      <w:r w:rsidRPr="006E4E2A">
        <w:rPr>
          <w:bCs/>
        </w:rPr>
        <w:t>15101 a 15105</w:t>
      </w:r>
      <w:r>
        <w:rPr>
          <w:bCs/>
        </w:rPr>
        <w:t xml:space="preserve"> </w:t>
      </w:r>
      <w:r w:rsidRPr="006E4E2A">
        <w:t>podle seznamu výkonů</w:t>
      </w:r>
      <w:r w:rsidRPr="006E4E2A">
        <w:rPr>
          <w:bCs/>
        </w:rPr>
        <w:t xml:space="preserve">, </w:t>
      </w:r>
      <w:r w:rsidRPr="006E4E2A">
        <w:t xml:space="preserve">novorozenecký screening, </w:t>
      </w:r>
      <w:r>
        <w:t xml:space="preserve">výkony prediktivní onkologické diagnostiky, </w:t>
      </w:r>
      <w:r w:rsidRPr="006E4E2A">
        <w:t>výkony mamografického screeningu a screeningu děložního hrdla podle seznamu výkonů</w:t>
      </w:r>
      <w:r>
        <w:t>.</w:t>
      </w:r>
    </w:p>
    <w:p w:rsidR="004A686B" w:rsidRDefault="005671A6" w:rsidP="00FE0784">
      <w:pPr>
        <w:pStyle w:val="Textbodu"/>
        <w:numPr>
          <w:ilvl w:val="1"/>
          <w:numId w:val="33"/>
        </w:numPr>
        <w:tabs>
          <w:tab w:val="left" w:pos="567"/>
        </w:tabs>
        <w:spacing w:after="120"/>
        <w:ind w:left="567" w:hanging="567"/>
      </w:pPr>
      <w:r w:rsidRPr="009F79DD">
        <w:t>Pro nasmlouvaný výkon 09563 podle seznamu výkonů se stan</w:t>
      </w:r>
      <w:r>
        <w:t xml:space="preserve">oví hodnota bodu ve výši 1 Kč, </w:t>
      </w:r>
      <w:r w:rsidRPr="009F79DD">
        <w:t>pro nasmlouvaný výkon 88101 podle seznamu výkonů se sta</w:t>
      </w:r>
      <w:r w:rsidR="001E4C72">
        <w:t xml:space="preserve">noví hodnota bodu ve výši 1 Kč. </w:t>
      </w:r>
    </w:p>
    <w:p w:rsidR="00C648CF" w:rsidRPr="00F16C0D" w:rsidRDefault="00C648CF" w:rsidP="00C648CF">
      <w:pPr>
        <w:pStyle w:val="Textbodu"/>
        <w:numPr>
          <w:ilvl w:val="0"/>
          <w:numId w:val="9"/>
        </w:numPr>
        <w:tabs>
          <w:tab w:val="clear" w:pos="360"/>
          <w:tab w:val="num" w:pos="567"/>
        </w:tabs>
        <w:spacing w:after="120"/>
        <w:ind w:left="567" w:hanging="567"/>
      </w:pPr>
      <w:r w:rsidRPr="00F16C0D">
        <w:t>Měsíční předběžná úhrada se poskytne poskytovateli vypočtená z údajů o poskytovatelem vykázaných a zdravotní pojišťovnou uznaných hrazených službách poskytnutých v referenčním období při použití výše úhrady a regulačních omezení stanovených touto vyhláškou, včetně koeficientu přechodu pojištěnců KP</w:t>
      </w:r>
      <w:r w:rsidRPr="00F16C0D">
        <w:rPr>
          <w:vertAlign w:val="subscript"/>
        </w:rPr>
        <w:t xml:space="preserve">p </w:t>
      </w:r>
      <w:r w:rsidRPr="00F16C0D">
        <w:t>podle příloh</w:t>
      </w:r>
      <w:r>
        <w:t>y</w:t>
      </w:r>
      <w:r w:rsidRPr="00F16C0D">
        <w:t xml:space="preserve"> </w:t>
      </w:r>
      <w:r w:rsidRPr="0027384E">
        <w:t xml:space="preserve">č. </w:t>
      </w:r>
      <w:r w:rsidR="0027384E" w:rsidRPr="0027384E">
        <w:t>3</w:t>
      </w:r>
      <w:r w:rsidR="0027384E">
        <w:t xml:space="preserve"> </w:t>
      </w:r>
      <w:r w:rsidRPr="00F16C0D">
        <w:t>k</w:t>
      </w:r>
      <w:r>
        <w:t> </w:t>
      </w:r>
      <w:r w:rsidRPr="00F16C0D">
        <w:t>této</w:t>
      </w:r>
      <w:r>
        <w:t xml:space="preserve"> dohodě</w:t>
      </w:r>
      <w:r w:rsidRPr="00F16C0D">
        <w:t xml:space="preserve">, a to ve výši jedné dvanáctiny. Předběžná úhrada za hodnocené období se finančně vypořádá v rámci celkového finančního vypořádání, včetně regulačních omezení, a to nejpozději do 180 dnů po dni skončení hodnoceného období. </w:t>
      </w:r>
    </w:p>
    <w:p w:rsidR="005C4792" w:rsidRPr="00C648CF" w:rsidRDefault="005C4792" w:rsidP="00C648CF">
      <w:pPr>
        <w:pStyle w:val="Textbodu"/>
        <w:numPr>
          <w:ilvl w:val="0"/>
          <w:numId w:val="0"/>
        </w:numPr>
        <w:tabs>
          <w:tab w:val="left" w:pos="284"/>
          <w:tab w:val="num" w:pos="567"/>
        </w:tabs>
        <w:spacing w:after="120"/>
        <w:ind w:left="567" w:hanging="567"/>
        <w:rPr>
          <w:b/>
        </w:rPr>
      </w:pPr>
    </w:p>
    <w:p w:rsidR="002476E7" w:rsidRDefault="002476E7" w:rsidP="00C648CF">
      <w:pPr>
        <w:pStyle w:val="Zhlav"/>
        <w:tabs>
          <w:tab w:val="clear" w:pos="4536"/>
          <w:tab w:val="clear" w:pos="9072"/>
          <w:tab w:val="num" w:pos="567"/>
        </w:tabs>
        <w:ind w:left="567" w:hanging="567"/>
        <w:rPr>
          <w:b/>
        </w:rPr>
      </w:pPr>
    </w:p>
    <w:p w:rsidR="002476E7" w:rsidRDefault="002476E7" w:rsidP="0032380D">
      <w:pPr>
        <w:pStyle w:val="Zhlav"/>
        <w:tabs>
          <w:tab w:val="clear" w:pos="4536"/>
          <w:tab w:val="clear" w:pos="9072"/>
        </w:tabs>
        <w:rPr>
          <w:b/>
        </w:rPr>
      </w:pPr>
    </w:p>
    <w:p w:rsidR="00C648CF" w:rsidRPr="009F79DD" w:rsidRDefault="00C648CF" w:rsidP="00C648CF">
      <w:pPr>
        <w:pStyle w:val="Zhlav"/>
        <w:tabs>
          <w:tab w:val="clear" w:pos="4536"/>
          <w:tab w:val="clear" w:pos="9072"/>
        </w:tabs>
        <w:rPr>
          <w:b/>
          <w:sz w:val="24"/>
        </w:rPr>
      </w:pPr>
      <w:r w:rsidRPr="009F79DD">
        <w:rPr>
          <w:b/>
          <w:sz w:val="24"/>
        </w:rPr>
        <w:t>Regulační omezení</w:t>
      </w:r>
    </w:p>
    <w:p w:rsidR="00C648CF" w:rsidRPr="009F79DD" w:rsidRDefault="00C648CF" w:rsidP="00C648CF">
      <w:pPr>
        <w:pStyle w:val="Zhlav"/>
        <w:tabs>
          <w:tab w:val="clear" w:pos="4536"/>
          <w:tab w:val="clear" w:pos="9072"/>
        </w:tabs>
      </w:pPr>
    </w:p>
    <w:p w:rsidR="00C648CF" w:rsidRPr="002476E7" w:rsidRDefault="00C648CF" w:rsidP="00C648CF">
      <w:pPr>
        <w:pStyle w:val="Textbodu"/>
        <w:numPr>
          <w:ilvl w:val="0"/>
          <w:numId w:val="13"/>
        </w:numPr>
        <w:tabs>
          <w:tab w:val="clear" w:pos="2062"/>
          <w:tab w:val="num" w:pos="426"/>
        </w:tabs>
        <w:spacing w:after="120"/>
        <w:ind w:left="2064" w:hanging="2064"/>
        <w:rPr>
          <w:b/>
        </w:rPr>
      </w:pPr>
      <w:r w:rsidRPr="009F79DD">
        <w:rPr>
          <w:b/>
        </w:rPr>
        <w:t>Regulační omezení úhrady formou případového paušálu</w:t>
      </w:r>
    </w:p>
    <w:p w:rsidR="00C648CF" w:rsidRPr="00C9771F" w:rsidRDefault="00C648CF" w:rsidP="00C648CF">
      <w:pPr>
        <w:pStyle w:val="Textpsmene"/>
        <w:numPr>
          <w:ilvl w:val="1"/>
          <w:numId w:val="17"/>
        </w:numPr>
        <w:tabs>
          <w:tab w:val="clear" w:pos="792"/>
          <w:tab w:val="num" w:pos="426"/>
        </w:tabs>
        <w:spacing w:after="120"/>
        <w:ind w:left="425" w:hanging="425"/>
        <w:rPr>
          <w:szCs w:val="24"/>
        </w:rPr>
      </w:pPr>
      <w:r>
        <w:rPr>
          <w:szCs w:val="24"/>
        </w:rPr>
        <w:t xml:space="preserve">Regulační omezení </w:t>
      </w:r>
      <w:r w:rsidRPr="00C9771F">
        <w:t>uvedená v bodě 1.2 zdravotní pojišťovna uplatní</w:t>
      </w:r>
      <w:r w:rsidRPr="009F79DD">
        <w:t xml:space="preserve"> </w:t>
      </w:r>
      <w:r>
        <w:t xml:space="preserve">pouze v těchto případech: </w:t>
      </w:r>
    </w:p>
    <w:p w:rsidR="00C648CF" w:rsidRPr="007C6A64" w:rsidRDefault="00C648CF" w:rsidP="00C648CF">
      <w:pPr>
        <w:pStyle w:val="Textpsmene"/>
        <w:numPr>
          <w:ilvl w:val="0"/>
          <w:numId w:val="19"/>
        </w:numPr>
        <w:spacing w:after="120"/>
        <w:rPr>
          <w:szCs w:val="24"/>
        </w:rPr>
      </w:pPr>
      <w:r w:rsidRPr="007C6A64">
        <w:t>Pokud zdravotní pojišťovna sdělila</w:t>
      </w:r>
      <w:r>
        <w:t xml:space="preserve"> poskytovateli </w:t>
      </w:r>
      <w:r w:rsidRPr="00512017">
        <w:t>do 30. června 2015</w:t>
      </w:r>
      <w:r w:rsidRPr="007C6A64">
        <w:t xml:space="preserve"> hodnotu vyžádané extramurální péče v referenčním období </w:t>
      </w:r>
      <w:r w:rsidRPr="007C6A64">
        <w:rPr>
          <w:szCs w:val="24"/>
        </w:rPr>
        <w:t>oceněnou hodnotami bodu platnými v hodnoceném období včetně nákladů na zvlášť účtovaný materiál a zvlášť účtované léčivé přípravky v referenčním období a</w:t>
      </w:r>
    </w:p>
    <w:p w:rsidR="00C648CF" w:rsidRPr="00C9771F" w:rsidRDefault="00C648CF" w:rsidP="00C648CF">
      <w:pPr>
        <w:pStyle w:val="Textpsmene"/>
        <w:numPr>
          <w:ilvl w:val="0"/>
          <w:numId w:val="19"/>
        </w:numPr>
        <w:spacing w:after="120"/>
        <w:rPr>
          <w:szCs w:val="24"/>
        </w:rPr>
      </w:pPr>
      <w:r>
        <w:rPr>
          <w:szCs w:val="24"/>
        </w:rPr>
        <w:t>Pokud zdravotní pojišťovna oznámila</w:t>
      </w:r>
      <w:r w:rsidRPr="0031680C">
        <w:rPr>
          <w:szCs w:val="24"/>
        </w:rPr>
        <w:t xml:space="preserve"> posk</w:t>
      </w:r>
      <w:r>
        <w:rPr>
          <w:szCs w:val="24"/>
        </w:rPr>
        <w:t>y</w:t>
      </w:r>
      <w:r w:rsidRPr="0031680C">
        <w:rPr>
          <w:szCs w:val="24"/>
        </w:rPr>
        <w:t>tovateli nejpozději týden před započetím revize, jestli se bude jednat o revizi náhodného vzorku případů či o revizi vybraných jednotlivých případů.</w:t>
      </w:r>
    </w:p>
    <w:p w:rsidR="00C648CF" w:rsidRPr="009F79DD" w:rsidRDefault="00C648CF" w:rsidP="00C648CF">
      <w:pPr>
        <w:pStyle w:val="Textpsmene"/>
        <w:numPr>
          <w:ilvl w:val="1"/>
          <w:numId w:val="17"/>
        </w:numPr>
        <w:tabs>
          <w:tab w:val="clear" w:pos="792"/>
          <w:tab w:val="num" w:pos="426"/>
        </w:tabs>
        <w:spacing w:after="120"/>
        <w:ind w:left="425" w:hanging="425"/>
        <w:rPr>
          <w:szCs w:val="24"/>
        </w:rPr>
      </w:pPr>
      <w:r w:rsidRPr="009F79DD">
        <w:t xml:space="preserve">Pokud zdravotní pojišťovna zjistí při kontrole odchylky od pravidel ve vykazování a kódování podle Klasifikace, v jejichž důsledku došlo k nesprávnému zařazení případu do DRG skupiny s vyšší hodnotou relativní váhy  u konkrétního poskytovatele, </w:t>
      </w:r>
      <w:r>
        <w:t xml:space="preserve">uplatní </w:t>
      </w:r>
      <w:r w:rsidRPr="00B7788C">
        <w:t>zdravotní pojišťovna snížení úhrady</w:t>
      </w:r>
      <w:r>
        <w:t xml:space="preserve"> </w:t>
      </w:r>
      <w:r w:rsidR="00821AC2">
        <w:t xml:space="preserve">případovým paušálem </w:t>
      </w:r>
      <w:r>
        <w:t>takto:</w:t>
      </w:r>
    </w:p>
    <w:p w:rsidR="00C648CF" w:rsidRDefault="00821AC2" w:rsidP="00241D8C">
      <w:r>
        <w:t xml:space="preserve">                                              </w:t>
      </w:r>
      <w:r w:rsidR="00C648CF" w:rsidRPr="009F79DD">
        <w:t>(CM</w:t>
      </w:r>
      <w:r w:rsidR="00C648CF" w:rsidRPr="009F79DD">
        <w:rPr>
          <w:szCs w:val="24"/>
          <w:vertAlign w:val="subscript"/>
        </w:rPr>
        <w:t>původní</w:t>
      </w:r>
      <w:r w:rsidR="00C648CF" w:rsidRPr="009F79DD">
        <w:t xml:space="preserve"> – CM</w:t>
      </w:r>
      <w:r w:rsidR="00C648CF" w:rsidRPr="009F79DD">
        <w:rPr>
          <w:szCs w:val="24"/>
          <w:vertAlign w:val="subscript"/>
        </w:rPr>
        <w:t>revidovaný</w:t>
      </w:r>
      <w:r w:rsidR="00C648CF" w:rsidRPr="009F79DD">
        <w:t>) x 2</w:t>
      </w:r>
      <w:r w:rsidR="00C648CF">
        <w:t xml:space="preserve"> x 29 500</w:t>
      </w:r>
    </w:p>
    <w:p w:rsidR="00C648CF" w:rsidRPr="009F79DD" w:rsidRDefault="00C648CF" w:rsidP="00C648CF">
      <w:pPr>
        <w:shd w:val="clear" w:color="auto" w:fill="FFFFFF"/>
        <w:ind w:left="2268" w:hanging="2"/>
        <w:rPr>
          <w:spacing w:val="1"/>
        </w:rPr>
      </w:pPr>
    </w:p>
    <w:p w:rsidR="00C648CF" w:rsidRPr="001B6EB7" w:rsidRDefault="00C648CF" w:rsidP="00C648CF">
      <w:pPr>
        <w:pStyle w:val="Textbodu"/>
        <w:numPr>
          <w:ilvl w:val="0"/>
          <w:numId w:val="13"/>
        </w:numPr>
        <w:tabs>
          <w:tab w:val="clear" w:pos="2062"/>
          <w:tab w:val="num" w:pos="426"/>
        </w:tabs>
        <w:spacing w:after="120"/>
        <w:ind w:left="426" w:hanging="426"/>
      </w:pPr>
      <w:r w:rsidRPr="001B6EB7">
        <w:rPr>
          <w:b/>
        </w:rPr>
        <w:t>Regulační omezení na předepsané léčivé přípravky, zdravotnické prostředky a na vyžádanou péči</w:t>
      </w:r>
    </w:p>
    <w:p w:rsidR="00C648CF" w:rsidRPr="001B6EB7" w:rsidRDefault="00C648CF" w:rsidP="00C648CF">
      <w:pPr>
        <w:pStyle w:val="Textbodu"/>
        <w:numPr>
          <w:ilvl w:val="0"/>
          <w:numId w:val="0"/>
        </w:numPr>
        <w:spacing w:after="120"/>
        <w:ind w:left="426"/>
      </w:pPr>
    </w:p>
    <w:p w:rsidR="00C648CF" w:rsidRPr="001B6EB7" w:rsidRDefault="00C648CF" w:rsidP="00C648CF">
      <w:pPr>
        <w:pStyle w:val="Nadpis2"/>
        <w:numPr>
          <w:ilvl w:val="1"/>
          <w:numId w:val="36"/>
        </w:numPr>
        <w:spacing w:before="60" w:after="60"/>
        <w:ind w:left="426" w:hanging="426"/>
        <w:rPr>
          <w:rFonts w:ascii="Times New Roman" w:hAnsi="Times New Roman"/>
          <w:b w:val="0"/>
          <w:i w:val="0"/>
          <w:sz w:val="24"/>
          <w:szCs w:val="24"/>
        </w:rPr>
      </w:pPr>
      <w:r w:rsidRPr="001B6EB7">
        <w:rPr>
          <w:rFonts w:ascii="Times New Roman" w:hAnsi="Times New Roman"/>
          <w:b w:val="0"/>
          <w:i w:val="0"/>
          <w:sz w:val="24"/>
          <w:szCs w:val="24"/>
        </w:rPr>
        <w:t xml:space="preserve">Regulační omezení za služby poskytnuté </w:t>
      </w:r>
      <w:r>
        <w:rPr>
          <w:rFonts w:ascii="Times New Roman" w:hAnsi="Times New Roman"/>
          <w:b w:val="0"/>
          <w:i w:val="0"/>
          <w:sz w:val="24"/>
          <w:szCs w:val="24"/>
        </w:rPr>
        <w:t>podle odst. 4.2 této dohody</w:t>
      </w:r>
      <w:r w:rsidRPr="001B6EB7">
        <w:rPr>
          <w:rFonts w:ascii="Times New Roman" w:hAnsi="Times New Roman"/>
          <w:b w:val="0"/>
          <w:i w:val="0"/>
          <w:sz w:val="24"/>
          <w:szCs w:val="24"/>
        </w:rPr>
        <w:t xml:space="preserve"> se na poskytovatele aplikují souhrnně za všechny odbornosti, s tím, že unikátní ošetřený pojištěnec je stanovený napříč přes všechny</w:t>
      </w:r>
      <w:r>
        <w:rPr>
          <w:rFonts w:ascii="Times New Roman" w:hAnsi="Times New Roman"/>
          <w:b w:val="0"/>
          <w:i w:val="0"/>
          <w:sz w:val="24"/>
          <w:szCs w:val="24"/>
        </w:rPr>
        <w:t xml:space="preserve"> odbornosti definované v</w:t>
      </w:r>
      <w:r w:rsidRPr="001B6EB7">
        <w:rPr>
          <w:rFonts w:ascii="Times New Roman" w:hAnsi="Times New Roman"/>
          <w:b w:val="0"/>
          <w:i w:val="0"/>
          <w:sz w:val="24"/>
          <w:szCs w:val="24"/>
        </w:rPr>
        <w:t xml:space="preserve"> odst.</w:t>
      </w:r>
      <w:r>
        <w:rPr>
          <w:rFonts w:ascii="Times New Roman" w:hAnsi="Times New Roman"/>
          <w:b w:val="0"/>
          <w:i w:val="0"/>
          <w:sz w:val="24"/>
          <w:szCs w:val="24"/>
        </w:rPr>
        <w:t xml:space="preserve"> 4</w:t>
      </w:r>
      <w:r w:rsidRPr="001B6EB7">
        <w:rPr>
          <w:rFonts w:ascii="Times New Roman" w:hAnsi="Times New Roman"/>
          <w:b w:val="0"/>
          <w:i w:val="0"/>
          <w:sz w:val="24"/>
          <w:szCs w:val="24"/>
        </w:rPr>
        <w:t>.2</w:t>
      </w:r>
      <w:r>
        <w:rPr>
          <w:rFonts w:ascii="Times New Roman" w:hAnsi="Times New Roman"/>
          <w:b w:val="0"/>
          <w:i w:val="0"/>
          <w:sz w:val="24"/>
          <w:szCs w:val="24"/>
        </w:rPr>
        <w:t xml:space="preserve"> této dohody</w:t>
      </w:r>
      <w:r w:rsidRPr="001B6EB7">
        <w:rPr>
          <w:rFonts w:ascii="Times New Roman" w:hAnsi="Times New Roman"/>
          <w:b w:val="0"/>
          <w:i w:val="0"/>
          <w:sz w:val="24"/>
          <w:szCs w:val="24"/>
        </w:rPr>
        <w:t xml:space="preserve">, tedy pro specializovanou ambulantní zdravotní péči a poskytovatele v odbornostech 903, 905, 919 a 927. </w:t>
      </w:r>
    </w:p>
    <w:p w:rsidR="00C648CF" w:rsidRPr="001B6EB7" w:rsidRDefault="00C648CF" w:rsidP="00C648CF">
      <w:pPr>
        <w:pStyle w:val="Nadpis2"/>
        <w:numPr>
          <w:ilvl w:val="1"/>
          <w:numId w:val="36"/>
        </w:numPr>
        <w:spacing w:before="60" w:after="60"/>
        <w:ind w:left="426" w:hanging="426"/>
        <w:rPr>
          <w:rFonts w:ascii="Times New Roman" w:hAnsi="Times New Roman"/>
          <w:b w:val="0"/>
          <w:i w:val="0"/>
          <w:sz w:val="24"/>
          <w:szCs w:val="24"/>
        </w:rPr>
      </w:pPr>
      <w:r w:rsidRPr="001B6EB7">
        <w:rPr>
          <w:rFonts w:ascii="Times New Roman" w:hAnsi="Times New Roman"/>
          <w:b w:val="0"/>
          <w:i w:val="0"/>
          <w:sz w:val="24"/>
          <w:szCs w:val="24"/>
        </w:rPr>
        <w:t xml:space="preserve">Regulační omezení uvedená v bodech 2.3 a 2.4 zdravotní pojišťovna uplatní pouze v případě, že sdělila poskytovateli </w:t>
      </w:r>
      <w:r w:rsidRPr="00D51A7D">
        <w:rPr>
          <w:rFonts w:ascii="Times New Roman" w:hAnsi="Times New Roman"/>
          <w:b w:val="0"/>
          <w:i w:val="0"/>
          <w:sz w:val="24"/>
          <w:szCs w:val="24"/>
        </w:rPr>
        <w:t>do 30. června 2015 tyto</w:t>
      </w:r>
      <w:r w:rsidRPr="001B6EB7">
        <w:rPr>
          <w:rFonts w:ascii="Times New Roman" w:hAnsi="Times New Roman"/>
          <w:b w:val="0"/>
          <w:i w:val="0"/>
          <w:sz w:val="24"/>
          <w:szCs w:val="24"/>
        </w:rPr>
        <w:t xml:space="preserve"> hodnoty referenčního období, které vstupují do výpočtu regulačních omezení v hodnoceném období:</w:t>
      </w:r>
    </w:p>
    <w:p w:rsidR="00C648CF" w:rsidRPr="001B6EB7" w:rsidRDefault="00C648CF" w:rsidP="00C648CF">
      <w:pPr>
        <w:pStyle w:val="nazvy"/>
        <w:numPr>
          <w:ilvl w:val="0"/>
          <w:numId w:val="35"/>
        </w:numPr>
        <w:spacing w:before="120"/>
        <w:ind w:left="851" w:hanging="425"/>
      </w:pPr>
      <w:r w:rsidRPr="001B6EB7">
        <w:t>Průměrná úhrada na jednoho unikátního pojištěnce za předepsané léčivé přípravky a zdravotnické prostředky v referenčním období;</w:t>
      </w:r>
    </w:p>
    <w:p w:rsidR="00C648CF" w:rsidRPr="001B6EB7" w:rsidRDefault="00C648CF" w:rsidP="00C648CF">
      <w:pPr>
        <w:pStyle w:val="nazvy"/>
        <w:numPr>
          <w:ilvl w:val="0"/>
          <w:numId w:val="35"/>
        </w:numPr>
        <w:spacing w:before="120"/>
        <w:ind w:left="851" w:hanging="425"/>
      </w:pPr>
      <w:r w:rsidRPr="001B6EB7">
        <w:t>Průměrná úhrada na jednoho unikátního pojištěnce za vyžádanou péči ve vyjmenovaných odbornostech v referenčním období, vyjma vyžádané péče poskytnuté stejným poskytovatelem.</w:t>
      </w:r>
    </w:p>
    <w:p w:rsidR="00C648CF" w:rsidRPr="001B6EB7" w:rsidRDefault="00C648CF" w:rsidP="00C648CF">
      <w:pPr>
        <w:pStyle w:val="Nadpis2"/>
        <w:numPr>
          <w:ilvl w:val="1"/>
          <w:numId w:val="36"/>
        </w:numPr>
        <w:spacing w:before="60" w:after="60"/>
        <w:ind w:left="426" w:hanging="426"/>
        <w:rPr>
          <w:rFonts w:ascii="Times New Roman" w:hAnsi="Times New Roman"/>
          <w:b w:val="0"/>
          <w:i w:val="0"/>
          <w:sz w:val="24"/>
          <w:szCs w:val="24"/>
        </w:rPr>
      </w:pPr>
      <w:r w:rsidRPr="001B6EB7">
        <w:rPr>
          <w:rFonts w:ascii="Times New Roman" w:hAnsi="Times New Roman"/>
          <w:b w:val="0"/>
          <w:i w:val="0"/>
          <w:sz w:val="24"/>
          <w:szCs w:val="24"/>
        </w:rPr>
        <w:t>Pokud poskytovatel dosáhne průměrné úhrady na jednoho unikátního pojištěnce za předepsané léčivé přípravky a zdravotnické prostředky v hodnoceném období vyšší než 100 % průměrné úhrady na jednoho unikátního pojištěnce za předepsané léčivé přípravky a zdravotnické prostředky v referenčním období, zdravotní pojišťovna sníží poskytovateli celkovou úhradu o částku odpovídající součinu 2,5 % z překročení uvedené průměrné úhrady a počtu unikátních pojištěnců v hodnoceném období za každé započaté 0,5 % překročení uvedené průměrné úhrady, nejvýše však 40 % z překročení. Průměrná úhrada na jednoho unikátního pojištěnce v hodnoceném období a počet unikátních pojištěnců v hodnoceném období podle věty první se vypočte z celkového počtu unikátních pojištěnců, do kterého se nezahrnou unikátní pojištěnci, na které byl vykázán pouze zdravotní výkon 09513. Do regulačního omezení se nezahrnují léčivé přípravky nebo zdravotnické prostředky schválené revizním lékařem.</w:t>
      </w:r>
    </w:p>
    <w:p w:rsidR="00C648CF" w:rsidRDefault="00C648CF" w:rsidP="00C648CF">
      <w:pPr>
        <w:pStyle w:val="Odstavecseseznamem"/>
        <w:numPr>
          <w:ilvl w:val="1"/>
          <w:numId w:val="36"/>
        </w:numPr>
        <w:spacing w:before="120"/>
        <w:ind w:left="426" w:hanging="426"/>
      </w:pPr>
      <w:r w:rsidRPr="001B6EB7">
        <w:t>Pokud poskytovatel dosáhne průměrné úhrady na jednoho unikátního pojištěnce za vyžádanou péči ve vyjmenovaných odbornostech, vyjma vyžádané péče poskytnuté stejným poskytovatelem, v hodnoceném období vyšší než 100 % průměrné úhrady na jednoho unikátního pojištěnce za vyžádanou péči ve vyjmenovaných odbornostech, vyjma vyžádané péče poskytnuté stejným poskytovatelem, v referenčním období, zdravotní pojišťovna sníží poskytovateli celkovou úhradu o částku odpovídající součinu 2,5 % z překročení uvedené průměrné úhrady a počtu unikátních pojištěnců v hodnoceném období za každé započaté 0,5 % překročení uvedené průměrné úhrady, nejvýše však 40 % z překročení. Průměrná úhrada na jednoho unikátního pojištěnce v hodnoceném a referenčním období a počet unikátních pojištěnců v hodnoceném a referenčním období podle věty první se vypočte z celkového počtu unikátních pojištěnců, do kterého se nezahrnou unikátní pojištěnci, na které byl vykázán pouze zdravotní výkon 09513. Do vyžádané péče se nezahrnují zdravotní výkony mamografického screeningu, screeningu karcinomu děložního hrdla a screeningu kolorektálního karcinomu prováděné poskytovatelem, který má se zdravotní pojišťovnou na poskytování těchto zdravotních výkonů uzavřenu smlouvu. Pro účely stanovení výše průměrných úhrad i výše případné srážky podle věty první se výkony vyžádané péče v referenčním období ocení podle seznamu výkonů ve znění účinném k 1. </w:t>
      </w:r>
      <w:r>
        <w:t>lednu 2015</w:t>
      </w:r>
      <w:r w:rsidRPr="001B6EB7">
        <w:t xml:space="preserve"> hodnotou bodu platnou v hodnoceném období.</w:t>
      </w:r>
    </w:p>
    <w:p w:rsidR="00C648CF" w:rsidRPr="001B6EB7" w:rsidRDefault="00C648CF" w:rsidP="00C648CF">
      <w:pPr>
        <w:pStyle w:val="Odstavecseseznamem"/>
        <w:spacing w:before="120"/>
        <w:ind w:left="426"/>
      </w:pPr>
    </w:p>
    <w:p w:rsidR="00C648CF" w:rsidRDefault="00C648CF" w:rsidP="00C648CF">
      <w:pPr>
        <w:pStyle w:val="Odstavecseseznamem"/>
        <w:numPr>
          <w:ilvl w:val="1"/>
          <w:numId w:val="36"/>
        </w:numPr>
        <w:ind w:left="426" w:hanging="426"/>
      </w:pPr>
      <w:r w:rsidRPr="001B6EB7">
        <w:t xml:space="preserve">Při realizaci regulačního omezení podle bodů 2.3 a 2.4 může zdravotní pojišťovna zohlednit změnu struktury ošetřených pojištěnců v hodnoceném oproti referenčnímu období. </w:t>
      </w:r>
    </w:p>
    <w:p w:rsidR="00C648CF" w:rsidRPr="001B6EB7" w:rsidRDefault="00C648CF" w:rsidP="00C648CF">
      <w:pPr>
        <w:pStyle w:val="Odstavecseseznamem"/>
        <w:ind w:left="426"/>
      </w:pPr>
    </w:p>
    <w:p w:rsidR="00C648CF" w:rsidRPr="001B6EB7" w:rsidRDefault="00C648CF" w:rsidP="00C648CF">
      <w:pPr>
        <w:pStyle w:val="Odstavecseseznamem"/>
        <w:numPr>
          <w:ilvl w:val="1"/>
          <w:numId w:val="36"/>
        </w:numPr>
        <w:ind w:left="426" w:hanging="426"/>
      </w:pPr>
      <w:r w:rsidRPr="001B6EB7">
        <w:t>V případě, že poskytovatel poskytl v hodnoceném období zdravotní péči 50 a méně pojištěncům příslušné zdravotní pojišťovny, zdravotní pojišťovna neuplatní regulaci uvedenou v bodech 2.3 a 2.4.</w:t>
      </w:r>
    </w:p>
    <w:p w:rsidR="00C648CF" w:rsidRPr="001B6EB7" w:rsidRDefault="00C648CF" w:rsidP="00C648CF">
      <w:pPr>
        <w:pStyle w:val="Odstavecseseznamem"/>
        <w:ind w:left="426" w:hanging="426"/>
      </w:pPr>
    </w:p>
    <w:p w:rsidR="00C648CF" w:rsidRDefault="00C648CF" w:rsidP="00C648CF"/>
    <w:p w:rsidR="00045A4C" w:rsidRDefault="00045A4C" w:rsidP="00C648CF"/>
    <w:p w:rsidR="00C648CF" w:rsidRDefault="00C648CF" w:rsidP="00C648CF"/>
    <w:p w:rsidR="00C648CF" w:rsidRDefault="00C648CF" w:rsidP="00C648CF">
      <w:pPr>
        <w:rPr>
          <w:u w:val="single"/>
        </w:rPr>
      </w:pPr>
      <w:r w:rsidRPr="007F3CFF">
        <w:rPr>
          <w:b/>
          <w:u w:val="single"/>
        </w:rPr>
        <w:t>Příloha č. 1</w:t>
      </w:r>
      <w:r w:rsidRPr="005347E2">
        <w:rPr>
          <w:u w:val="single"/>
        </w:rPr>
        <w:t xml:space="preserve"> – Individuální složka úhrady</w:t>
      </w:r>
      <w:r>
        <w:rPr>
          <w:u w:val="single"/>
        </w:rPr>
        <w:t xml:space="preserve"> dle odst. 2.1 této dohody</w:t>
      </w:r>
    </w:p>
    <w:p w:rsidR="00C648CF" w:rsidRDefault="00C648CF" w:rsidP="00C648CF">
      <w:pPr>
        <w:rPr>
          <w:u w:val="single"/>
        </w:rPr>
      </w:pPr>
    </w:p>
    <w:p w:rsidR="008C7DEC" w:rsidRPr="00821AC2" w:rsidRDefault="008C7DEC" w:rsidP="008C7DEC">
      <w:pPr>
        <w:tabs>
          <w:tab w:val="num" w:pos="284"/>
        </w:tabs>
        <w:ind w:left="284"/>
      </w:pPr>
      <w:r>
        <w:t>0001</w:t>
      </w:r>
    </w:p>
    <w:p w:rsidR="008C7DEC" w:rsidRPr="00821AC2" w:rsidRDefault="008C7DEC" w:rsidP="008C7DEC">
      <w:pPr>
        <w:tabs>
          <w:tab w:val="num" w:pos="284"/>
        </w:tabs>
        <w:ind w:left="284"/>
      </w:pPr>
      <w:r>
        <w:t>0002</w:t>
      </w:r>
    </w:p>
    <w:p w:rsidR="008C7DEC" w:rsidRPr="00821AC2" w:rsidRDefault="008C7DEC" w:rsidP="008C7DEC">
      <w:pPr>
        <w:tabs>
          <w:tab w:val="num" w:pos="284"/>
        </w:tabs>
        <w:ind w:left="284"/>
      </w:pPr>
      <w:r w:rsidRPr="00821AC2">
        <w:t>0501, 0507, 0516, 0511</w:t>
      </w:r>
    </w:p>
    <w:p w:rsidR="008C7DEC" w:rsidRPr="00821AC2" w:rsidRDefault="008C7DEC" w:rsidP="008C7DEC">
      <w:pPr>
        <w:tabs>
          <w:tab w:val="num" w:pos="284"/>
        </w:tabs>
        <w:ind w:left="284"/>
      </w:pPr>
      <w:r w:rsidRPr="008C7DEC">
        <w:rPr>
          <w:szCs w:val="24"/>
        </w:rPr>
        <w:t>0522, 0523, 0524, 0526, 0527, 0528</w:t>
      </w:r>
    </w:p>
    <w:p w:rsidR="008C7DEC" w:rsidRPr="00821AC2" w:rsidRDefault="008C7DEC" w:rsidP="008C7DEC">
      <w:pPr>
        <w:tabs>
          <w:tab w:val="num" w:pos="284"/>
        </w:tabs>
        <w:ind w:left="284"/>
      </w:pPr>
      <w:r>
        <w:t>0802, 0804, 0818</w:t>
      </w:r>
    </w:p>
    <w:p w:rsidR="008C7DEC" w:rsidRPr="00821AC2" w:rsidRDefault="008C7DEC" w:rsidP="008C7DEC">
      <w:pPr>
        <w:tabs>
          <w:tab w:val="num" w:pos="284"/>
        </w:tabs>
        <w:ind w:left="284"/>
      </w:pPr>
      <w:r>
        <w:t>1101</w:t>
      </w:r>
    </w:p>
    <w:p w:rsidR="00C648CF" w:rsidRDefault="00C648CF" w:rsidP="008C7DEC">
      <w:pPr>
        <w:ind w:left="284"/>
        <w:rPr>
          <w:u w:val="single"/>
        </w:rPr>
      </w:pPr>
    </w:p>
    <w:p w:rsidR="00045A4C" w:rsidRDefault="00045A4C" w:rsidP="008C7DEC">
      <w:pPr>
        <w:ind w:left="284"/>
        <w:rPr>
          <w:u w:val="single"/>
        </w:rPr>
      </w:pPr>
    </w:p>
    <w:p w:rsidR="00C648CF" w:rsidRDefault="00C648CF" w:rsidP="00C648CF">
      <w:pPr>
        <w:rPr>
          <w:u w:val="single"/>
        </w:rPr>
      </w:pPr>
    </w:p>
    <w:p w:rsidR="00C648CF" w:rsidRDefault="00C648CF" w:rsidP="00C648CF">
      <w:pPr>
        <w:rPr>
          <w:u w:val="single"/>
        </w:rPr>
      </w:pPr>
      <w:r w:rsidRPr="007F3CFF">
        <w:rPr>
          <w:b/>
          <w:u w:val="single"/>
        </w:rPr>
        <w:t>Příloha č. 2</w:t>
      </w:r>
      <w:r>
        <w:rPr>
          <w:u w:val="single"/>
        </w:rPr>
        <w:t xml:space="preserve"> – Úhrada případovým paušálem dle odst. 3 této dohody</w:t>
      </w:r>
    </w:p>
    <w:p w:rsidR="00045A4C" w:rsidRDefault="00045A4C" w:rsidP="00C648CF"/>
    <w:p w:rsidR="00C648CF" w:rsidRDefault="00C648CF" w:rsidP="00C648CF">
      <w:r>
        <w:t>ostatní</w:t>
      </w:r>
    </w:p>
    <w:p w:rsidR="00C648CF" w:rsidRDefault="00C648CF" w:rsidP="00C648CF"/>
    <w:p w:rsidR="00C648CF" w:rsidRDefault="00C648CF" w:rsidP="00C648CF"/>
    <w:p w:rsidR="00D00FE9" w:rsidRDefault="00D00FE9" w:rsidP="00C648CF"/>
    <w:p w:rsidR="00045A4C" w:rsidRDefault="00045A4C" w:rsidP="00C648CF"/>
    <w:p w:rsidR="00C648CF" w:rsidRDefault="00C648CF" w:rsidP="00C648CF">
      <w:pPr>
        <w:rPr>
          <w:u w:val="single"/>
        </w:rPr>
      </w:pPr>
      <w:r w:rsidRPr="007F3CFF">
        <w:rPr>
          <w:b/>
          <w:u w:val="single"/>
        </w:rPr>
        <w:t>Příloha č.  3</w:t>
      </w:r>
      <w:r>
        <w:rPr>
          <w:u w:val="single"/>
        </w:rPr>
        <w:t xml:space="preserve"> – Koeficienty vážené změny počtu pojištěnců zdravotních pojišťoven ČR </w:t>
      </w:r>
      <w:r w:rsidRPr="0004685D">
        <w:t>(počty pojištěnců a výpočet Kp</w:t>
      </w:r>
      <w:r w:rsidRPr="0004685D">
        <w:rPr>
          <w:vertAlign w:val="subscript"/>
        </w:rPr>
        <w:t>p</w:t>
      </w:r>
      <w:r w:rsidRPr="0004685D">
        <w:t>)</w:t>
      </w:r>
    </w:p>
    <w:p w:rsidR="00C648CF" w:rsidRDefault="00C648CF" w:rsidP="00C648CF"/>
    <w:p w:rsidR="00045A4C" w:rsidRDefault="00045A4C" w:rsidP="00C648CF"/>
    <w:p w:rsidR="00045A4C" w:rsidRDefault="00045A4C" w:rsidP="00C648CF"/>
    <w:tbl>
      <w:tblPr>
        <w:tblW w:w="8792" w:type="dxa"/>
        <w:tblInd w:w="60" w:type="dxa"/>
        <w:tblCellMar>
          <w:left w:w="70" w:type="dxa"/>
          <w:right w:w="70" w:type="dxa"/>
        </w:tblCellMar>
        <w:tblLook w:val="04A0"/>
      </w:tblPr>
      <w:tblGrid>
        <w:gridCol w:w="248"/>
        <w:gridCol w:w="1128"/>
        <w:gridCol w:w="196"/>
        <w:gridCol w:w="2048"/>
        <w:gridCol w:w="196"/>
        <w:gridCol w:w="1728"/>
        <w:gridCol w:w="1668"/>
        <w:gridCol w:w="1368"/>
        <w:gridCol w:w="248"/>
      </w:tblGrid>
      <w:tr w:rsidR="00D00FE9" w:rsidRPr="00237F7E" w:rsidTr="00C20B9B">
        <w:trPr>
          <w:trHeight w:val="210"/>
        </w:trPr>
        <w:tc>
          <w:tcPr>
            <w:tcW w:w="248" w:type="dxa"/>
            <w:tcBorders>
              <w:top w:val="single" w:sz="8" w:space="0" w:color="auto"/>
              <w:left w:val="single" w:sz="8" w:space="0" w:color="auto"/>
              <w:bottom w:val="nil"/>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1128" w:type="dxa"/>
            <w:tcBorders>
              <w:top w:val="single" w:sz="8" w:space="0" w:color="auto"/>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168" w:type="dxa"/>
            <w:tcBorders>
              <w:top w:val="single" w:sz="8" w:space="0" w:color="auto"/>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2048" w:type="dxa"/>
            <w:tcBorders>
              <w:top w:val="single" w:sz="8" w:space="0" w:color="auto"/>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188" w:type="dxa"/>
            <w:tcBorders>
              <w:top w:val="single" w:sz="8" w:space="0" w:color="auto"/>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1728" w:type="dxa"/>
            <w:tcBorders>
              <w:top w:val="single" w:sz="8" w:space="0" w:color="auto"/>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1668" w:type="dxa"/>
            <w:tcBorders>
              <w:top w:val="single" w:sz="8" w:space="0" w:color="auto"/>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1368" w:type="dxa"/>
            <w:tcBorders>
              <w:top w:val="single" w:sz="8" w:space="0" w:color="auto"/>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248" w:type="dxa"/>
            <w:tcBorders>
              <w:top w:val="single" w:sz="8" w:space="0" w:color="auto"/>
              <w:left w:val="nil"/>
              <w:bottom w:val="nil"/>
              <w:right w:val="single" w:sz="8" w:space="0" w:color="auto"/>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r>
      <w:tr w:rsidR="00D00FE9" w:rsidRPr="00237F7E" w:rsidTr="00C20B9B">
        <w:trPr>
          <w:trHeight w:val="300"/>
        </w:trPr>
        <w:tc>
          <w:tcPr>
            <w:tcW w:w="248" w:type="dxa"/>
            <w:tcBorders>
              <w:top w:val="nil"/>
              <w:left w:val="single" w:sz="8" w:space="0" w:color="auto"/>
              <w:bottom w:val="nil"/>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1128" w:type="dxa"/>
            <w:tcBorders>
              <w:top w:val="single" w:sz="4" w:space="0" w:color="auto"/>
              <w:left w:val="single" w:sz="4" w:space="0" w:color="auto"/>
              <w:bottom w:val="nil"/>
              <w:right w:val="nil"/>
            </w:tcBorders>
            <w:shd w:val="clear" w:color="auto" w:fill="auto"/>
            <w:noWrap/>
            <w:vAlign w:val="bottom"/>
            <w:hideMark/>
          </w:tcPr>
          <w:p w:rsidR="00D00FE9" w:rsidRPr="00237F7E" w:rsidRDefault="00D00FE9" w:rsidP="00C20B9B">
            <w:pPr>
              <w:jc w:val="center"/>
              <w:rPr>
                <w:rFonts w:ascii="Arial CE" w:hAnsi="Arial CE" w:cs="Arial CE"/>
                <w:b/>
                <w:bCs/>
                <w:color w:val="000000"/>
                <w:sz w:val="20"/>
              </w:rPr>
            </w:pPr>
            <w:r w:rsidRPr="00237F7E">
              <w:rPr>
                <w:rFonts w:ascii="Arial CE" w:hAnsi="Arial CE" w:cs="Arial CE"/>
                <w:b/>
                <w:bCs/>
                <w:color w:val="000000"/>
                <w:sz w:val="20"/>
              </w:rPr>
              <w:t>Kód</w:t>
            </w:r>
          </w:p>
        </w:tc>
        <w:tc>
          <w:tcPr>
            <w:tcW w:w="168" w:type="dxa"/>
            <w:tcBorders>
              <w:top w:val="nil"/>
              <w:left w:val="single" w:sz="4" w:space="0" w:color="auto"/>
              <w:bottom w:val="nil"/>
              <w:right w:val="nil"/>
            </w:tcBorders>
            <w:shd w:val="pct12" w:color="000000" w:fill="auto"/>
            <w:noWrap/>
            <w:vAlign w:val="bottom"/>
            <w:hideMark/>
          </w:tcPr>
          <w:p w:rsidR="00D00FE9" w:rsidRPr="00237F7E" w:rsidRDefault="00D00FE9" w:rsidP="00C20B9B">
            <w:pPr>
              <w:jc w:val="center"/>
              <w:rPr>
                <w:rFonts w:ascii="Arial CE" w:hAnsi="Arial CE" w:cs="Arial CE"/>
                <w:b/>
                <w:bCs/>
                <w:color w:val="000000"/>
                <w:sz w:val="20"/>
              </w:rPr>
            </w:pPr>
            <w:r w:rsidRPr="00237F7E">
              <w:rPr>
                <w:rFonts w:ascii="Arial CE" w:hAnsi="Arial CE" w:cs="Arial CE"/>
                <w:b/>
                <w:bCs/>
                <w:color w:val="000000"/>
                <w:sz w:val="20"/>
              </w:rPr>
              <w:t> </w:t>
            </w:r>
          </w:p>
        </w:tc>
        <w:tc>
          <w:tcPr>
            <w:tcW w:w="2048" w:type="dxa"/>
            <w:tcBorders>
              <w:top w:val="single" w:sz="4" w:space="0" w:color="auto"/>
              <w:left w:val="single" w:sz="4" w:space="0" w:color="auto"/>
              <w:bottom w:val="nil"/>
              <w:right w:val="nil"/>
            </w:tcBorders>
            <w:shd w:val="clear" w:color="auto" w:fill="auto"/>
            <w:noWrap/>
            <w:vAlign w:val="bottom"/>
            <w:hideMark/>
          </w:tcPr>
          <w:p w:rsidR="00D00FE9" w:rsidRPr="00237F7E" w:rsidRDefault="00D00FE9" w:rsidP="00C20B9B">
            <w:pPr>
              <w:jc w:val="center"/>
              <w:rPr>
                <w:rFonts w:ascii="Arial CE" w:hAnsi="Arial CE" w:cs="Arial CE"/>
                <w:b/>
                <w:bCs/>
                <w:color w:val="000000"/>
                <w:sz w:val="20"/>
              </w:rPr>
            </w:pPr>
            <w:r w:rsidRPr="00237F7E">
              <w:rPr>
                <w:rFonts w:ascii="Arial CE" w:hAnsi="Arial CE" w:cs="Arial CE"/>
                <w:b/>
                <w:bCs/>
                <w:color w:val="000000"/>
                <w:sz w:val="20"/>
              </w:rPr>
              <w:t>Název</w:t>
            </w:r>
          </w:p>
        </w:tc>
        <w:tc>
          <w:tcPr>
            <w:tcW w:w="188" w:type="dxa"/>
            <w:tcBorders>
              <w:top w:val="nil"/>
              <w:left w:val="single" w:sz="4" w:space="0" w:color="auto"/>
              <w:bottom w:val="nil"/>
              <w:right w:val="nil"/>
            </w:tcBorders>
            <w:shd w:val="pct12" w:color="000000" w:fill="auto"/>
            <w:noWrap/>
            <w:vAlign w:val="bottom"/>
            <w:hideMark/>
          </w:tcPr>
          <w:p w:rsidR="00D00FE9" w:rsidRPr="00237F7E" w:rsidRDefault="00D00FE9" w:rsidP="00C20B9B">
            <w:pPr>
              <w:jc w:val="center"/>
              <w:rPr>
                <w:rFonts w:ascii="Arial CE" w:hAnsi="Arial CE" w:cs="Arial CE"/>
                <w:b/>
                <w:bCs/>
                <w:color w:val="000000"/>
                <w:sz w:val="20"/>
              </w:rPr>
            </w:pPr>
            <w:r w:rsidRPr="00237F7E">
              <w:rPr>
                <w:rFonts w:ascii="Arial CE" w:hAnsi="Arial CE" w:cs="Arial CE"/>
                <w:b/>
                <w:bCs/>
                <w:color w:val="000000"/>
                <w:sz w:val="20"/>
              </w:rPr>
              <w:t> </w:t>
            </w:r>
          </w:p>
        </w:tc>
        <w:tc>
          <w:tcPr>
            <w:tcW w:w="17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0FE9" w:rsidRPr="00237F7E" w:rsidRDefault="00D00FE9" w:rsidP="00C20B9B">
            <w:pPr>
              <w:jc w:val="center"/>
              <w:rPr>
                <w:rFonts w:ascii="Arial CE" w:hAnsi="Arial CE" w:cs="Arial CE"/>
                <w:b/>
                <w:bCs/>
                <w:color w:val="000000"/>
                <w:sz w:val="20"/>
              </w:rPr>
            </w:pPr>
            <w:r w:rsidRPr="00237F7E">
              <w:rPr>
                <w:rFonts w:ascii="Arial CE" w:hAnsi="Arial CE" w:cs="Arial CE"/>
                <w:b/>
                <w:bCs/>
                <w:color w:val="000000"/>
                <w:sz w:val="20"/>
              </w:rPr>
              <w:t>Počet pojištěnců k 1.1.2013</w:t>
            </w:r>
          </w:p>
        </w:tc>
        <w:tc>
          <w:tcPr>
            <w:tcW w:w="16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0FE9" w:rsidRPr="00237F7E" w:rsidRDefault="00D00FE9" w:rsidP="00C20B9B">
            <w:pPr>
              <w:jc w:val="center"/>
              <w:rPr>
                <w:rFonts w:ascii="Arial CE" w:hAnsi="Arial CE" w:cs="Arial CE"/>
                <w:b/>
                <w:bCs/>
                <w:color w:val="000000"/>
                <w:sz w:val="20"/>
              </w:rPr>
            </w:pPr>
            <w:r w:rsidRPr="00237F7E">
              <w:rPr>
                <w:rFonts w:ascii="Arial CE" w:hAnsi="Arial CE" w:cs="Arial CE"/>
                <w:b/>
                <w:bCs/>
                <w:color w:val="000000"/>
                <w:sz w:val="20"/>
              </w:rPr>
              <w:t>Počet pojištěnců k 1.1.2015</w:t>
            </w: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0FE9" w:rsidRPr="00237F7E" w:rsidRDefault="00D00FE9" w:rsidP="00C20B9B">
            <w:pPr>
              <w:jc w:val="center"/>
              <w:rPr>
                <w:rFonts w:ascii="Arial CE" w:hAnsi="Arial CE" w:cs="Arial CE"/>
                <w:b/>
                <w:bCs/>
                <w:color w:val="000000"/>
                <w:sz w:val="20"/>
              </w:rPr>
            </w:pPr>
            <w:r w:rsidRPr="00237F7E">
              <w:rPr>
                <w:rFonts w:ascii="Arial CE" w:hAnsi="Arial CE" w:cs="Arial CE"/>
                <w:b/>
                <w:bCs/>
                <w:color w:val="000000"/>
                <w:sz w:val="20"/>
              </w:rPr>
              <w:t>Kpp</w:t>
            </w:r>
          </w:p>
        </w:tc>
        <w:tc>
          <w:tcPr>
            <w:tcW w:w="248" w:type="dxa"/>
            <w:tcBorders>
              <w:top w:val="nil"/>
              <w:left w:val="nil"/>
              <w:bottom w:val="nil"/>
              <w:right w:val="single" w:sz="8" w:space="0" w:color="auto"/>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r>
      <w:tr w:rsidR="00D00FE9" w:rsidRPr="00237F7E" w:rsidTr="00C20B9B">
        <w:trPr>
          <w:trHeight w:val="300"/>
        </w:trPr>
        <w:tc>
          <w:tcPr>
            <w:tcW w:w="248" w:type="dxa"/>
            <w:tcBorders>
              <w:top w:val="nil"/>
              <w:left w:val="single" w:sz="8" w:space="0" w:color="auto"/>
              <w:bottom w:val="nil"/>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1128" w:type="dxa"/>
            <w:tcBorders>
              <w:top w:val="nil"/>
              <w:left w:val="single" w:sz="4" w:space="0" w:color="auto"/>
              <w:bottom w:val="nil"/>
              <w:right w:val="nil"/>
            </w:tcBorders>
            <w:shd w:val="clear" w:color="auto" w:fill="auto"/>
            <w:noWrap/>
            <w:vAlign w:val="bottom"/>
            <w:hideMark/>
          </w:tcPr>
          <w:p w:rsidR="00D00FE9" w:rsidRPr="00237F7E" w:rsidRDefault="00D00FE9" w:rsidP="00C20B9B">
            <w:pPr>
              <w:jc w:val="center"/>
              <w:rPr>
                <w:rFonts w:ascii="Arial CE" w:hAnsi="Arial CE" w:cs="Arial CE"/>
                <w:b/>
                <w:bCs/>
                <w:color w:val="000000"/>
                <w:sz w:val="20"/>
              </w:rPr>
            </w:pPr>
            <w:r w:rsidRPr="00237F7E">
              <w:rPr>
                <w:rFonts w:ascii="Arial CE" w:hAnsi="Arial CE" w:cs="Arial CE"/>
                <w:b/>
                <w:bCs/>
                <w:color w:val="000000"/>
                <w:sz w:val="20"/>
              </w:rPr>
              <w:t>ZP</w:t>
            </w:r>
          </w:p>
        </w:tc>
        <w:tc>
          <w:tcPr>
            <w:tcW w:w="168" w:type="dxa"/>
            <w:tcBorders>
              <w:top w:val="nil"/>
              <w:left w:val="single" w:sz="4" w:space="0" w:color="auto"/>
              <w:bottom w:val="nil"/>
              <w:right w:val="nil"/>
            </w:tcBorders>
            <w:shd w:val="pct12" w:color="000000" w:fill="auto"/>
            <w:noWrap/>
            <w:vAlign w:val="bottom"/>
            <w:hideMark/>
          </w:tcPr>
          <w:p w:rsidR="00D00FE9" w:rsidRPr="00237F7E" w:rsidRDefault="00D00FE9" w:rsidP="00C20B9B">
            <w:pPr>
              <w:jc w:val="center"/>
              <w:rPr>
                <w:rFonts w:ascii="Arial CE" w:hAnsi="Arial CE" w:cs="Arial CE"/>
                <w:b/>
                <w:bCs/>
                <w:color w:val="000000"/>
                <w:sz w:val="20"/>
              </w:rPr>
            </w:pPr>
            <w:r w:rsidRPr="00237F7E">
              <w:rPr>
                <w:rFonts w:ascii="Arial CE" w:hAnsi="Arial CE" w:cs="Arial CE"/>
                <w:b/>
                <w:bCs/>
                <w:color w:val="000000"/>
                <w:sz w:val="20"/>
              </w:rPr>
              <w:t> </w:t>
            </w:r>
          </w:p>
        </w:tc>
        <w:tc>
          <w:tcPr>
            <w:tcW w:w="2048" w:type="dxa"/>
            <w:tcBorders>
              <w:top w:val="nil"/>
              <w:left w:val="single" w:sz="4" w:space="0" w:color="auto"/>
              <w:bottom w:val="nil"/>
              <w:right w:val="nil"/>
            </w:tcBorders>
            <w:shd w:val="clear" w:color="auto" w:fill="auto"/>
            <w:noWrap/>
            <w:vAlign w:val="bottom"/>
            <w:hideMark/>
          </w:tcPr>
          <w:p w:rsidR="00D00FE9" w:rsidRPr="00237F7E" w:rsidRDefault="00D00FE9" w:rsidP="00C20B9B">
            <w:pPr>
              <w:jc w:val="center"/>
              <w:rPr>
                <w:rFonts w:ascii="Arial CE" w:hAnsi="Arial CE" w:cs="Arial CE"/>
                <w:b/>
                <w:bCs/>
                <w:color w:val="000000"/>
                <w:sz w:val="20"/>
              </w:rPr>
            </w:pPr>
            <w:r w:rsidRPr="00237F7E">
              <w:rPr>
                <w:rFonts w:ascii="Arial CE" w:hAnsi="Arial CE" w:cs="Arial CE"/>
                <w:b/>
                <w:bCs/>
                <w:color w:val="000000"/>
                <w:sz w:val="20"/>
              </w:rPr>
              <w:t>ZP</w:t>
            </w:r>
          </w:p>
        </w:tc>
        <w:tc>
          <w:tcPr>
            <w:tcW w:w="188" w:type="dxa"/>
            <w:tcBorders>
              <w:top w:val="nil"/>
              <w:left w:val="single" w:sz="4" w:space="0" w:color="auto"/>
              <w:bottom w:val="nil"/>
              <w:right w:val="nil"/>
            </w:tcBorders>
            <w:shd w:val="pct12" w:color="000000" w:fill="auto"/>
            <w:noWrap/>
            <w:vAlign w:val="bottom"/>
            <w:hideMark/>
          </w:tcPr>
          <w:p w:rsidR="00D00FE9" w:rsidRPr="00237F7E" w:rsidRDefault="00D00FE9" w:rsidP="00C20B9B">
            <w:pPr>
              <w:jc w:val="center"/>
              <w:rPr>
                <w:rFonts w:ascii="Arial CE" w:hAnsi="Arial CE" w:cs="Arial CE"/>
                <w:b/>
                <w:bCs/>
                <w:color w:val="000000"/>
                <w:sz w:val="20"/>
              </w:rPr>
            </w:pPr>
            <w:r w:rsidRPr="00237F7E">
              <w:rPr>
                <w:rFonts w:ascii="Arial CE" w:hAnsi="Arial CE" w:cs="Arial CE"/>
                <w:b/>
                <w:bCs/>
                <w:color w:val="000000"/>
                <w:sz w:val="20"/>
              </w:rPr>
              <w:t> </w:t>
            </w:r>
          </w:p>
        </w:tc>
        <w:tc>
          <w:tcPr>
            <w:tcW w:w="1728" w:type="dxa"/>
            <w:vMerge/>
            <w:tcBorders>
              <w:top w:val="single" w:sz="4" w:space="0" w:color="auto"/>
              <w:left w:val="single" w:sz="4" w:space="0" w:color="auto"/>
              <w:bottom w:val="single" w:sz="4" w:space="0" w:color="000000"/>
              <w:right w:val="single" w:sz="4" w:space="0" w:color="auto"/>
            </w:tcBorders>
            <w:vAlign w:val="center"/>
            <w:hideMark/>
          </w:tcPr>
          <w:p w:rsidR="00D00FE9" w:rsidRPr="00237F7E" w:rsidRDefault="00D00FE9" w:rsidP="00C20B9B">
            <w:pPr>
              <w:jc w:val="left"/>
              <w:rPr>
                <w:rFonts w:ascii="Arial CE" w:hAnsi="Arial CE" w:cs="Arial CE"/>
                <w:b/>
                <w:bCs/>
                <w:color w:val="000000"/>
                <w:sz w:val="20"/>
              </w:rPr>
            </w:pPr>
          </w:p>
        </w:tc>
        <w:tc>
          <w:tcPr>
            <w:tcW w:w="1668" w:type="dxa"/>
            <w:vMerge/>
            <w:tcBorders>
              <w:top w:val="single" w:sz="4" w:space="0" w:color="auto"/>
              <w:left w:val="single" w:sz="4" w:space="0" w:color="auto"/>
              <w:bottom w:val="single" w:sz="4" w:space="0" w:color="000000"/>
              <w:right w:val="single" w:sz="4" w:space="0" w:color="auto"/>
            </w:tcBorders>
            <w:vAlign w:val="center"/>
            <w:hideMark/>
          </w:tcPr>
          <w:p w:rsidR="00D00FE9" w:rsidRPr="00237F7E" w:rsidRDefault="00D00FE9" w:rsidP="00C20B9B">
            <w:pPr>
              <w:jc w:val="left"/>
              <w:rPr>
                <w:rFonts w:ascii="Arial CE" w:hAnsi="Arial CE" w:cs="Arial CE"/>
                <w:b/>
                <w:bCs/>
                <w:color w:val="000000"/>
                <w:sz w:val="20"/>
              </w:rPr>
            </w:pPr>
          </w:p>
        </w:tc>
        <w:tc>
          <w:tcPr>
            <w:tcW w:w="1368" w:type="dxa"/>
            <w:vMerge/>
            <w:tcBorders>
              <w:top w:val="single" w:sz="4" w:space="0" w:color="auto"/>
              <w:left w:val="single" w:sz="4" w:space="0" w:color="auto"/>
              <w:bottom w:val="single" w:sz="4" w:space="0" w:color="000000"/>
              <w:right w:val="single" w:sz="4" w:space="0" w:color="auto"/>
            </w:tcBorders>
            <w:vAlign w:val="center"/>
            <w:hideMark/>
          </w:tcPr>
          <w:p w:rsidR="00D00FE9" w:rsidRPr="00237F7E" w:rsidRDefault="00D00FE9" w:rsidP="00C20B9B">
            <w:pPr>
              <w:jc w:val="left"/>
              <w:rPr>
                <w:rFonts w:ascii="Arial CE" w:hAnsi="Arial CE" w:cs="Arial CE"/>
                <w:b/>
                <w:bCs/>
                <w:color w:val="000000"/>
                <w:sz w:val="20"/>
              </w:rPr>
            </w:pPr>
          </w:p>
        </w:tc>
        <w:tc>
          <w:tcPr>
            <w:tcW w:w="248" w:type="dxa"/>
            <w:tcBorders>
              <w:top w:val="nil"/>
              <w:left w:val="nil"/>
              <w:bottom w:val="nil"/>
              <w:right w:val="single" w:sz="8" w:space="0" w:color="auto"/>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r>
      <w:tr w:rsidR="00D00FE9" w:rsidRPr="00237F7E" w:rsidTr="00C20B9B">
        <w:trPr>
          <w:trHeight w:val="210"/>
        </w:trPr>
        <w:tc>
          <w:tcPr>
            <w:tcW w:w="248" w:type="dxa"/>
            <w:tcBorders>
              <w:top w:val="nil"/>
              <w:left w:val="single" w:sz="8" w:space="0" w:color="auto"/>
              <w:bottom w:val="nil"/>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1128" w:type="dxa"/>
            <w:tcBorders>
              <w:top w:val="single" w:sz="4" w:space="0" w:color="auto"/>
              <w:left w:val="nil"/>
              <w:bottom w:val="nil"/>
              <w:right w:val="nil"/>
            </w:tcBorders>
            <w:shd w:val="pct12" w:color="000000" w:fill="auto"/>
            <w:noWrap/>
            <w:vAlign w:val="bottom"/>
            <w:hideMark/>
          </w:tcPr>
          <w:p w:rsidR="00D00FE9" w:rsidRPr="00237F7E" w:rsidRDefault="00D00FE9" w:rsidP="00C20B9B">
            <w:pPr>
              <w:jc w:val="center"/>
              <w:rPr>
                <w:rFonts w:ascii="Arial CE" w:hAnsi="Arial CE" w:cs="Arial CE"/>
                <w:b/>
                <w:bCs/>
                <w:color w:val="000000"/>
                <w:sz w:val="20"/>
              </w:rPr>
            </w:pPr>
            <w:r w:rsidRPr="00237F7E">
              <w:rPr>
                <w:rFonts w:ascii="Arial CE" w:hAnsi="Arial CE" w:cs="Arial CE"/>
                <w:b/>
                <w:bCs/>
                <w:color w:val="000000"/>
                <w:sz w:val="20"/>
              </w:rPr>
              <w:t> </w:t>
            </w:r>
          </w:p>
        </w:tc>
        <w:tc>
          <w:tcPr>
            <w:tcW w:w="168" w:type="dxa"/>
            <w:tcBorders>
              <w:top w:val="nil"/>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b/>
                <w:bCs/>
                <w:color w:val="000000"/>
                <w:sz w:val="20"/>
              </w:rPr>
            </w:pPr>
          </w:p>
        </w:tc>
        <w:tc>
          <w:tcPr>
            <w:tcW w:w="2048" w:type="dxa"/>
            <w:tcBorders>
              <w:top w:val="single" w:sz="4" w:space="0" w:color="auto"/>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b/>
                <w:bCs/>
                <w:color w:val="000000"/>
                <w:sz w:val="20"/>
              </w:rPr>
            </w:pPr>
            <w:r w:rsidRPr="00237F7E">
              <w:rPr>
                <w:rFonts w:ascii="Arial CE" w:hAnsi="Arial CE" w:cs="Arial CE"/>
                <w:b/>
                <w:bCs/>
                <w:color w:val="000000"/>
                <w:sz w:val="20"/>
              </w:rPr>
              <w:t> </w:t>
            </w:r>
          </w:p>
        </w:tc>
        <w:tc>
          <w:tcPr>
            <w:tcW w:w="188" w:type="dxa"/>
            <w:tcBorders>
              <w:top w:val="nil"/>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b/>
                <w:bCs/>
                <w:color w:val="000000"/>
                <w:sz w:val="20"/>
              </w:rPr>
            </w:pPr>
          </w:p>
        </w:tc>
        <w:tc>
          <w:tcPr>
            <w:tcW w:w="1728" w:type="dxa"/>
            <w:tcBorders>
              <w:top w:val="nil"/>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b/>
                <w:bCs/>
                <w:color w:val="000000"/>
                <w:sz w:val="20"/>
              </w:rPr>
            </w:pPr>
            <w:r w:rsidRPr="00237F7E">
              <w:rPr>
                <w:rFonts w:ascii="Arial CE" w:hAnsi="Arial CE" w:cs="Arial CE"/>
                <w:b/>
                <w:bCs/>
                <w:color w:val="000000"/>
                <w:sz w:val="20"/>
              </w:rPr>
              <w:t> </w:t>
            </w:r>
          </w:p>
        </w:tc>
        <w:tc>
          <w:tcPr>
            <w:tcW w:w="1668" w:type="dxa"/>
            <w:tcBorders>
              <w:top w:val="nil"/>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b/>
                <w:bCs/>
                <w:color w:val="000000"/>
                <w:sz w:val="20"/>
              </w:rPr>
            </w:pPr>
            <w:r w:rsidRPr="00237F7E">
              <w:rPr>
                <w:rFonts w:ascii="Arial CE" w:hAnsi="Arial CE" w:cs="Arial CE"/>
                <w:b/>
                <w:bCs/>
                <w:color w:val="000000"/>
                <w:sz w:val="20"/>
              </w:rPr>
              <w:t> </w:t>
            </w:r>
          </w:p>
        </w:tc>
        <w:tc>
          <w:tcPr>
            <w:tcW w:w="1368" w:type="dxa"/>
            <w:tcBorders>
              <w:top w:val="nil"/>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b/>
                <w:bCs/>
                <w:color w:val="000000"/>
                <w:sz w:val="20"/>
              </w:rPr>
            </w:pPr>
            <w:r w:rsidRPr="00237F7E">
              <w:rPr>
                <w:rFonts w:ascii="Arial CE" w:hAnsi="Arial CE" w:cs="Arial CE"/>
                <w:b/>
                <w:bCs/>
                <w:color w:val="000000"/>
                <w:sz w:val="20"/>
              </w:rPr>
              <w:t> </w:t>
            </w:r>
          </w:p>
        </w:tc>
        <w:tc>
          <w:tcPr>
            <w:tcW w:w="248" w:type="dxa"/>
            <w:tcBorders>
              <w:top w:val="nil"/>
              <w:left w:val="nil"/>
              <w:bottom w:val="nil"/>
              <w:right w:val="single" w:sz="8" w:space="0" w:color="auto"/>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r>
      <w:tr w:rsidR="00D00FE9" w:rsidRPr="00237F7E" w:rsidTr="00C20B9B">
        <w:trPr>
          <w:trHeight w:val="300"/>
        </w:trPr>
        <w:tc>
          <w:tcPr>
            <w:tcW w:w="248" w:type="dxa"/>
            <w:tcBorders>
              <w:top w:val="nil"/>
              <w:left w:val="single" w:sz="8" w:space="0" w:color="auto"/>
              <w:bottom w:val="nil"/>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FE9" w:rsidRPr="00237F7E" w:rsidRDefault="00D00FE9" w:rsidP="00C20B9B">
            <w:pPr>
              <w:jc w:val="center"/>
              <w:rPr>
                <w:rFonts w:ascii="Arial CE" w:hAnsi="Arial CE" w:cs="Arial CE"/>
                <w:b/>
                <w:bCs/>
                <w:color w:val="000000"/>
                <w:sz w:val="20"/>
              </w:rPr>
            </w:pPr>
            <w:r w:rsidRPr="00237F7E">
              <w:rPr>
                <w:rFonts w:ascii="Arial CE" w:hAnsi="Arial CE" w:cs="Arial CE"/>
                <w:b/>
                <w:bCs/>
                <w:color w:val="000000"/>
                <w:sz w:val="20"/>
              </w:rPr>
              <w:t>111</w:t>
            </w:r>
          </w:p>
        </w:tc>
        <w:tc>
          <w:tcPr>
            <w:tcW w:w="168" w:type="dxa"/>
            <w:tcBorders>
              <w:top w:val="nil"/>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b/>
                <w:bCs/>
                <w:color w:val="000000"/>
                <w:sz w:val="20"/>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FE9" w:rsidRPr="00237F7E" w:rsidRDefault="00D00FE9" w:rsidP="00C20B9B">
            <w:pPr>
              <w:jc w:val="left"/>
              <w:rPr>
                <w:rFonts w:ascii="Arial CE" w:hAnsi="Arial CE" w:cs="Arial CE"/>
                <w:b/>
                <w:bCs/>
                <w:color w:val="000000"/>
                <w:sz w:val="20"/>
              </w:rPr>
            </w:pPr>
            <w:r w:rsidRPr="00237F7E">
              <w:rPr>
                <w:rFonts w:ascii="Arial CE" w:hAnsi="Arial CE" w:cs="Arial CE"/>
                <w:b/>
                <w:bCs/>
                <w:color w:val="000000"/>
                <w:sz w:val="20"/>
              </w:rPr>
              <w:t xml:space="preserve"> Všeobecná</w:t>
            </w:r>
          </w:p>
        </w:tc>
        <w:tc>
          <w:tcPr>
            <w:tcW w:w="188" w:type="dxa"/>
            <w:tcBorders>
              <w:top w:val="nil"/>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b/>
                <w:bCs/>
                <w:color w:val="000000"/>
                <w:sz w:val="20"/>
              </w:rPr>
            </w:pP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FE9" w:rsidRPr="00237F7E" w:rsidRDefault="00D00FE9" w:rsidP="00C20B9B">
            <w:pPr>
              <w:jc w:val="right"/>
              <w:rPr>
                <w:rFonts w:ascii="Arial CE" w:hAnsi="Arial CE" w:cs="Arial CE"/>
                <w:b/>
                <w:bCs/>
                <w:color w:val="000000"/>
                <w:sz w:val="20"/>
              </w:rPr>
            </w:pPr>
            <w:r w:rsidRPr="00237F7E">
              <w:rPr>
                <w:rFonts w:ascii="Arial CE" w:hAnsi="Arial CE" w:cs="Arial CE"/>
                <w:b/>
                <w:bCs/>
                <w:color w:val="000000"/>
                <w:sz w:val="20"/>
              </w:rPr>
              <w:t xml:space="preserve">6 094 224 </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rsidR="00D00FE9" w:rsidRPr="00237F7E" w:rsidRDefault="00D00FE9" w:rsidP="00C20B9B">
            <w:pPr>
              <w:jc w:val="right"/>
              <w:rPr>
                <w:rFonts w:ascii="Arial CE" w:hAnsi="Arial CE" w:cs="Arial CE"/>
                <w:b/>
                <w:bCs/>
                <w:color w:val="000000"/>
                <w:sz w:val="20"/>
              </w:rPr>
            </w:pPr>
            <w:r w:rsidRPr="00237F7E">
              <w:rPr>
                <w:rFonts w:ascii="Arial CE" w:hAnsi="Arial CE" w:cs="Arial CE"/>
                <w:b/>
                <w:bCs/>
                <w:color w:val="000000"/>
                <w:sz w:val="20"/>
              </w:rPr>
              <w:t>5 946 160</w:t>
            </w:r>
          </w:p>
        </w:tc>
        <w:tc>
          <w:tcPr>
            <w:tcW w:w="1368" w:type="dxa"/>
            <w:tcBorders>
              <w:top w:val="single" w:sz="4" w:space="0" w:color="auto"/>
              <w:left w:val="nil"/>
              <w:bottom w:val="single" w:sz="4" w:space="0" w:color="auto"/>
              <w:right w:val="single" w:sz="4" w:space="0" w:color="auto"/>
            </w:tcBorders>
            <w:shd w:val="clear" w:color="auto" w:fill="auto"/>
            <w:noWrap/>
            <w:vAlign w:val="bottom"/>
            <w:hideMark/>
          </w:tcPr>
          <w:p w:rsidR="00D00FE9" w:rsidRPr="00237F7E" w:rsidRDefault="00D00FE9" w:rsidP="00C20B9B">
            <w:pPr>
              <w:jc w:val="right"/>
              <w:rPr>
                <w:rFonts w:ascii="Arial CE" w:hAnsi="Arial CE" w:cs="Arial CE"/>
                <w:b/>
                <w:bCs/>
                <w:color w:val="000000"/>
                <w:sz w:val="20"/>
              </w:rPr>
            </w:pPr>
            <w:r w:rsidRPr="00237F7E">
              <w:rPr>
                <w:rFonts w:ascii="Arial CE" w:hAnsi="Arial CE" w:cs="Arial CE"/>
                <w:b/>
                <w:bCs/>
                <w:color w:val="000000"/>
                <w:sz w:val="20"/>
              </w:rPr>
              <w:t xml:space="preserve">0,976 </w:t>
            </w:r>
          </w:p>
        </w:tc>
        <w:tc>
          <w:tcPr>
            <w:tcW w:w="248" w:type="dxa"/>
            <w:tcBorders>
              <w:top w:val="nil"/>
              <w:left w:val="nil"/>
              <w:bottom w:val="nil"/>
              <w:right w:val="single" w:sz="8" w:space="0" w:color="auto"/>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r>
      <w:tr w:rsidR="00D00FE9" w:rsidRPr="00237F7E" w:rsidTr="00C20B9B">
        <w:trPr>
          <w:trHeight w:val="300"/>
        </w:trPr>
        <w:tc>
          <w:tcPr>
            <w:tcW w:w="248" w:type="dxa"/>
            <w:tcBorders>
              <w:top w:val="nil"/>
              <w:left w:val="single" w:sz="8" w:space="0" w:color="auto"/>
              <w:bottom w:val="nil"/>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D00FE9" w:rsidRPr="00237F7E" w:rsidRDefault="00D00FE9" w:rsidP="00C20B9B">
            <w:pPr>
              <w:jc w:val="center"/>
              <w:rPr>
                <w:rFonts w:ascii="Arial CE" w:hAnsi="Arial CE" w:cs="Arial CE"/>
                <w:b/>
                <w:bCs/>
                <w:color w:val="000000"/>
                <w:sz w:val="20"/>
              </w:rPr>
            </w:pPr>
            <w:r w:rsidRPr="00237F7E">
              <w:rPr>
                <w:rFonts w:ascii="Arial CE" w:hAnsi="Arial CE" w:cs="Arial CE"/>
                <w:b/>
                <w:bCs/>
                <w:color w:val="000000"/>
                <w:sz w:val="20"/>
              </w:rPr>
              <w:t>201</w:t>
            </w:r>
          </w:p>
        </w:tc>
        <w:tc>
          <w:tcPr>
            <w:tcW w:w="168" w:type="dxa"/>
            <w:tcBorders>
              <w:top w:val="nil"/>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b/>
                <w:bCs/>
                <w:color w:val="000000"/>
                <w:sz w:val="20"/>
              </w:rPr>
            </w:pPr>
          </w:p>
        </w:tc>
        <w:tc>
          <w:tcPr>
            <w:tcW w:w="2048" w:type="dxa"/>
            <w:tcBorders>
              <w:top w:val="nil"/>
              <w:left w:val="single" w:sz="4" w:space="0" w:color="auto"/>
              <w:bottom w:val="single" w:sz="4" w:space="0" w:color="auto"/>
              <w:right w:val="single" w:sz="4" w:space="0" w:color="auto"/>
            </w:tcBorders>
            <w:shd w:val="clear" w:color="auto" w:fill="auto"/>
            <w:noWrap/>
            <w:vAlign w:val="bottom"/>
            <w:hideMark/>
          </w:tcPr>
          <w:p w:rsidR="00D00FE9" w:rsidRPr="00237F7E" w:rsidRDefault="00D00FE9" w:rsidP="00C20B9B">
            <w:pPr>
              <w:jc w:val="left"/>
              <w:rPr>
                <w:rFonts w:ascii="Arial CE" w:hAnsi="Arial CE" w:cs="Arial CE"/>
                <w:b/>
                <w:bCs/>
                <w:color w:val="000000"/>
                <w:sz w:val="20"/>
              </w:rPr>
            </w:pPr>
            <w:r w:rsidRPr="00237F7E">
              <w:rPr>
                <w:rFonts w:ascii="Arial CE" w:hAnsi="Arial CE" w:cs="Arial CE"/>
                <w:b/>
                <w:bCs/>
                <w:color w:val="000000"/>
                <w:sz w:val="20"/>
              </w:rPr>
              <w:t xml:space="preserve"> Vojenská</w:t>
            </w:r>
          </w:p>
        </w:tc>
        <w:tc>
          <w:tcPr>
            <w:tcW w:w="188" w:type="dxa"/>
            <w:tcBorders>
              <w:top w:val="nil"/>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b/>
                <w:bCs/>
                <w:color w:val="000000"/>
                <w:sz w:val="20"/>
              </w:rPr>
            </w:pPr>
          </w:p>
        </w:tc>
        <w:tc>
          <w:tcPr>
            <w:tcW w:w="1728" w:type="dxa"/>
            <w:tcBorders>
              <w:top w:val="nil"/>
              <w:left w:val="single" w:sz="4" w:space="0" w:color="auto"/>
              <w:bottom w:val="single" w:sz="4" w:space="0" w:color="auto"/>
              <w:right w:val="single" w:sz="4" w:space="0" w:color="auto"/>
            </w:tcBorders>
            <w:shd w:val="clear" w:color="auto" w:fill="auto"/>
            <w:noWrap/>
            <w:vAlign w:val="bottom"/>
            <w:hideMark/>
          </w:tcPr>
          <w:p w:rsidR="00D00FE9" w:rsidRPr="00237F7E" w:rsidRDefault="00D00FE9" w:rsidP="00C20B9B">
            <w:pPr>
              <w:jc w:val="right"/>
              <w:rPr>
                <w:rFonts w:ascii="Arial CE" w:hAnsi="Arial CE" w:cs="Arial CE"/>
                <w:b/>
                <w:bCs/>
                <w:color w:val="000000"/>
                <w:sz w:val="20"/>
              </w:rPr>
            </w:pPr>
            <w:r w:rsidRPr="00237F7E">
              <w:rPr>
                <w:rFonts w:ascii="Arial CE" w:hAnsi="Arial CE" w:cs="Arial CE"/>
                <w:b/>
                <w:bCs/>
                <w:color w:val="000000"/>
                <w:sz w:val="20"/>
              </w:rPr>
              <w:t xml:space="preserve">667 419 </w:t>
            </w:r>
          </w:p>
        </w:tc>
        <w:tc>
          <w:tcPr>
            <w:tcW w:w="1668" w:type="dxa"/>
            <w:tcBorders>
              <w:top w:val="nil"/>
              <w:left w:val="nil"/>
              <w:bottom w:val="single" w:sz="4" w:space="0" w:color="auto"/>
              <w:right w:val="single" w:sz="4" w:space="0" w:color="auto"/>
            </w:tcBorders>
            <w:shd w:val="clear" w:color="auto" w:fill="auto"/>
            <w:noWrap/>
            <w:vAlign w:val="bottom"/>
            <w:hideMark/>
          </w:tcPr>
          <w:p w:rsidR="00D00FE9" w:rsidRPr="00237F7E" w:rsidRDefault="00D00FE9" w:rsidP="00C20B9B">
            <w:pPr>
              <w:jc w:val="right"/>
              <w:rPr>
                <w:rFonts w:ascii="Arial CE" w:hAnsi="Arial CE" w:cs="Arial CE"/>
                <w:b/>
                <w:bCs/>
                <w:color w:val="000000"/>
                <w:sz w:val="20"/>
              </w:rPr>
            </w:pPr>
            <w:r w:rsidRPr="00237F7E">
              <w:rPr>
                <w:rFonts w:ascii="Arial CE" w:hAnsi="Arial CE" w:cs="Arial CE"/>
                <w:b/>
                <w:bCs/>
                <w:color w:val="000000"/>
                <w:sz w:val="20"/>
              </w:rPr>
              <w:t>704 751</w:t>
            </w:r>
          </w:p>
        </w:tc>
        <w:tc>
          <w:tcPr>
            <w:tcW w:w="1368" w:type="dxa"/>
            <w:tcBorders>
              <w:top w:val="nil"/>
              <w:left w:val="nil"/>
              <w:bottom w:val="single" w:sz="4" w:space="0" w:color="auto"/>
              <w:right w:val="single" w:sz="4" w:space="0" w:color="auto"/>
            </w:tcBorders>
            <w:shd w:val="clear" w:color="auto" w:fill="auto"/>
            <w:noWrap/>
            <w:vAlign w:val="bottom"/>
            <w:hideMark/>
          </w:tcPr>
          <w:p w:rsidR="00D00FE9" w:rsidRPr="00237F7E" w:rsidRDefault="00D00FE9" w:rsidP="00C20B9B">
            <w:pPr>
              <w:jc w:val="right"/>
              <w:rPr>
                <w:rFonts w:ascii="Arial CE" w:hAnsi="Arial CE" w:cs="Arial CE"/>
                <w:b/>
                <w:bCs/>
                <w:color w:val="000000"/>
                <w:sz w:val="20"/>
              </w:rPr>
            </w:pPr>
            <w:r w:rsidRPr="00237F7E">
              <w:rPr>
                <w:rFonts w:ascii="Arial CE" w:hAnsi="Arial CE" w:cs="Arial CE"/>
                <w:b/>
                <w:bCs/>
                <w:color w:val="000000"/>
                <w:sz w:val="20"/>
              </w:rPr>
              <w:t xml:space="preserve">1,056 </w:t>
            </w:r>
          </w:p>
        </w:tc>
        <w:tc>
          <w:tcPr>
            <w:tcW w:w="248" w:type="dxa"/>
            <w:tcBorders>
              <w:top w:val="nil"/>
              <w:left w:val="nil"/>
              <w:bottom w:val="nil"/>
              <w:right w:val="single" w:sz="8" w:space="0" w:color="auto"/>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r>
      <w:tr w:rsidR="00D00FE9" w:rsidRPr="00237F7E" w:rsidTr="00C20B9B">
        <w:trPr>
          <w:trHeight w:val="300"/>
        </w:trPr>
        <w:tc>
          <w:tcPr>
            <w:tcW w:w="248" w:type="dxa"/>
            <w:tcBorders>
              <w:top w:val="nil"/>
              <w:left w:val="single" w:sz="8" w:space="0" w:color="auto"/>
              <w:bottom w:val="nil"/>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D00FE9" w:rsidRPr="00237F7E" w:rsidRDefault="00D00FE9" w:rsidP="00C20B9B">
            <w:pPr>
              <w:jc w:val="center"/>
              <w:rPr>
                <w:rFonts w:ascii="Arial CE" w:hAnsi="Arial CE" w:cs="Arial CE"/>
                <w:b/>
                <w:bCs/>
                <w:color w:val="000000"/>
                <w:sz w:val="20"/>
              </w:rPr>
            </w:pPr>
            <w:r w:rsidRPr="00237F7E">
              <w:rPr>
                <w:rFonts w:ascii="Arial CE" w:hAnsi="Arial CE" w:cs="Arial CE"/>
                <w:b/>
                <w:bCs/>
                <w:color w:val="000000"/>
                <w:sz w:val="20"/>
              </w:rPr>
              <w:t>205</w:t>
            </w:r>
          </w:p>
        </w:tc>
        <w:tc>
          <w:tcPr>
            <w:tcW w:w="168" w:type="dxa"/>
            <w:tcBorders>
              <w:top w:val="nil"/>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b/>
                <w:bCs/>
                <w:color w:val="000000"/>
                <w:sz w:val="20"/>
              </w:rPr>
            </w:pPr>
          </w:p>
        </w:tc>
        <w:tc>
          <w:tcPr>
            <w:tcW w:w="2048" w:type="dxa"/>
            <w:tcBorders>
              <w:top w:val="nil"/>
              <w:left w:val="single" w:sz="4" w:space="0" w:color="auto"/>
              <w:bottom w:val="single" w:sz="4" w:space="0" w:color="auto"/>
              <w:right w:val="single" w:sz="4" w:space="0" w:color="auto"/>
            </w:tcBorders>
            <w:shd w:val="clear" w:color="auto" w:fill="auto"/>
            <w:noWrap/>
            <w:vAlign w:val="bottom"/>
            <w:hideMark/>
          </w:tcPr>
          <w:p w:rsidR="00D00FE9" w:rsidRPr="00237F7E" w:rsidRDefault="00D00FE9" w:rsidP="00C20B9B">
            <w:pPr>
              <w:jc w:val="left"/>
              <w:rPr>
                <w:rFonts w:ascii="Arial CE" w:hAnsi="Arial CE" w:cs="Arial CE"/>
                <w:b/>
                <w:bCs/>
                <w:color w:val="000000"/>
                <w:sz w:val="20"/>
              </w:rPr>
            </w:pPr>
            <w:r w:rsidRPr="00237F7E">
              <w:rPr>
                <w:rFonts w:ascii="Arial CE" w:hAnsi="Arial CE" w:cs="Arial CE"/>
                <w:b/>
                <w:bCs/>
                <w:color w:val="000000"/>
                <w:sz w:val="20"/>
              </w:rPr>
              <w:t xml:space="preserve"> Česká průmyslová</w:t>
            </w:r>
          </w:p>
        </w:tc>
        <w:tc>
          <w:tcPr>
            <w:tcW w:w="188" w:type="dxa"/>
            <w:tcBorders>
              <w:top w:val="nil"/>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b/>
                <w:bCs/>
                <w:color w:val="000000"/>
                <w:sz w:val="20"/>
              </w:rPr>
            </w:pPr>
          </w:p>
        </w:tc>
        <w:tc>
          <w:tcPr>
            <w:tcW w:w="1728" w:type="dxa"/>
            <w:tcBorders>
              <w:top w:val="nil"/>
              <w:left w:val="single" w:sz="4" w:space="0" w:color="auto"/>
              <w:bottom w:val="single" w:sz="4" w:space="0" w:color="auto"/>
              <w:right w:val="single" w:sz="4" w:space="0" w:color="auto"/>
            </w:tcBorders>
            <w:shd w:val="clear" w:color="auto" w:fill="auto"/>
            <w:noWrap/>
            <w:vAlign w:val="bottom"/>
            <w:hideMark/>
          </w:tcPr>
          <w:p w:rsidR="00D00FE9" w:rsidRPr="00237F7E" w:rsidRDefault="00D00FE9" w:rsidP="00C20B9B">
            <w:pPr>
              <w:jc w:val="right"/>
              <w:rPr>
                <w:rFonts w:ascii="Arial CE" w:hAnsi="Arial CE" w:cs="Arial CE"/>
                <w:b/>
                <w:bCs/>
                <w:color w:val="000000"/>
                <w:sz w:val="20"/>
              </w:rPr>
            </w:pPr>
            <w:r w:rsidRPr="00237F7E">
              <w:rPr>
                <w:rFonts w:ascii="Arial CE" w:hAnsi="Arial CE" w:cs="Arial CE"/>
                <w:b/>
                <w:bCs/>
                <w:color w:val="000000"/>
                <w:sz w:val="20"/>
              </w:rPr>
              <w:t xml:space="preserve">1 184 538 </w:t>
            </w:r>
          </w:p>
        </w:tc>
        <w:tc>
          <w:tcPr>
            <w:tcW w:w="1668" w:type="dxa"/>
            <w:tcBorders>
              <w:top w:val="nil"/>
              <w:left w:val="nil"/>
              <w:bottom w:val="single" w:sz="4" w:space="0" w:color="auto"/>
              <w:right w:val="single" w:sz="4" w:space="0" w:color="auto"/>
            </w:tcBorders>
            <w:shd w:val="clear" w:color="auto" w:fill="auto"/>
            <w:noWrap/>
            <w:vAlign w:val="bottom"/>
            <w:hideMark/>
          </w:tcPr>
          <w:p w:rsidR="00D00FE9" w:rsidRPr="00237F7E" w:rsidRDefault="00D00FE9" w:rsidP="00C20B9B">
            <w:pPr>
              <w:jc w:val="right"/>
              <w:rPr>
                <w:rFonts w:ascii="Arial CE" w:hAnsi="Arial CE" w:cs="Arial CE"/>
                <w:b/>
                <w:bCs/>
                <w:color w:val="000000"/>
                <w:sz w:val="20"/>
              </w:rPr>
            </w:pPr>
            <w:r w:rsidRPr="00237F7E">
              <w:rPr>
                <w:rFonts w:ascii="Arial CE" w:hAnsi="Arial CE" w:cs="Arial CE"/>
                <w:b/>
                <w:bCs/>
                <w:color w:val="000000"/>
                <w:sz w:val="20"/>
              </w:rPr>
              <w:t>1 203 520</w:t>
            </w:r>
          </w:p>
        </w:tc>
        <w:tc>
          <w:tcPr>
            <w:tcW w:w="1368" w:type="dxa"/>
            <w:tcBorders>
              <w:top w:val="nil"/>
              <w:left w:val="nil"/>
              <w:bottom w:val="single" w:sz="4" w:space="0" w:color="auto"/>
              <w:right w:val="single" w:sz="4" w:space="0" w:color="auto"/>
            </w:tcBorders>
            <w:shd w:val="clear" w:color="auto" w:fill="auto"/>
            <w:noWrap/>
            <w:vAlign w:val="bottom"/>
            <w:hideMark/>
          </w:tcPr>
          <w:p w:rsidR="00D00FE9" w:rsidRPr="00237F7E" w:rsidRDefault="00D00FE9" w:rsidP="00C20B9B">
            <w:pPr>
              <w:jc w:val="right"/>
              <w:rPr>
                <w:rFonts w:ascii="Arial CE" w:hAnsi="Arial CE" w:cs="Arial CE"/>
                <w:b/>
                <w:bCs/>
                <w:color w:val="000000"/>
                <w:sz w:val="20"/>
              </w:rPr>
            </w:pPr>
            <w:r w:rsidRPr="00237F7E">
              <w:rPr>
                <w:rFonts w:ascii="Arial CE" w:hAnsi="Arial CE" w:cs="Arial CE"/>
                <w:b/>
                <w:bCs/>
                <w:color w:val="000000"/>
                <w:sz w:val="20"/>
              </w:rPr>
              <w:t xml:space="preserve">1,016 </w:t>
            </w:r>
          </w:p>
        </w:tc>
        <w:tc>
          <w:tcPr>
            <w:tcW w:w="248" w:type="dxa"/>
            <w:tcBorders>
              <w:top w:val="nil"/>
              <w:left w:val="nil"/>
              <w:bottom w:val="nil"/>
              <w:right w:val="single" w:sz="8" w:space="0" w:color="auto"/>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r>
      <w:tr w:rsidR="00D00FE9" w:rsidRPr="00237F7E" w:rsidTr="00C20B9B">
        <w:trPr>
          <w:trHeight w:val="300"/>
        </w:trPr>
        <w:tc>
          <w:tcPr>
            <w:tcW w:w="248" w:type="dxa"/>
            <w:tcBorders>
              <w:top w:val="nil"/>
              <w:left w:val="single" w:sz="8" w:space="0" w:color="auto"/>
              <w:bottom w:val="nil"/>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D00FE9" w:rsidRPr="00237F7E" w:rsidRDefault="00D00FE9" w:rsidP="00C20B9B">
            <w:pPr>
              <w:jc w:val="center"/>
              <w:rPr>
                <w:rFonts w:ascii="Arial CE" w:hAnsi="Arial CE" w:cs="Arial CE"/>
                <w:b/>
                <w:bCs/>
                <w:color w:val="000000"/>
                <w:sz w:val="20"/>
              </w:rPr>
            </w:pPr>
            <w:r w:rsidRPr="00237F7E">
              <w:rPr>
                <w:rFonts w:ascii="Arial CE" w:hAnsi="Arial CE" w:cs="Arial CE"/>
                <w:b/>
                <w:bCs/>
                <w:color w:val="000000"/>
                <w:sz w:val="20"/>
              </w:rPr>
              <w:t>207</w:t>
            </w:r>
          </w:p>
        </w:tc>
        <w:tc>
          <w:tcPr>
            <w:tcW w:w="168" w:type="dxa"/>
            <w:tcBorders>
              <w:top w:val="nil"/>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b/>
                <w:bCs/>
                <w:color w:val="000000"/>
                <w:sz w:val="20"/>
              </w:rPr>
            </w:pPr>
          </w:p>
        </w:tc>
        <w:tc>
          <w:tcPr>
            <w:tcW w:w="2048" w:type="dxa"/>
            <w:tcBorders>
              <w:top w:val="nil"/>
              <w:left w:val="single" w:sz="4" w:space="0" w:color="auto"/>
              <w:bottom w:val="single" w:sz="4" w:space="0" w:color="auto"/>
              <w:right w:val="single" w:sz="4" w:space="0" w:color="auto"/>
            </w:tcBorders>
            <w:shd w:val="clear" w:color="auto" w:fill="auto"/>
            <w:noWrap/>
            <w:vAlign w:val="bottom"/>
            <w:hideMark/>
          </w:tcPr>
          <w:p w:rsidR="00D00FE9" w:rsidRPr="00237F7E" w:rsidRDefault="00D00FE9" w:rsidP="00C20B9B">
            <w:pPr>
              <w:jc w:val="left"/>
              <w:rPr>
                <w:rFonts w:ascii="Arial CE" w:hAnsi="Arial CE" w:cs="Arial CE"/>
                <w:b/>
                <w:bCs/>
                <w:color w:val="000000"/>
                <w:sz w:val="20"/>
              </w:rPr>
            </w:pPr>
            <w:r w:rsidRPr="00237F7E">
              <w:rPr>
                <w:rFonts w:ascii="Arial CE" w:hAnsi="Arial CE" w:cs="Arial CE"/>
                <w:b/>
                <w:bCs/>
                <w:color w:val="000000"/>
                <w:sz w:val="20"/>
              </w:rPr>
              <w:t xml:space="preserve"> Oborová</w:t>
            </w:r>
          </w:p>
        </w:tc>
        <w:tc>
          <w:tcPr>
            <w:tcW w:w="188" w:type="dxa"/>
            <w:tcBorders>
              <w:top w:val="nil"/>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b/>
                <w:bCs/>
                <w:color w:val="000000"/>
                <w:sz w:val="20"/>
              </w:rPr>
            </w:pPr>
          </w:p>
        </w:tc>
        <w:tc>
          <w:tcPr>
            <w:tcW w:w="1728" w:type="dxa"/>
            <w:tcBorders>
              <w:top w:val="nil"/>
              <w:left w:val="single" w:sz="4" w:space="0" w:color="auto"/>
              <w:bottom w:val="single" w:sz="4" w:space="0" w:color="auto"/>
              <w:right w:val="single" w:sz="4" w:space="0" w:color="auto"/>
            </w:tcBorders>
            <w:shd w:val="clear" w:color="auto" w:fill="auto"/>
            <w:noWrap/>
            <w:vAlign w:val="bottom"/>
            <w:hideMark/>
          </w:tcPr>
          <w:p w:rsidR="00D00FE9" w:rsidRPr="00237F7E" w:rsidRDefault="00D00FE9" w:rsidP="00C20B9B">
            <w:pPr>
              <w:jc w:val="right"/>
              <w:rPr>
                <w:rFonts w:ascii="Arial CE" w:hAnsi="Arial CE" w:cs="Arial CE"/>
                <w:b/>
                <w:bCs/>
                <w:color w:val="000000"/>
                <w:sz w:val="20"/>
              </w:rPr>
            </w:pPr>
            <w:r w:rsidRPr="00237F7E">
              <w:rPr>
                <w:rFonts w:ascii="Arial CE" w:hAnsi="Arial CE" w:cs="Arial CE"/>
                <w:b/>
                <w:bCs/>
                <w:color w:val="000000"/>
                <w:sz w:val="20"/>
              </w:rPr>
              <w:t xml:space="preserve">702 451 </w:t>
            </w:r>
          </w:p>
        </w:tc>
        <w:tc>
          <w:tcPr>
            <w:tcW w:w="1668" w:type="dxa"/>
            <w:tcBorders>
              <w:top w:val="nil"/>
              <w:left w:val="nil"/>
              <w:bottom w:val="single" w:sz="4" w:space="0" w:color="auto"/>
              <w:right w:val="single" w:sz="4" w:space="0" w:color="auto"/>
            </w:tcBorders>
            <w:shd w:val="clear" w:color="auto" w:fill="auto"/>
            <w:noWrap/>
            <w:vAlign w:val="bottom"/>
            <w:hideMark/>
          </w:tcPr>
          <w:p w:rsidR="00D00FE9" w:rsidRPr="00237F7E" w:rsidRDefault="00D00FE9" w:rsidP="00C20B9B">
            <w:pPr>
              <w:jc w:val="right"/>
              <w:rPr>
                <w:rFonts w:ascii="Arial CE" w:hAnsi="Arial CE" w:cs="Arial CE"/>
                <w:b/>
                <w:bCs/>
                <w:color w:val="000000"/>
                <w:sz w:val="20"/>
              </w:rPr>
            </w:pPr>
            <w:r w:rsidRPr="00237F7E">
              <w:rPr>
                <w:rFonts w:ascii="Arial CE" w:hAnsi="Arial CE" w:cs="Arial CE"/>
                <w:b/>
                <w:bCs/>
                <w:color w:val="000000"/>
                <w:sz w:val="20"/>
              </w:rPr>
              <w:t>731 447</w:t>
            </w:r>
          </w:p>
        </w:tc>
        <w:tc>
          <w:tcPr>
            <w:tcW w:w="1368" w:type="dxa"/>
            <w:tcBorders>
              <w:top w:val="nil"/>
              <w:left w:val="nil"/>
              <w:bottom w:val="single" w:sz="4" w:space="0" w:color="auto"/>
              <w:right w:val="single" w:sz="4" w:space="0" w:color="auto"/>
            </w:tcBorders>
            <w:shd w:val="clear" w:color="auto" w:fill="auto"/>
            <w:noWrap/>
            <w:vAlign w:val="bottom"/>
            <w:hideMark/>
          </w:tcPr>
          <w:p w:rsidR="00D00FE9" w:rsidRPr="00237F7E" w:rsidRDefault="00D00FE9" w:rsidP="00C20B9B">
            <w:pPr>
              <w:jc w:val="right"/>
              <w:rPr>
                <w:rFonts w:ascii="Arial CE" w:hAnsi="Arial CE" w:cs="Arial CE"/>
                <w:b/>
                <w:bCs/>
                <w:color w:val="000000"/>
                <w:sz w:val="20"/>
              </w:rPr>
            </w:pPr>
            <w:r w:rsidRPr="00237F7E">
              <w:rPr>
                <w:rFonts w:ascii="Arial CE" w:hAnsi="Arial CE" w:cs="Arial CE"/>
                <w:b/>
                <w:bCs/>
                <w:color w:val="000000"/>
                <w:sz w:val="20"/>
              </w:rPr>
              <w:t xml:space="preserve">1,041 </w:t>
            </w:r>
          </w:p>
        </w:tc>
        <w:tc>
          <w:tcPr>
            <w:tcW w:w="248" w:type="dxa"/>
            <w:tcBorders>
              <w:top w:val="nil"/>
              <w:left w:val="nil"/>
              <w:bottom w:val="nil"/>
              <w:right w:val="single" w:sz="8" w:space="0" w:color="auto"/>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r>
      <w:tr w:rsidR="00D00FE9" w:rsidRPr="00237F7E" w:rsidTr="00C20B9B">
        <w:trPr>
          <w:trHeight w:val="300"/>
        </w:trPr>
        <w:tc>
          <w:tcPr>
            <w:tcW w:w="248" w:type="dxa"/>
            <w:tcBorders>
              <w:top w:val="nil"/>
              <w:left w:val="single" w:sz="8" w:space="0" w:color="auto"/>
              <w:bottom w:val="nil"/>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D00FE9" w:rsidRPr="00237F7E" w:rsidRDefault="00D00FE9" w:rsidP="00C20B9B">
            <w:pPr>
              <w:jc w:val="center"/>
              <w:rPr>
                <w:rFonts w:ascii="Arial CE" w:hAnsi="Arial CE" w:cs="Arial CE"/>
                <w:b/>
                <w:bCs/>
                <w:color w:val="000000"/>
                <w:sz w:val="20"/>
              </w:rPr>
            </w:pPr>
            <w:r w:rsidRPr="00237F7E">
              <w:rPr>
                <w:rFonts w:ascii="Arial CE" w:hAnsi="Arial CE" w:cs="Arial CE"/>
                <w:b/>
                <w:bCs/>
                <w:color w:val="000000"/>
                <w:sz w:val="20"/>
              </w:rPr>
              <w:t>209</w:t>
            </w:r>
          </w:p>
        </w:tc>
        <w:tc>
          <w:tcPr>
            <w:tcW w:w="168" w:type="dxa"/>
            <w:tcBorders>
              <w:top w:val="nil"/>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b/>
                <w:bCs/>
                <w:color w:val="000000"/>
                <w:sz w:val="20"/>
              </w:rPr>
            </w:pPr>
          </w:p>
        </w:tc>
        <w:tc>
          <w:tcPr>
            <w:tcW w:w="2048" w:type="dxa"/>
            <w:tcBorders>
              <w:top w:val="nil"/>
              <w:left w:val="single" w:sz="4" w:space="0" w:color="auto"/>
              <w:bottom w:val="single" w:sz="4" w:space="0" w:color="auto"/>
              <w:right w:val="single" w:sz="4" w:space="0" w:color="auto"/>
            </w:tcBorders>
            <w:shd w:val="clear" w:color="auto" w:fill="auto"/>
            <w:noWrap/>
            <w:vAlign w:val="bottom"/>
            <w:hideMark/>
          </w:tcPr>
          <w:p w:rsidR="00D00FE9" w:rsidRPr="00237F7E" w:rsidRDefault="00D00FE9" w:rsidP="00C20B9B">
            <w:pPr>
              <w:jc w:val="left"/>
              <w:rPr>
                <w:rFonts w:ascii="Arial CE" w:hAnsi="Arial CE" w:cs="Arial CE"/>
                <w:b/>
                <w:bCs/>
                <w:color w:val="000000"/>
                <w:sz w:val="20"/>
              </w:rPr>
            </w:pPr>
            <w:r w:rsidRPr="00237F7E">
              <w:rPr>
                <w:rFonts w:ascii="Arial CE" w:hAnsi="Arial CE" w:cs="Arial CE"/>
                <w:b/>
                <w:bCs/>
                <w:color w:val="000000"/>
                <w:sz w:val="20"/>
              </w:rPr>
              <w:t xml:space="preserve"> ŠKODA MB</w:t>
            </w:r>
          </w:p>
        </w:tc>
        <w:tc>
          <w:tcPr>
            <w:tcW w:w="188" w:type="dxa"/>
            <w:tcBorders>
              <w:top w:val="nil"/>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b/>
                <w:bCs/>
                <w:color w:val="000000"/>
                <w:sz w:val="20"/>
              </w:rPr>
            </w:pPr>
          </w:p>
        </w:tc>
        <w:tc>
          <w:tcPr>
            <w:tcW w:w="1728" w:type="dxa"/>
            <w:tcBorders>
              <w:top w:val="nil"/>
              <w:left w:val="single" w:sz="4" w:space="0" w:color="auto"/>
              <w:bottom w:val="single" w:sz="4" w:space="0" w:color="auto"/>
              <w:right w:val="single" w:sz="4" w:space="0" w:color="auto"/>
            </w:tcBorders>
            <w:shd w:val="clear" w:color="auto" w:fill="auto"/>
            <w:noWrap/>
            <w:vAlign w:val="bottom"/>
            <w:hideMark/>
          </w:tcPr>
          <w:p w:rsidR="00D00FE9" w:rsidRPr="00237F7E" w:rsidRDefault="00D00FE9" w:rsidP="00C20B9B">
            <w:pPr>
              <w:jc w:val="right"/>
              <w:rPr>
                <w:rFonts w:ascii="Arial CE" w:hAnsi="Arial CE" w:cs="Arial CE"/>
                <w:b/>
                <w:bCs/>
                <w:color w:val="000000"/>
                <w:sz w:val="20"/>
              </w:rPr>
            </w:pPr>
            <w:r w:rsidRPr="00237F7E">
              <w:rPr>
                <w:rFonts w:ascii="Arial CE" w:hAnsi="Arial CE" w:cs="Arial CE"/>
                <w:b/>
                <w:bCs/>
                <w:color w:val="000000"/>
                <w:sz w:val="20"/>
              </w:rPr>
              <w:t xml:space="preserve">138 267 </w:t>
            </w:r>
          </w:p>
        </w:tc>
        <w:tc>
          <w:tcPr>
            <w:tcW w:w="1668" w:type="dxa"/>
            <w:tcBorders>
              <w:top w:val="nil"/>
              <w:left w:val="nil"/>
              <w:bottom w:val="single" w:sz="4" w:space="0" w:color="auto"/>
              <w:right w:val="single" w:sz="4" w:space="0" w:color="auto"/>
            </w:tcBorders>
            <w:shd w:val="clear" w:color="auto" w:fill="auto"/>
            <w:noWrap/>
            <w:vAlign w:val="bottom"/>
            <w:hideMark/>
          </w:tcPr>
          <w:p w:rsidR="00D00FE9" w:rsidRPr="00237F7E" w:rsidRDefault="00D00FE9" w:rsidP="00C20B9B">
            <w:pPr>
              <w:jc w:val="right"/>
              <w:rPr>
                <w:rFonts w:ascii="Arial CE" w:hAnsi="Arial CE" w:cs="Arial CE"/>
                <w:b/>
                <w:bCs/>
                <w:color w:val="000000"/>
                <w:sz w:val="20"/>
              </w:rPr>
            </w:pPr>
            <w:r w:rsidRPr="00237F7E">
              <w:rPr>
                <w:rFonts w:ascii="Arial CE" w:hAnsi="Arial CE" w:cs="Arial CE"/>
                <w:b/>
                <w:bCs/>
                <w:color w:val="000000"/>
                <w:sz w:val="20"/>
              </w:rPr>
              <w:t>139 776</w:t>
            </w:r>
          </w:p>
        </w:tc>
        <w:tc>
          <w:tcPr>
            <w:tcW w:w="1368" w:type="dxa"/>
            <w:tcBorders>
              <w:top w:val="nil"/>
              <w:left w:val="nil"/>
              <w:bottom w:val="single" w:sz="4" w:space="0" w:color="auto"/>
              <w:right w:val="single" w:sz="4" w:space="0" w:color="auto"/>
            </w:tcBorders>
            <w:shd w:val="clear" w:color="auto" w:fill="auto"/>
            <w:noWrap/>
            <w:vAlign w:val="bottom"/>
            <w:hideMark/>
          </w:tcPr>
          <w:p w:rsidR="00D00FE9" w:rsidRPr="00237F7E" w:rsidRDefault="00D00FE9" w:rsidP="00C20B9B">
            <w:pPr>
              <w:jc w:val="right"/>
              <w:rPr>
                <w:rFonts w:ascii="Arial CE" w:hAnsi="Arial CE" w:cs="Arial CE"/>
                <w:b/>
                <w:bCs/>
                <w:color w:val="000000"/>
                <w:sz w:val="20"/>
              </w:rPr>
            </w:pPr>
            <w:r w:rsidRPr="00237F7E">
              <w:rPr>
                <w:rFonts w:ascii="Arial CE" w:hAnsi="Arial CE" w:cs="Arial CE"/>
                <w:b/>
                <w:bCs/>
                <w:color w:val="000000"/>
                <w:sz w:val="20"/>
              </w:rPr>
              <w:t xml:space="preserve">1,011 </w:t>
            </w:r>
          </w:p>
        </w:tc>
        <w:tc>
          <w:tcPr>
            <w:tcW w:w="248" w:type="dxa"/>
            <w:tcBorders>
              <w:top w:val="nil"/>
              <w:left w:val="nil"/>
              <w:bottom w:val="nil"/>
              <w:right w:val="single" w:sz="8" w:space="0" w:color="auto"/>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r>
      <w:tr w:rsidR="00D00FE9" w:rsidRPr="00237F7E" w:rsidTr="00C20B9B">
        <w:trPr>
          <w:trHeight w:val="300"/>
        </w:trPr>
        <w:tc>
          <w:tcPr>
            <w:tcW w:w="248" w:type="dxa"/>
            <w:tcBorders>
              <w:top w:val="nil"/>
              <w:left w:val="single" w:sz="8" w:space="0" w:color="auto"/>
              <w:bottom w:val="nil"/>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D00FE9" w:rsidRPr="00237F7E" w:rsidRDefault="00D00FE9" w:rsidP="00C20B9B">
            <w:pPr>
              <w:jc w:val="center"/>
              <w:rPr>
                <w:rFonts w:ascii="Arial CE" w:hAnsi="Arial CE" w:cs="Arial CE"/>
                <w:b/>
                <w:bCs/>
                <w:color w:val="000000"/>
                <w:sz w:val="20"/>
              </w:rPr>
            </w:pPr>
            <w:r w:rsidRPr="00237F7E">
              <w:rPr>
                <w:rFonts w:ascii="Arial CE" w:hAnsi="Arial CE" w:cs="Arial CE"/>
                <w:b/>
                <w:bCs/>
                <w:color w:val="000000"/>
                <w:sz w:val="20"/>
              </w:rPr>
              <w:t>211</w:t>
            </w:r>
          </w:p>
        </w:tc>
        <w:tc>
          <w:tcPr>
            <w:tcW w:w="168" w:type="dxa"/>
            <w:tcBorders>
              <w:top w:val="nil"/>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b/>
                <w:bCs/>
                <w:color w:val="000000"/>
                <w:sz w:val="20"/>
              </w:rPr>
            </w:pPr>
          </w:p>
        </w:tc>
        <w:tc>
          <w:tcPr>
            <w:tcW w:w="2048" w:type="dxa"/>
            <w:tcBorders>
              <w:top w:val="nil"/>
              <w:left w:val="single" w:sz="4" w:space="0" w:color="auto"/>
              <w:bottom w:val="single" w:sz="4" w:space="0" w:color="auto"/>
              <w:right w:val="single" w:sz="4" w:space="0" w:color="auto"/>
            </w:tcBorders>
            <w:shd w:val="clear" w:color="auto" w:fill="auto"/>
            <w:noWrap/>
            <w:vAlign w:val="bottom"/>
            <w:hideMark/>
          </w:tcPr>
          <w:p w:rsidR="00D00FE9" w:rsidRPr="00237F7E" w:rsidRDefault="00D00FE9" w:rsidP="00C20B9B">
            <w:pPr>
              <w:jc w:val="left"/>
              <w:rPr>
                <w:rFonts w:ascii="Arial CE" w:hAnsi="Arial CE" w:cs="Arial CE"/>
                <w:b/>
                <w:bCs/>
                <w:color w:val="000000"/>
                <w:sz w:val="20"/>
              </w:rPr>
            </w:pPr>
            <w:r w:rsidRPr="00237F7E">
              <w:rPr>
                <w:rFonts w:ascii="Arial CE" w:hAnsi="Arial CE" w:cs="Arial CE"/>
                <w:b/>
                <w:bCs/>
                <w:color w:val="000000"/>
                <w:sz w:val="20"/>
              </w:rPr>
              <w:t xml:space="preserve"> Vnitro</w:t>
            </w:r>
          </w:p>
        </w:tc>
        <w:tc>
          <w:tcPr>
            <w:tcW w:w="188" w:type="dxa"/>
            <w:tcBorders>
              <w:top w:val="nil"/>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b/>
                <w:bCs/>
                <w:color w:val="000000"/>
                <w:sz w:val="20"/>
              </w:rPr>
            </w:pPr>
          </w:p>
        </w:tc>
        <w:tc>
          <w:tcPr>
            <w:tcW w:w="1728" w:type="dxa"/>
            <w:tcBorders>
              <w:top w:val="nil"/>
              <w:left w:val="single" w:sz="4" w:space="0" w:color="auto"/>
              <w:bottom w:val="single" w:sz="4" w:space="0" w:color="auto"/>
              <w:right w:val="single" w:sz="4" w:space="0" w:color="auto"/>
            </w:tcBorders>
            <w:shd w:val="clear" w:color="auto" w:fill="auto"/>
            <w:noWrap/>
            <w:vAlign w:val="bottom"/>
            <w:hideMark/>
          </w:tcPr>
          <w:p w:rsidR="00D00FE9" w:rsidRPr="00237F7E" w:rsidRDefault="00D00FE9" w:rsidP="00C20B9B">
            <w:pPr>
              <w:jc w:val="right"/>
              <w:rPr>
                <w:rFonts w:ascii="Arial CE" w:hAnsi="Arial CE" w:cs="Arial CE"/>
                <w:b/>
                <w:bCs/>
                <w:color w:val="000000"/>
                <w:sz w:val="20"/>
              </w:rPr>
            </w:pPr>
            <w:r w:rsidRPr="00237F7E">
              <w:rPr>
                <w:rFonts w:ascii="Arial CE" w:hAnsi="Arial CE" w:cs="Arial CE"/>
                <w:b/>
                <w:bCs/>
                <w:color w:val="000000"/>
                <w:sz w:val="20"/>
              </w:rPr>
              <w:t xml:space="preserve">1 203 490 </w:t>
            </w:r>
          </w:p>
        </w:tc>
        <w:tc>
          <w:tcPr>
            <w:tcW w:w="1668" w:type="dxa"/>
            <w:tcBorders>
              <w:top w:val="nil"/>
              <w:left w:val="nil"/>
              <w:bottom w:val="single" w:sz="4" w:space="0" w:color="auto"/>
              <w:right w:val="single" w:sz="4" w:space="0" w:color="auto"/>
            </w:tcBorders>
            <w:shd w:val="clear" w:color="auto" w:fill="auto"/>
            <w:noWrap/>
            <w:vAlign w:val="bottom"/>
            <w:hideMark/>
          </w:tcPr>
          <w:p w:rsidR="00D00FE9" w:rsidRPr="00237F7E" w:rsidRDefault="00D00FE9" w:rsidP="00C20B9B">
            <w:pPr>
              <w:jc w:val="right"/>
              <w:rPr>
                <w:rFonts w:ascii="Arial CE" w:hAnsi="Arial CE" w:cs="Arial CE"/>
                <w:b/>
                <w:bCs/>
                <w:color w:val="000000"/>
                <w:sz w:val="20"/>
              </w:rPr>
            </w:pPr>
            <w:r w:rsidRPr="00237F7E">
              <w:rPr>
                <w:rFonts w:ascii="Arial CE" w:hAnsi="Arial CE" w:cs="Arial CE"/>
                <w:b/>
                <w:bCs/>
                <w:color w:val="000000"/>
                <w:sz w:val="20"/>
              </w:rPr>
              <w:t>1 253 076</w:t>
            </w:r>
          </w:p>
        </w:tc>
        <w:tc>
          <w:tcPr>
            <w:tcW w:w="1368" w:type="dxa"/>
            <w:tcBorders>
              <w:top w:val="nil"/>
              <w:left w:val="nil"/>
              <w:bottom w:val="single" w:sz="4" w:space="0" w:color="auto"/>
              <w:right w:val="single" w:sz="4" w:space="0" w:color="auto"/>
            </w:tcBorders>
            <w:shd w:val="clear" w:color="auto" w:fill="auto"/>
            <w:noWrap/>
            <w:vAlign w:val="bottom"/>
            <w:hideMark/>
          </w:tcPr>
          <w:p w:rsidR="00D00FE9" w:rsidRPr="00237F7E" w:rsidRDefault="00D00FE9" w:rsidP="00C20B9B">
            <w:pPr>
              <w:jc w:val="right"/>
              <w:rPr>
                <w:rFonts w:ascii="Arial CE" w:hAnsi="Arial CE" w:cs="Arial CE"/>
                <w:b/>
                <w:bCs/>
                <w:color w:val="000000"/>
                <w:sz w:val="20"/>
              </w:rPr>
            </w:pPr>
            <w:r w:rsidRPr="00237F7E">
              <w:rPr>
                <w:rFonts w:ascii="Arial CE" w:hAnsi="Arial CE" w:cs="Arial CE"/>
                <w:b/>
                <w:bCs/>
                <w:color w:val="000000"/>
                <w:sz w:val="20"/>
              </w:rPr>
              <w:t xml:space="preserve">1,041 </w:t>
            </w:r>
          </w:p>
        </w:tc>
        <w:tc>
          <w:tcPr>
            <w:tcW w:w="248" w:type="dxa"/>
            <w:tcBorders>
              <w:top w:val="nil"/>
              <w:left w:val="nil"/>
              <w:bottom w:val="nil"/>
              <w:right w:val="single" w:sz="8" w:space="0" w:color="auto"/>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r>
      <w:tr w:rsidR="00D00FE9" w:rsidRPr="00237F7E" w:rsidTr="00C20B9B">
        <w:trPr>
          <w:trHeight w:val="300"/>
        </w:trPr>
        <w:tc>
          <w:tcPr>
            <w:tcW w:w="248" w:type="dxa"/>
            <w:tcBorders>
              <w:top w:val="nil"/>
              <w:left w:val="single" w:sz="8" w:space="0" w:color="auto"/>
              <w:bottom w:val="nil"/>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1128" w:type="dxa"/>
            <w:tcBorders>
              <w:top w:val="nil"/>
              <w:left w:val="single" w:sz="4" w:space="0" w:color="auto"/>
              <w:bottom w:val="single" w:sz="4" w:space="0" w:color="auto"/>
              <w:right w:val="single" w:sz="4" w:space="0" w:color="auto"/>
            </w:tcBorders>
            <w:shd w:val="clear" w:color="auto" w:fill="auto"/>
            <w:noWrap/>
            <w:vAlign w:val="bottom"/>
            <w:hideMark/>
          </w:tcPr>
          <w:p w:rsidR="00D00FE9" w:rsidRPr="00237F7E" w:rsidRDefault="00D00FE9" w:rsidP="00C20B9B">
            <w:pPr>
              <w:jc w:val="center"/>
              <w:rPr>
                <w:rFonts w:ascii="Arial CE" w:hAnsi="Arial CE" w:cs="Arial CE"/>
                <w:b/>
                <w:bCs/>
                <w:color w:val="000000"/>
                <w:sz w:val="20"/>
              </w:rPr>
            </w:pPr>
            <w:r w:rsidRPr="00237F7E">
              <w:rPr>
                <w:rFonts w:ascii="Arial CE" w:hAnsi="Arial CE" w:cs="Arial CE"/>
                <w:b/>
                <w:bCs/>
                <w:color w:val="000000"/>
                <w:sz w:val="20"/>
              </w:rPr>
              <w:t>213</w:t>
            </w:r>
          </w:p>
        </w:tc>
        <w:tc>
          <w:tcPr>
            <w:tcW w:w="168" w:type="dxa"/>
            <w:tcBorders>
              <w:top w:val="nil"/>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b/>
                <w:bCs/>
                <w:color w:val="000000"/>
                <w:sz w:val="20"/>
              </w:rPr>
            </w:pPr>
          </w:p>
        </w:tc>
        <w:tc>
          <w:tcPr>
            <w:tcW w:w="2048" w:type="dxa"/>
            <w:tcBorders>
              <w:top w:val="nil"/>
              <w:left w:val="single" w:sz="4" w:space="0" w:color="auto"/>
              <w:bottom w:val="single" w:sz="4" w:space="0" w:color="auto"/>
              <w:right w:val="single" w:sz="4" w:space="0" w:color="auto"/>
            </w:tcBorders>
            <w:shd w:val="clear" w:color="auto" w:fill="auto"/>
            <w:noWrap/>
            <w:vAlign w:val="bottom"/>
            <w:hideMark/>
          </w:tcPr>
          <w:p w:rsidR="00D00FE9" w:rsidRPr="00237F7E" w:rsidRDefault="00D00FE9" w:rsidP="00C20B9B">
            <w:pPr>
              <w:jc w:val="left"/>
              <w:rPr>
                <w:rFonts w:ascii="Arial CE" w:hAnsi="Arial CE" w:cs="Arial CE"/>
                <w:b/>
                <w:bCs/>
                <w:color w:val="000000"/>
                <w:sz w:val="20"/>
              </w:rPr>
            </w:pPr>
            <w:r w:rsidRPr="00237F7E">
              <w:rPr>
                <w:rFonts w:ascii="Arial CE" w:hAnsi="Arial CE" w:cs="Arial CE"/>
                <w:b/>
                <w:bCs/>
                <w:color w:val="000000"/>
                <w:sz w:val="20"/>
              </w:rPr>
              <w:t xml:space="preserve"> Revírní</w:t>
            </w:r>
          </w:p>
        </w:tc>
        <w:tc>
          <w:tcPr>
            <w:tcW w:w="188" w:type="dxa"/>
            <w:tcBorders>
              <w:top w:val="nil"/>
              <w:left w:val="nil"/>
              <w:bottom w:val="nil"/>
              <w:right w:val="nil"/>
            </w:tcBorders>
            <w:shd w:val="pct12" w:color="000000" w:fill="auto"/>
            <w:noWrap/>
            <w:vAlign w:val="bottom"/>
            <w:hideMark/>
          </w:tcPr>
          <w:p w:rsidR="00D00FE9" w:rsidRPr="00237F7E" w:rsidRDefault="00D00FE9" w:rsidP="00C20B9B">
            <w:pPr>
              <w:jc w:val="left"/>
              <w:rPr>
                <w:rFonts w:ascii="Arial CE" w:hAnsi="Arial CE" w:cs="Arial CE"/>
                <w:b/>
                <w:bCs/>
                <w:color w:val="000000"/>
                <w:sz w:val="20"/>
              </w:rPr>
            </w:pPr>
          </w:p>
        </w:tc>
        <w:tc>
          <w:tcPr>
            <w:tcW w:w="1728" w:type="dxa"/>
            <w:tcBorders>
              <w:top w:val="nil"/>
              <w:left w:val="single" w:sz="4" w:space="0" w:color="auto"/>
              <w:bottom w:val="single" w:sz="4" w:space="0" w:color="auto"/>
              <w:right w:val="single" w:sz="4" w:space="0" w:color="auto"/>
            </w:tcBorders>
            <w:shd w:val="clear" w:color="auto" w:fill="auto"/>
            <w:noWrap/>
            <w:vAlign w:val="bottom"/>
            <w:hideMark/>
          </w:tcPr>
          <w:p w:rsidR="00D00FE9" w:rsidRPr="00237F7E" w:rsidRDefault="00D00FE9" w:rsidP="00C20B9B">
            <w:pPr>
              <w:jc w:val="right"/>
              <w:rPr>
                <w:rFonts w:ascii="Arial CE" w:hAnsi="Arial CE" w:cs="Arial CE"/>
                <w:b/>
                <w:bCs/>
                <w:color w:val="000000"/>
                <w:sz w:val="20"/>
              </w:rPr>
            </w:pPr>
            <w:r w:rsidRPr="00237F7E">
              <w:rPr>
                <w:rFonts w:ascii="Arial CE" w:hAnsi="Arial CE" w:cs="Arial CE"/>
                <w:b/>
                <w:bCs/>
                <w:color w:val="000000"/>
                <w:sz w:val="20"/>
              </w:rPr>
              <w:t xml:space="preserve">417 811 </w:t>
            </w:r>
          </w:p>
        </w:tc>
        <w:tc>
          <w:tcPr>
            <w:tcW w:w="1668" w:type="dxa"/>
            <w:tcBorders>
              <w:top w:val="nil"/>
              <w:left w:val="nil"/>
              <w:bottom w:val="single" w:sz="4" w:space="0" w:color="auto"/>
              <w:right w:val="single" w:sz="4" w:space="0" w:color="auto"/>
            </w:tcBorders>
            <w:shd w:val="clear" w:color="auto" w:fill="auto"/>
            <w:noWrap/>
            <w:vAlign w:val="bottom"/>
            <w:hideMark/>
          </w:tcPr>
          <w:p w:rsidR="00D00FE9" w:rsidRPr="00237F7E" w:rsidRDefault="00D00FE9" w:rsidP="00C20B9B">
            <w:pPr>
              <w:jc w:val="right"/>
              <w:rPr>
                <w:rFonts w:ascii="Arial CE" w:hAnsi="Arial CE" w:cs="Arial CE"/>
                <w:b/>
                <w:bCs/>
                <w:color w:val="000000"/>
                <w:sz w:val="20"/>
              </w:rPr>
            </w:pPr>
            <w:r w:rsidRPr="00237F7E">
              <w:rPr>
                <w:rFonts w:ascii="Arial CE" w:hAnsi="Arial CE" w:cs="Arial CE"/>
                <w:b/>
                <w:bCs/>
                <w:color w:val="000000"/>
                <w:sz w:val="20"/>
              </w:rPr>
              <w:t>428 291</w:t>
            </w:r>
          </w:p>
        </w:tc>
        <w:tc>
          <w:tcPr>
            <w:tcW w:w="1368" w:type="dxa"/>
            <w:tcBorders>
              <w:top w:val="nil"/>
              <w:left w:val="nil"/>
              <w:bottom w:val="single" w:sz="4" w:space="0" w:color="auto"/>
              <w:right w:val="single" w:sz="4" w:space="0" w:color="auto"/>
            </w:tcBorders>
            <w:shd w:val="clear" w:color="auto" w:fill="auto"/>
            <w:noWrap/>
            <w:vAlign w:val="bottom"/>
            <w:hideMark/>
          </w:tcPr>
          <w:p w:rsidR="00D00FE9" w:rsidRPr="00237F7E" w:rsidRDefault="00D00FE9" w:rsidP="00C20B9B">
            <w:pPr>
              <w:jc w:val="right"/>
              <w:rPr>
                <w:rFonts w:ascii="Arial CE" w:hAnsi="Arial CE" w:cs="Arial CE"/>
                <w:b/>
                <w:bCs/>
                <w:color w:val="000000"/>
                <w:sz w:val="20"/>
              </w:rPr>
            </w:pPr>
            <w:r w:rsidRPr="00237F7E">
              <w:rPr>
                <w:rFonts w:ascii="Arial CE" w:hAnsi="Arial CE" w:cs="Arial CE"/>
                <w:b/>
                <w:bCs/>
                <w:color w:val="000000"/>
                <w:sz w:val="20"/>
              </w:rPr>
              <w:t xml:space="preserve">1,025 </w:t>
            </w:r>
          </w:p>
        </w:tc>
        <w:tc>
          <w:tcPr>
            <w:tcW w:w="248" w:type="dxa"/>
            <w:tcBorders>
              <w:top w:val="nil"/>
              <w:left w:val="nil"/>
              <w:bottom w:val="nil"/>
              <w:right w:val="single" w:sz="8" w:space="0" w:color="auto"/>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r>
      <w:tr w:rsidR="00D00FE9" w:rsidRPr="00237F7E" w:rsidTr="00C20B9B">
        <w:trPr>
          <w:trHeight w:val="210"/>
        </w:trPr>
        <w:tc>
          <w:tcPr>
            <w:tcW w:w="248" w:type="dxa"/>
            <w:tcBorders>
              <w:top w:val="nil"/>
              <w:left w:val="single" w:sz="8" w:space="0" w:color="auto"/>
              <w:bottom w:val="single" w:sz="8" w:space="0" w:color="auto"/>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1128" w:type="dxa"/>
            <w:tcBorders>
              <w:top w:val="nil"/>
              <w:left w:val="nil"/>
              <w:bottom w:val="single" w:sz="8" w:space="0" w:color="auto"/>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168" w:type="dxa"/>
            <w:tcBorders>
              <w:top w:val="single" w:sz="4" w:space="0" w:color="auto"/>
              <w:left w:val="nil"/>
              <w:bottom w:val="single" w:sz="8" w:space="0" w:color="auto"/>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2048" w:type="dxa"/>
            <w:tcBorders>
              <w:top w:val="nil"/>
              <w:left w:val="nil"/>
              <w:bottom w:val="single" w:sz="8" w:space="0" w:color="auto"/>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188" w:type="dxa"/>
            <w:tcBorders>
              <w:top w:val="nil"/>
              <w:left w:val="nil"/>
              <w:bottom w:val="single" w:sz="8" w:space="0" w:color="auto"/>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1728" w:type="dxa"/>
            <w:tcBorders>
              <w:top w:val="nil"/>
              <w:left w:val="nil"/>
              <w:bottom w:val="single" w:sz="8" w:space="0" w:color="auto"/>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1668" w:type="dxa"/>
            <w:tcBorders>
              <w:top w:val="nil"/>
              <w:left w:val="nil"/>
              <w:bottom w:val="single" w:sz="8" w:space="0" w:color="auto"/>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1368" w:type="dxa"/>
            <w:tcBorders>
              <w:top w:val="nil"/>
              <w:left w:val="nil"/>
              <w:bottom w:val="single" w:sz="8" w:space="0" w:color="auto"/>
              <w:right w:val="nil"/>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c>
          <w:tcPr>
            <w:tcW w:w="248" w:type="dxa"/>
            <w:tcBorders>
              <w:top w:val="nil"/>
              <w:left w:val="nil"/>
              <w:bottom w:val="single" w:sz="8" w:space="0" w:color="auto"/>
              <w:right w:val="single" w:sz="8" w:space="0" w:color="auto"/>
            </w:tcBorders>
            <w:shd w:val="pct12" w:color="000000" w:fill="auto"/>
            <w:noWrap/>
            <w:vAlign w:val="bottom"/>
            <w:hideMark/>
          </w:tcPr>
          <w:p w:rsidR="00D00FE9" w:rsidRPr="00237F7E" w:rsidRDefault="00D00FE9" w:rsidP="00C20B9B">
            <w:pPr>
              <w:jc w:val="left"/>
              <w:rPr>
                <w:rFonts w:ascii="Arial CE" w:hAnsi="Arial CE" w:cs="Arial CE"/>
                <w:color w:val="000000"/>
                <w:sz w:val="20"/>
              </w:rPr>
            </w:pPr>
            <w:r w:rsidRPr="00237F7E">
              <w:rPr>
                <w:rFonts w:ascii="Arial CE" w:hAnsi="Arial CE" w:cs="Arial CE"/>
                <w:color w:val="000000"/>
                <w:sz w:val="20"/>
              </w:rPr>
              <w:t> </w:t>
            </w:r>
          </w:p>
        </w:tc>
      </w:tr>
    </w:tbl>
    <w:p w:rsidR="00C648CF" w:rsidRDefault="00C648CF" w:rsidP="00C648CF"/>
    <w:p w:rsidR="00C648CF" w:rsidRDefault="00C648CF" w:rsidP="00C648CF"/>
    <w:p w:rsidR="00C648CF" w:rsidRPr="009F79DD" w:rsidRDefault="00C648CF" w:rsidP="00C648CF">
      <w:r w:rsidRPr="009F79DD">
        <w:lastRenderedPageBreak/>
        <w:t>Vysvětlení zkratek:</w:t>
      </w:r>
    </w:p>
    <w:p w:rsidR="00C648CF" w:rsidRPr="009F79DD" w:rsidRDefault="00C648CF" w:rsidP="00C648CF"/>
    <w:p w:rsidR="00C648CF" w:rsidRPr="009F79DD" w:rsidRDefault="00C648CF" w:rsidP="00C648CF">
      <w:r w:rsidRPr="009F79DD">
        <w:t>VZP ČR – Všeobecná zdravotní pojišťovna České republiky</w:t>
      </w:r>
    </w:p>
    <w:p w:rsidR="00C648CF" w:rsidRPr="009F79DD" w:rsidRDefault="00C648CF" w:rsidP="00C648CF">
      <w:r w:rsidRPr="009F79DD">
        <w:t>VoZP – Vojenská zdravotní pojišťovna České republiky</w:t>
      </w:r>
    </w:p>
    <w:p w:rsidR="00C648CF" w:rsidRPr="009F79DD" w:rsidRDefault="00C648CF" w:rsidP="00C648CF">
      <w:r w:rsidRPr="009F79DD">
        <w:t>ČPZP – Česká průmyslová zdravotní pojišťovna</w:t>
      </w:r>
    </w:p>
    <w:p w:rsidR="00C648CF" w:rsidRPr="009F79DD" w:rsidRDefault="00C648CF" w:rsidP="00C648CF">
      <w:r w:rsidRPr="009F79DD">
        <w:t>OZP – Oborová zdravotní pojišťovna zaměstnanců bank, poji</w:t>
      </w:r>
      <w:r>
        <w:t>š</w:t>
      </w:r>
      <w:r w:rsidRPr="009F79DD">
        <w:t>ťoven a stavebnictví</w:t>
      </w:r>
    </w:p>
    <w:p w:rsidR="00C648CF" w:rsidRPr="009F79DD" w:rsidRDefault="00C648CF" w:rsidP="00C648CF">
      <w:r w:rsidRPr="009F79DD">
        <w:t>ZPŠ – Zdravotní pojišťovna Škoda</w:t>
      </w:r>
    </w:p>
    <w:p w:rsidR="00C648CF" w:rsidRPr="009F79DD" w:rsidRDefault="00C648CF" w:rsidP="00C648CF">
      <w:r w:rsidRPr="009F79DD">
        <w:t>ZP MV ČR – Zdravotní pojišťovna ministerstva vnitra České republiky</w:t>
      </w:r>
    </w:p>
    <w:p w:rsidR="0027384E" w:rsidRPr="007D6852" w:rsidRDefault="00C648CF" w:rsidP="007D6852">
      <w:r w:rsidRPr="009F79DD">
        <w:t>RBP – Revírní bratrská pokladna, zdravotní pojišťovna</w:t>
      </w:r>
    </w:p>
    <w:p w:rsidR="002476E7" w:rsidRDefault="002476E7" w:rsidP="0032380D">
      <w:pPr>
        <w:pStyle w:val="Zhlav"/>
        <w:tabs>
          <w:tab w:val="clear" w:pos="4536"/>
          <w:tab w:val="clear" w:pos="9072"/>
        </w:tabs>
        <w:rPr>
          <w:b/>
        </w:rPr>
      </w:pPr>
    </w:p>
    <w:p w:rsidR="00D00FE9" w:rsidRDefault="00D00FE9" w:rsidP="0032380D">
      <w:pPr>
        <w:pStyle w:val="Zhlav"/>
        <w:tabs>
          <w:tab w:val="clear" w:pos="4536"/>
          <w:tab w:val="clear" w:pos="9072"/>
        </w:tabs>
        <w:rPr>
          <w:b/>
        </w:rPr>
      </w:pPr>
    </w:p>
    <w:p w:rsidR="00D00FE9" w:rsidRDefault="00D00FE9" w:rsidP="0032380D">
      <w:pPr>
        <w:pStyle w:val="Zhlav"/>
        <w:tabs>
          <w:tab w:val="clear" w:pos="4536"/>
          <w:tab w:val="clear" w:pos="9072"/>
        </w:tabs>
        <w:rPr>
          <w:b/>
        </w:rPr>
      </w:pPr>
    </w:p>
    <w:p w:rsidR="00D00FE9" w:rsidRDefault="00D00FE9" w:rsidP="0032380D">
      <w:pPr>
        <w:pStyle w:val="Zhlav"/>
        <w:tabs>
          <w:tab w:val="clear" w:pos="4536"/>
          <w:tab w:val="clear" w:pos="9072"/>
        </w:tabs>
        <w:rPr>
          <w:b/>
        </w:rPr>
      </w:pPr>
    </w:p>
    <w:p w:rsidR="00D00FE9" w:rsidRDefault="00D00FE9" w:rsidP="0032380D">
      <w:pPr>
        <w:pStyle w:val="Zhlav"/>
        <w:tabs>
          <w:tab w:val="clear" w:pos="4536"/>
          <w:tab w:val="clear" w:pos="9072"/>
        </w:tabs>
        <w:rPr>
          <w:b/>
        </w:rPr>
      </w:pPr>
    </w:p>
    <w:p w:rsidR="00C648CF" w:rsidRDefault="00C648CF" w:rsidP="00C648CF">
      <w:pPr>
        <w:rPr>
          <w:u w:val="single"/>
        </w:rPr>
      </w:pPr>
      <w:r>
        <w:rPr>
          <w:b/>
          <w:u w:val="single"/>
        </w:rPr>
        <w:t>Příloha č. 4</w:t>
      </w:r>
      <w:r>
        <w:rPr>
          <w:u w:val="single"/>
        </w:rPr>
        <w:t xml:space="preserve"> – Léčivé přípravky vyjmuté z platby případovým paušálem</w:t>
      </w:r>
      <w:r w:rsidR="0027384E">
        <w:rPr>
          <w:u w:val="single"/>
        </w:rPr>
        <w:t xml:space="preserve"> dle odst. 3 této dohody</w:t>
      </w:r>
    </w:p>
    <w:p w:rsidR="002476E7" w:rsidRPr="009F79DD" w:rsidRDefault="002476E7" w:rsidP="0032380D">
      <w:pPr>
        <w:pStyle w:val="Zhlav"/>
        <w:tabs>
          <w:tab w:val="clear" w:pos="4536"/>
          <w:tab w:val="clear" w:pos="9072"/>
        </w:tabs>
        <w:rPr>
          <w:b/>
        </w:rPr>
      </w:pPr>
    </w:p>
    <w:p w:rsidR="0027384E" w:rsidRDefault="0027384E" w:rsidP="0027384E">
      <w:pPr>
        <w:numPr>
          <w:ilvl w:val="0"/>
          <w:numId w:val="47"/>
        </w:numPr>
      </w:pPr>
      <w:r>
        <w:t xml:space="preserve">Z platby případovým paušálem jsou vyjmuty: </w:t>
      </w:r>
    </w:p>
    <w:p w:rsidR="0027384E" w:rsidRDefault="0027384E" w:rsidP="0027384E">
      <w:pPr>
        <w:ind w:left="792"/>
      </w:pPr>
    </w:p>
    <w:p w:rsidR="0027384E" w:rsidRDefault="0027384E" w:rsidP="007D6852">
      <w:pPr>
        <w:pStyle w:val="Odstavecseseznamem"/>
        <w:numPr>
          <w:ilvl w:val="1"/>
          <w:numId w:val="49"/>
        </w:numPr>
        <w:ind w:left="567" w:hanging="425"/>
      </w:pPr>
      <w:r>
        <w:t>Léčivé přípravky obsahující tyto léčivé látky:</w:t>
      </w:r>
    </w:p>
    <w:p w:rsidR="0027384E" w:rsidRDefault="0027384E" w:rsidP="0027384E">
      <w:pPr>
        <w:ind w:left="567"/>
      </w:pPr>
      <w:r>
        <w:t>B02BB01</w:t>
      </w:r>
    </w:p>
    <w:p w:rsidR="0027384E" w:rsidRDefault="0027384E" w:rsidP="0027384E">
      <w:pPr>
        <w:ind w:left="567"/>
      </w:pPr>
      <w:r>
        <w:t xml:space="preserve">B02BD01 </w:t>
      </w:r>
    </w:p>
    <w:p w:rsidR="0027384E" w:rsidRDefault="0027384E" w:rsidP="0027384E">
      <w:pPr>
        <w:ind w:left="567"/>
      </w:pPr>
      <w:r>
        <w:t>B02BD02</w:t>
      </w:r>
    </w:p>
    <w:p w:rsidR="0027384E" w:rsidRDefault="0027384E" w:rsidP="0027384E">
      <w:pPr>
        <w:ind w:left="567"/>
      </w:pPr>
      <w:r>
        <w:t>B02BD03</w:t>
      </w:r>
    </w:p>
    <w:p w:rsidR="0027384E" w:rsidRDefault="0027384E" w:rsidP="0027384E">
      <w:pPr>
        <w:ind w:left="567"/>
      </w:pPr>
      <w:r>
        <w:t>B02BD04</w:t>
      </w:r>
    </w:p>
    <w:p w:rsidR="0027384E" w:rsidRDefault="0027384E" w:rsidP="0027384E">
      <w:pPr>
        <w:ind w:left="567"/>
      </w:pPr>
      <w:r>
        <w:t>B02BD05</w:t>
      </w:r>
    </w:p>
    <w:p w:rsidR="0027384E" w:rsidRDefault="0027384E" w:rsidP="0027384E">
      <w:pPr>
        <w:ind w:left="567"/>
      </w:pPr>
      <w:r>
        <w:t>B02BD06</w:t>
      </w:r>
    </w:p>
    <w:p w:rsidR="0027384E" w:rsidRDefault="0027384E" w:rsidP="0027384E">
      <w:pPr>
        <w:ind w:left="567"/>
      </w:pPr>
      <w:r>
        <w:t>B02BD07</w:t>
      </w:r>
    </w:p>
    <w:p w:rsidR="0027384E" w:rsidRDefault="0027384E" w:rsidP="0027384E">
      <w:pPr>
        <w:ind w:left="567"/>
      </w:pPr>
      <w:r>
        <w:t>B02BD08</w:t>
      </w:r>
    </w:p>
    <w:p w:rsidR="0027384E" w:rsidRDefault="0027384E" w:rsidP="0027384E">
      <w:pPr>
        <w:ind w:left="567"/>
      </w:pPr>
      <w:r>
        <w:t>B02BD09</w:t>
      </w:r>
    </w:p>
    <w:p w:rsidR="0027384E" w:rsidRDefault="0027384E" w:rsidP="0027384E">
      <w:pPr>
        <w:ind w:left="567"/>
      </w:pPr>
      <w:r>
        <w:t>B02BD10</w:t>
      </w:r>
    </w:p>
    <w:p w:rsidR="0027384E" w:rsidRDefault="0027384E" w:rsidP="0027384E">
      <w:pPr>
        <w:ind w:left="567"/>
      </w:pPr>
      <w:r>
        <w:t>B05AA02</w:t>
      </w:r>
    </w:p>
    <w:p w:rsidR="0027384E" w:rsidRDefault="0027384E" w:rsidP="0027384E"/>
    <w:p w:rsidR="00750AA5" w:rsidRDefault="00750AA5" w:rsidP="0027384E"/>
    <w:p w:rsidR="0027384E" w:rsidRDefault="0027384E" w:rsidP="007D6852">
      <w:pPr>
        <w:pStyle w:val="Odstavecseseznamem"/>
        <w:numPr>
          <w:ilvl w:val="1"/>
          <w:numId w:val="49"/>
        </w:numPr>
        <w:ind w:left="567" w:hanging="425"/>
      </w:pPr>
      <w:r>
        <w:t>Tyto individuálně vyráběné léčivé přípravky:</w:t>
      </w:r>
    </w:p>
    <w:p w:rsidR="0027384E" w:rsidRDefault="0027384E" w:rsidP="0027384E">
      <w:pPr>
        <w:ind w:left="360" w:firstLine="207"/>
      </w:pPr>
      <w:r>
        <w:t>Kryoprotein (0207926)</w:t>
      </w:r>
    </w:p>
    <w:p w:rsidR="002476E7" w:rsidRDefault="0027384E" w:rsidP="008C7DEC">
      <w:pPr>
        <w:ind w:left="567"/>
      </w:pPr>
      <w:r w:rsidRPr="008C7DEC">
        <w:t>Plazma čerstvá, zmrazená pro klinické použití (0207921)</w:t>
      </w:r>
      <w:r w:rsidR="00B7788C" w:rsidRPr="008C7DEC">
        <w:t xml:space="preserve"> </w:t>
      </w:r>
    </w:p>
    <w:p w:rsidR="0027384E" w:rsidRPr="009F79DD" w:rsidRDefault="0027384E" w:rsidP="0032380D">
      <w:pPr>
        <w:pStyle w:val="Textpsmene"/>
        <w:numPr>
          <w:ilvl w:val="0"/>
          <w:numId w:val="0"/>
        </w:numPr>
        <w:spacing w:before="120"/>
      </w:pPr>
    </w:p>
    <w:sectPr w:rsidR="0027384E" w:rsidRPr="009F79DD" w:rsidSect="00830F57">
      <w:footerReference w:type="default" r:id="rId3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351" w:rsidRDefault="003F2351" w:rsidP="0032380D">
      <w:r>
        <w:separator/>
      </w:r>
    </w:p>
  </w:endnote>
  <w:endnote w:type="continuationSeparator" w:id="0">
    <w:p w:rsidR="003F2351" w:rsidRDefault="003F2351" w:rsidP="00323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8866643"/>
      <w:docPartObj>
        <w:docPartGallery w:val="Page Numbers (Bottom of Page)"/>
        <w:docPartUnique/>
      </w:docPartObj>
    </w:sdtPr>
    <w:sdtContent>
      <w:p w:rsidR="008C7DEC" w:rsidRDefault="00EE7212">
        <w:pPr>
          <w:pStyle w:val="Zpat"/>
          <w:jc w:val="center"/>
        </w:pPr>
        <w:r>
          <w:fldChar w:fldCharType="begin"/>
        </w:r>
        <w:r w:rsidR="008C7DEC">
          <w:instrText>PAGE   \* MERGEFORMAT</w:instrText>
        </w:r>
        <w:r>
          <w:fldChar w:fldCharType="separate"/>
        </w:r>
        <w:r w:rsidR="00D418F5">
          <w:rPr>
            <w:noProof/>
          </w:rPr>
          <w:t>13</w:t>
        </w:r>
        <w:r>
          <w:fldChar w:fldCharType="end"/>
        </w:r>
      </w:p>
    </w:sdtContent>
  </w:sdt>
  <w:p w:rsidR="008C7DEC" w:rsidRDefault="008C7DE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351" w:rsidRDefault="003F2351" w:rsidP="0032380D">
      <w:r>
        <w:separator/>
      </w:r>
    </w:p>
  </w:footnote>
  <w:footnote w:type="continuationSeparator" w:id="0">
    <w:p w:rsidR="003F2351" w:rsidRDefault="003F2351" w:rsidP="0032380D">
      <w:r>
        <w:continuationSeparator/>
      </w:r>
    </w:p>
  </w:footnote>
  <w:footnote w:id="1">
    <w:p w:rsidR="008C7DEC" w:rsidRDefault="008C7DEC" w:rsidP="0032380D">
      <w:pPr>
        <w:pStyle w:val="Textpoznpodarou"/>
      </w:pPr>
      <w:r w:rsidRPr="00E9532F">
        <w:rPr>
          <w:rStyle w:val="Znakapoznpodarou"/>
        </w:rPr>
        <w:t>4)</w:t>
      </w:r>
      <w:r w:rsidRPr="00E9532F">
        <w:t xml:space="preserve"> </w:t>
      </w:r>
      <w:r w:rsidRPr="00E9532F">
        <w:tab/>
      </w:r>
      <w:r w:rsidRPr="004E2D35">
        <w:t xml:space="preserve">Sdělení ČSÚ č. </w:t>
      </w:r>
      <w:r>
        <w:t>xxx/</w:t>
      </w:r>
      <w:r w:rsidRPr="004E2D35">
        <w:t>201</w:t>
      </w:r>
      <w:r>
        <w:t>4</w:t>
      </w:r>
      <w:r w:rsidRPr="004E2D35">
        <w:t xml:space="preserve"> Sb., o aktualizaci</w:t>
      </w:r>
      <w:r w:rsidRPr="00E9532F">
        <w:t xml:space="preserve"> Klasifikace hospitalizovaných pacientů (IR-DRG).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18D0"/>
    <w:multiLevelType w:val="multilevel"/>
    <w:tmpl w:val="74EAC106"/>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7480886"/>
    <w:multiLevelType w:val="hybridMultilevel"/>
    <w:tmpl w:val="241CCB2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4160B3"/>
    <w:multiLevelType w:val="multilevel"/>
    <w:tmpl w:val="4762F120"/>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017791D"/>
    <w:multiLevelType w:val="hybridMultilevel"/>
    <w:tmpl w:val="407EA480"/>
    <w:lvl w:ilvl="0" w:tplc="64A0A3F4">
      <w:start w:val="1"/>
      <w:numFmt w:val="lowerLetter"/>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nsid w:val="10E715AB"/>
    <w:multiLevelType w:val="multilevel"/>
    <w:tmpl w:val="DE9459C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C1E25"/>
    <w:multiLevelType w:val="hybridMultilevel"/>
    <w:tmpl w:val="33C6B24E"/>
    <w:lvl w:ilvl="0" w:tplc="F398CC44">
      <w:start w:val="1"/>
      <w:numFmt w:val="lowerLetter"/>
      <w:lvlText w:val="%1)"/>
      <w:lvlJc w:val="left"/>
      <w:pPr>
        <w:tabs>
          <w:tab w:val="num" w:pos="525"/>
        </w:tabs>
        <w:ind w:left="525" w:hanging="360"/>
      </w:pPr>
      <w:rPr>
        <w:rFonts w:cs="Times New Roman" w:hint="default"/>
        <w:b w:val="0"/>
        <w:u w:val="none"/>
      </w:rPr>
    </w:lvl>
    <w:lvl w:ilvl="1" w:tplc="04050019" w:tentative="1">
      <w:start w:val="1"/>
      <w:numFmt w:val="lowerLetter"/>
      <w:lvlText w:val="%2."/>
      <w:lvlJc w:val="left"/>
      <w:pPr>
        <w:tabs>
          <w:tab w:val="num" w:pos="1245"/>
        </w:tabs>
        <w:ind w:left="1245" w:hanging="360"/>
      </w:pPr>
      <w:rPr>
        <w:rFonts w:cs="Times New Roman"/>
      </w:rPr>
    </w:lvl>
    <w:lvl w:ilvl="2" w:tplc="0405001B" w:tentative="1">
      <w:start w:val="1"/>
      <w:numFmt w:val="lowerRoman"/>
      <w:lvlText w:val="%3."/>
      <w:lvlJc w:val="right"/>
      <w:pPr>
        <w:tabs>
          <w:tab w:val="num" w:pos="1965"/>
        </w:tabs>
        <w:ind w:left="1965" w:hanging="180"/>
      </w:pPr>
      <w:rPr>
        <w:rFonts w:cs="Times New Roman"/>
      </w:rPr>
    </w:lvl>
    <w:lvl w:ilvl="3" w:tplc="0405000F" w:tentative="1">
      <w:start w:val="1"/>
      <w:numFmt w:val="decimal"/>
      <w:lvlText w:val="%4."/>
      <w:lvlJc w:val="left"/>
      <w:pPr>
        <w:tabs>
          <w:tab w:val="num" w:pos="2685"/>
        </w:tabs>
        <w:ind w:left="2685" w:hanging="360"/>
      </w:pPr>
      <w:rPr>
        <w:rFonts w:cs="Times New Roman"/>
      </w:rPr>
    </w:lvl>
    <w:lvl w:ilvl="4" w:tplc="04050019" w:tentative="1">
      <w:start w:val="1"/>
      <w:numFmt w:val="lowerLetter"/>
      <w:lvlText w:val="%5."/>
      <w:lvlJc w:val="left"/>
      <w:pPr>
        <w:tabs>
          <w:tab w:val="num" w:pos="3405"/>
        </w:tabs>
        <w:ind w:left="3405" w:hanging="360"/>
      </w:pPr>
      <w:rPr>
        <w:rFonts w:cs="Times New Roman"/>
      </w:rPr>
    </w:lvl>
    <w:lvl w:ilvl="5" w:tplc="0405001B" w:tentative="1">
      <w:start w:val="1"/>
      <w:numFmt w:val="lowerRoman"/>
      <w:lvlText w:val="%6."/>
      <w:lvlJc w:val="right"/>
      <w:pPr>
        <w:tabs>
          <w:tab w:val="num" w:pos="4125"/>
        </w:tabs>
        <w:ind w:left="4125" w:hanging="180"/>
      </w:pPr>
      <w:rPr>
        <w:rFonts w:cs="Times New Roman"/>
      </w:rPr>
    </w:lvl>
    <w:lvl w:ilvl="6" w:tplc="0405000F" w:tentative="1">
      <w:start w:val="1"/>
      <w:numFmt w:val="decimal"/>
      <w:lvlText w:val="%7."/>
      <w:lvlJc w:val="left"/>
      <w:pPr>
        <w:tabs>
          <w:tab w:val="num" w:pos="4845"/>
        </w:tabs>
        <w:ind w:left="4845" w:hanging="360"/>
      </w:pPr>
      <w:rPr>
        <w:rFonts w:cs="Times New Roman"/>
      </w:rPr>
    </w:lvl>
    <w:lvl w:ilvl="7" w:tplc="04050019" w:tentative="1">
      <w:start w:val="1"/>
      <w:numFmt w:val="lowerLetter"/>
      <w:lvlText w:val="%8."/>
      <w:lvlJc w:val="left"/>
      <w:pPr>
        <w:tabs>
          <w:tab w:val="num" w:pos="5565"/>
        </w:tabs>
        <w:ind w:left="5565" w:hanging="360"/>
      </w:pPr>
      <w:rPr>
        <w:rFonts w:cs="Times New Roman"/>
      </w:rPr>
    </w:lvl>
    <w:lvl w:ilvl="8" w:tplc="0405001B" w:tentative="1">
      <w:start w:val="1"/>
      <w:numFmt w:val="lowerRoman"/>
      <w:lvlText w:val="%9."/>
      <w:lvlJc w:val="right"/>
      <w:pPr>
        <w:tabs>
          <w:tab w:val="num" w:pos="6285"/>
        </w:tabs>
        <w:ind w:left="6285" w:hanging="180"/>
      </w:pPr>
      <w:rPr>
        <w:rFonts w:cs="Times New Roman"/>
      </w:rPr>
    </w:lvl>
  </w:abstractNum>
  <w:abstractNum w:abstractNumId="6">
    <w:nsid w:val="18D90166"/>
    <w:multiLevelType w:val="multilevel"/>
    <w:tmpl w:val="867A5D6A"/>
    <w:lvl w:ilvl="0">
      <w:start w:val="4"/>
      <w:numFmt w:val="decimal"/>
      <w:lvlText w:val="%1."/>
      <w:lvlJc w:val="left"/>
      <w:pPr>
        <w:ind w:left="480" w:hanging="480"/>
      </w:pPr>
      <w:rPr>
        <w:rFonts w:hint="default"/>
      </w:rPr>
    </w:lvl>
    <w:lvl w:ilvl="1">
      <w:start w:val="1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9254975"/>
    <w:multiLevelType w:val="multilevel"/>
    <w:tmpl w:val="C4F816C2"/>
    <w:lvl w:ilvl="0">
      <w:start w:val="1"/>
      <w:numFmt w:val="decimal"/>
      <w:isLgl/>
      <w:lvlText w:val="(%1)"/>
      <w:lvlJc w:val="left"/>
      <w:pPr>
        <w:tabs>
          <w:tab w:val="num" w:pos="782"/>
        </w:tabs>
        <w:ind w:left="0" w:firstLine="425"/>
      </w:pPr>
      <w:rPr>
        <w:rFonts w:cs="Times New Roman" w:hint="default"/>
      </w:rPr>
    </w:lvl>
    <w:lvl w:ilvl="1">
      <w:start w:val="5"/>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9">
    <w:nsid w:val="1B39133A"/>
    <w:multiLevelType w:val="hybridMultilevel"/>
    <w:tmpl w:val="B3545254"/>
    <w:lvl w:ilvl="0" w:tplc="F51E37F4">
      <w:start w:val="1"/>
      <w:numFmt w:val="lowerLetter"/>
      <w:pStyle w:val="Odra"/>
      <w:lvlText w:val="%1)"/>
      <w:lvlJc w:val="left"/>
      <w:pPr>
        <w:ind w:left="1495"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DB325CB"/>
    <w:multiLevelType w:val="multilevel"/>
    <w:tmpl w:val="A216CF3E"/>
    <w:lvl w:ilvl="0">
      <w:start w:val="4"/>
      <w:numFmt w:val="decimal"/>
      <w:lvlText w:val="%1."/>
      <w:lvlJc w:val="left"/>
      <w:pPr>
        <w:tabs>
          <w:tab w:val="num" w:pos="360"/>
        </w:tabs>
        <w:ind w:left="360" w:hanging="360"/>
      </w:pPr>
      <w:rPr>
        <w:rFonts w:cs="Times New Roman" w:hint="default"/>
      </w:rPr>
    </w:lvl>
    <w:lvl w:ilvl="1">
      <w:start w:val="4"/>
      <w:numFmt w:val="decimal"/>
      <w:lvlText w:val="%2.1"/>
      <w:lvlJc w:val="left"/>
      <w:pPr>
        <w:tabs>
          <w:tab w:val="num" w:pos="432"/>
        </w:tabs>
        <w:ind w:left="432" w:hanging="432"/>
      </w:pPr>
      <w:rPr>
        <w:rFonts w:hint="default"/>
        <w:strike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1E597D7B"/>
    <w:multiLevelType w:val="multilevel"/>
    <w:tmpl w:val="8E8C29C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22861851"/>
    <w:multiLevelType w:val="hybridMultilevel"/>
    <w:tmpl w:val="272633C0"/>
    <w:lvl w:ilvl="0" w:tplc="BC50DC90">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2B40C1A"/>
    <w:multiLevelType w:val="hybridMultilevel"/>
    <w:tmpl w:val="32041006"/>
    <w:lvl w:ilvl="0" w:tplc="EFBEE5EC">
      <w:start w:val="4"/>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29474D21"/>
    <w:multiLevelType w:val="multilevel"/>
    <w:tmpl w:val="838E61D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5">
    <w:nsid w:val="2DF30A2C"/>
    <w:multiLevelType w:val="multilevel"/>
    <w:tmpl w:val="7A2081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2E147BDB"/>
    <w:multiLevelType w:val="multilevel"/>
    <w:tmpl w:val="B2A88B1C"/>
    <w:lvl w:ilvl="0">
      <w:start w:val="1"/>
      <w:numFmt w:val="decimal"/>
      <w:isLgl/>
      <w:lvlText w:val="(%1)"/>
      <w:lvlJc w:val="left"/>
      <w:pPr>
        <w:tabs>
          <w:tab w:val="num" w:pos="782"/>
        </w:tabs>
        <w:ind w:firstLine="425"/>
      </w:pPr>
      <w:rPr>
        <w:rFonts w:cs="Times New Roman" w:hint="default"/>
      </w:rPr>
    </w:lvl>
    <w:lvl w:ilvl="1">
      <w:start w:val="1"/>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2E5D5B20"/>
    <w:multiLevelType w:val="multilevel"/>
    <w:tmpl w:val="226015A2"/>
    <w:lvl w:ilvl="0">
      <w:start w:val="3"/>
      <w:numFmt w:val="decimal"/>
      <w:lvlText w:val="%1."/>
      <w:lvlJc w:val="left"/>
      <w:pPr>
        <w:tabs>
          <w:tab w:val="num" w:pos="0"/>
        </w:tabs>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nsid w:val="30C11DBB"/>
    <w:multiLevelType w:val="multilevel"/>
    <w:tmpl w:val="74EAC106"/>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319A2D40"/>
    <w:multiLevelType w:val="hybridMultilevel"/>
    <w:tmpl w:val="7D22E5F8"/>
    <w:lvl w:ilvl="0" w:tplc="64A0A3F4">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0">
    <w:nsid w:val="32DB3D55"/>
    <w:multiLevelType w:val="hybridMultilevel"/>
    <w:tmpl w:val="B2FCED36"/>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1">
    <w:nsid w:val="337E2312"/>
    <w:multiLevelType w:val="multilevel"/>
    <w:tmpl w:val="DF7890DA"/>
    <w:lvl w:ilvl="0">
      <w:start w:val="3"/>
      <w:numFmt w:val="decimal"/>
      <w:isLgl/>
      <w:lvlText w:val="(%1)"/>
      <w:lvlJc w:val="left"/>
      <w:pPr>
        <w:tabs>
          <w:tab w:val="num" w:pos="782"/>
        </w:tabs>
        <w:ind w:left="0" w:firstLine="425"/>
      </w:pPr>
      <w:rPr>
        <w:rFonts w:cs="Times New Roman" w:hint="default"/>
      </w:rPr>
    </w:lvl>
    <w:lvl w:ilvl="1">
      <w:start w:val="3"/>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7737ECC"/>
    <w:multiLevelType w:val="multilevel"/>
    <w:tmpl w:val="B8BC9102"/>
    <w:lvl w:ilvl="0">
      <w:start w:val="2"/>
      <w:numFmt w:val="decimal"/>
      <w:lvlText w:val="%1"/>
      <w:lvlJc w:val="left"/>
      <w:pPr>
        <w:tabs>
          <w:tab w:val="num" w:pos="360"/>
        </w:tabs>
        <w:ind w:left="360" w:hanging="360"/>
      </w:pPr>
      <w:rPr>
        <w:rFonts w:cs="Times New Roman" w:hint="default"/>
      </w:rPr>
    </w:lvl>
    <w:lvl w:ilvl="1">
      <w:start w:val="2"/>
      <w:numFmt w:val="decimal"/>
      <w:lvlText w:val="2.%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23">
    <w:nsid w:val="3B8E70A5"/>
    <w:multiLevelType w:val="hybridMultilevel"/>
    <w:tmpl w:val="8822002A"/>
    <w:lvl w:ilvl="0" w:tplc="3E28E4F0">
      <w:start w:val="2"/>
      <w:numFmt w:val="lowerLetter"/>
      <w:lvlText w:val="%1)"/>
      <w:lvlJc w:val="left"/>
      <w:pPr>
        <w:tabs>
          <w:tab w:val="num" w:pos="1065"/>
        </w:tabs>
        <w:ind w:left="1065" w:hanging="705"/>
      </w:pPr>
      <w:rPr>
        <w:rFonts w:cs="Times New Roman" w:hint="default"/>
      </w:rPr>
    </w:lvl>
    <w:lvl w:ilvl="1" w:tplc="1D6651C0">
      <w:start w:val="1"/>
      <w:numFmt w:val="upperLetter"/>
      <w:lvlText w:val="%2)"/>
      <w:lvlJc w:val="left"/>
      <w:pPr>
        <w:tabs>
          <w:tab w:val="num" w:pos="1440"/>
        </w:tabs>
        <w:ind w:left="1440" w:hanging="360"/>
      </w:pPr>
      <w:rPr>
        <w:rFonts w:cs="Times New Roman" w:hint="default"/>
      </w:rPr>
    </w:lvl>
    <w:lvl w:ilvl="2" w:tplc="4ED468DA">
      <w:start w:val="4"/>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3BE214BF"/>
    <w:multiLevelType w:val="multilevel"/>
    <w:tmpl w:val="79E6FC48"/>
    <w:lvl w:ilvl="0">
      <w:start w:val="4"/>
      <w:numFmt w:val="decimal"/>
      <w:lvlText w:val="%1."/>
      <w:lvlJc w:val="left"/>
      <w:pPr>
        <w:tabs>
          <w:tab w:val="num" w:pos="360"/>
        </w:tabs>
        <w:ind w:left="360" w:hanging="360"/>
      </w:pPr>
      <w:rPr>
        <w:rFonts w:cs="Times New Roman" w:hint="default"/>
      </w:rPr>
    </w:lvl>
    <w:lvl w:ilvl="1">
      <w:start w:val="3"/>
      <w:numFmt w:val="decimal"/>
      <w:lvlText w:val="%2.1"/>
      <w:lvlJc w:val="left"/>
      <w:pPr>
        <w:tabs>
          <w:tab w:val="num" w:pos="432"/>
        </w:tabs>
        <w:ind w:left="432" w:hanging="432"/>
      </w:pPr>
      <w:rPr>
        <w:rFonts w:hint="default"/>
        <w:strike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26">
    <w:nsid w:val="51BF4979"/>
    <w:multiLevelType w:val="hybridMultilevel"/>
    <w:tmpl w:val="B2FCED36"/>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7">
    <w:nsid w:val="52B939BA"/>
    <w:multiLevelType w:val="multilevel"/>
    <w:tmpl w:val="BB60DBA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52DB7151"/>
    <w:multiLevelType w:val="hybridMultilevel"/>
    <w:tmpl w:val="B6B025FA"/>
    <w:lvl w:ilvl="0" w:tplc="EF94844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A9A1846"/>
    <w:multiLevelType w:val="multilevel"/>
    <w:tmpl w:val="4C92E454"/>
    <w:lvl w:ilvl="0">
      <w:start w:val="4"/>
      <w:numFmt w:val="decimal"/>
      <w:lvlText w:val="%1."/>
      <w:lvlJc w:val="left"/>
      <w:pPr>
        <w:tabs>
          <w:tab w:val="num" w:pos="360"/>
        </w:tabs>
        <w:ind w:left="360" w:hanging="360"/>
      </w:pPr>
      <w:rPr>
        <w:rFonts w:cs="Times New Roman" w:hint="default"/>
      </w:rPr>
    </w:lvl>
    <w:lvl w:ilvl="1">
      <w:start w:val="4"/>
      <w:numFmt w:val="decimal"/>
      <w:lvlText w:val="%2.2"/>
      <w:lvlJc w:val="left"/>
      <w:pPr>
        <w:tabs>
          <w:tab w:val="num" w:pos="432"/>
        </w:tabs>
        <w:ind w:left="432" w:hanging="432"/>
      </w:pPr>
      <w:rPr>
        <w:rFonts w:hint="default"/>
        <w:strike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5B052694"/>
    <w:multiLevelType w:val="multilevel"/>
    <w:tmpl w:val="D06AF112"/>
    <w:lvl w:ilvl="0">
      <w:start w:val="3"/>
      <w:numFmt w:val="decimal"/>
      <w:lvlText w:val="%1."/>
      <w:lvlJc w:val="left"/>
      <w:pPr>
        <w:tabs>
          <w:tab w:val="num" w:pos="0"/>
        </w:tabs>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
    <w:nsid w:val="5DF37B87"/>
    <w:multiLevelType w:val="hybridMultilevel"/>
    <w:tmpl w:val="5D526F50"/>
    <w:lvl w:ilvl="0" w:tplc="7464C0A0">
      <w:start w:val="1"/>
      <w:numFmt w:val="lowerRoman"/>
      <w:pStyle w:val="nazv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06121E9"/>
    <w:multiLevelType w:val="hybridMultilevel"/>
    <w:tmpl w:val="8A4C2B8E"/>
    <w:lvl w:ilvl="0" w:tplc="956CD1EA">
      <w:start w:val="3"/>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60816FA6"/>
    <w:multiLevelType w:val="hybridMultilevel"/>
    <w:tmpl w:val="8FB46A24"/>
    <w:lvl w:ilvl="0" w:tplc="B4885C1E">
      <w:start w:val="3"/>
      <w:numFmt w:val="decimal"/>
      <w:lvlText w:val="%1.2"/>
      <w:lvlJc w:val="left"/>
      <w:pPr>
        <w:ind w:left="107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4">
    <w:nsid w:val="695707D3"/>
    <w:multiLevelType w:val="hybridMultilevel"/>
    <w:tmpl w:val="644E9BF8"/>
    <w:lvl w:ilvl="0" w:tplc="05DAD5CE">
      <w:start w:val="1"/>
      <w:numFmt w:val="decimal"/>
      <w:lvlText w:val="%1."/>
      <w:lvlJc w:val="left"/>
      <w:pPr>
        <w:tabs>
          <w:tab w:val="num" w:pos="2062"/>
        </w:tabs>
        <w:ind w:left="2062"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6AAF1A1F"/>
    <w:multiLevelType w:val="multilevel"/>
    <w:tmpl w:val="06EC0EE6"/>
    <w:lvl w:ilvl="0">
      <w:start w:val="4"/>
      <w:numFmt w:val="decimal"/>
      <w:pStyle w:val="Textodstavce"/>
      <w:isLgl/>
      <w:lvlText w:val="(%1)"/>
      <w:lvlJc w:val="left"/>
      <w:pPr>
        <w:tabs>
          <w:tab w:val="num" w:pos="785"/>
        </w:tabs>
        <w:ind w:left="0"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pStyle w:val="Textbodu"/>
      <w:isLgl/>
      <w:lvlText w:val="%3."/>
      <w:lvlJc w:val="left"/>
      <w:pPr>
        <w:tabs>
          <w:tab w:val="num" w:pos="851"/>
        </w:tabs>
        <w:ind w:left="851" w:hanging="42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6">
    <w:nsid w:val="6DDE39FE"/>
    <w:multiLevelType w:val="multilevel"/>
    <w:tmpl w:val="7A2081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38">
    <w:nsid w:val="6FD16BB4"/>
    <w:multiLevelType w:val="multilevel"/>
    <w:tmpl w:val="7A2081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757B3213"/>
    <w:multiLevelType w:val="hybridMultilevel"/>
    <w:tmpl w:val="01F8D81A"/>
    <w:lvl w:ilvl="0" w:tplc="DDAC8822">
      <w:start w:val="1"/>
      <w:numFmt w:val="lowerRoman"/>
      <w:lvlText w:val="(%1)"/>
      <w:lvlJc w:val="left"/>
      <w:pPr>
        <w:ind w:left="1146" w:hanging="360"/>
      </w:pPr>
      <w:rPr>
        <w:rFonts w:ascii="Times New Roman" w:eastAsia="Times New Roman" w:hAnsi="Times New Roman" w:cs="Times New Roman"/>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0">
    <w:nsid w:val="7A782B0D"/>
    <w:multiLevelType w:val="hybridMultilevel"/>
    <w:tmpl w:val="57D031CC"/>
    <w:lvl w:ilvl="0" w:tplc="168A10F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566717"/>
    <w:multiLevelType w:val="hybridMultilevel"/>
    <w:tmpl w:val="3DD453D6"/>
    <w:lvl w:ilvl="0" w:tplc="0405000B">
      <w:start w:val="1"/>
      <w:numFmt w:val="bullet"/>
      <w:lvlText w:val=""/>
      <w:lvlJc w:val="left"/>
      <w:pPr>
        <w:ind w:left="1483" w:hanging="360"/>
      </w:pPr>
      <w:rPr>
        <w:rFonts w:ascii="Wingdings" w:hAnsi="Wingdings" w:hint="default"/>
      </w:rPr>
    </w:lvl>
    <w:lvl w:ilvl="1" w:tplc="04050003" w:tentative="1">
      <w:start w:val="1"/>
      <w:numFmt w:val="bullet"/>
      <w:lvlText w:val="o"/>
      <w:lvlJc w:val="left"/>
      <w:pPr>
        <w:ind w:left="2203" w:hanging="360"/>
      </w:pPr>
      <w:rPr>
        <w:rFonts w:ascii="Courier New" w:hAnsi="Courier New" w:cs="Courier New" w:hint="default"/>
      </w:rPr>
    </w:lvl>
    <w:lvl w:ilvl="2" w:tplc="04050005" w:tentative="1">
      <w:start w:val="1"/>
      <w:numFmt w:val="bullet"/>
      <w:lvlText w:val=""/>
      <w:lvlJc w:val="left"/>
      <w:pPr>
        <w:ind w:left="2923" w:hanging="360"/>
      </w:pPr>
      <w:rPr>
        <w:rFonts w:ascii="Wingdings" w:hAnsi="Wingdings" w:hint="default"/>
      </w:rPr>
    </w:lvl>
    <w:lvl w:ilvl="3" w:tplc="04050001" w:tentative="1">
      <w:start w:val="1"/>
      <w:numFmt w:val="bullet"/>
      <w:lvlText w:val=""/>
      <w:lvlJc w:val="left"/>
      <w:pPr>
        <w:ind w:left="3643" w:hanging="360"/>
      </w:pPr>
      <w:rPr>
        <w:rFonts w:ascii="Symbol" w:hAnsi="Symbol" w:hint="default"/>
      </w:rPr>
    </w:lvl>
    <w:lvl w:ilvl="4" w:tplc="04050003" w:tentative="1">
      <w:start w:val="1"/>
      <w:numFmt w:val="bullet"/>
      <w:lvlText w:val="o"/>
      <w:lvlJc w:val="left"/>
      <w:pPr>
        <w:ind w:left="4363" w:hanging="360"/>
      </w:pPr>
      <w:rPr>
        <w:rFonts w:ascii="Courier New" w:hAnsi="Courier New" w:cs="Courier New" w:hint="default"/>
      </w:rPr>
    </w:lvl>
    <w:lvl w:ilvl="5" w:tplc="04050005" w:tentative="1">
      <w:start w:val="1"/>
      <w:numFmt w:val="bullet"/>
      <w:lvlText w:val=""/>
      <w:lvlJc w:val="left"/>
      <w:pPr>
        <w:ind w:left="5083" w:hanging="360"/>
      </w:pPr>
      <w:rPr>
        <w:rFonts w:ascii="Wingdings" w:hAnsi="Wingdings" w:hint="default"/>
      </w:rPr>
    </w:lvl>
    <w:lvl w:ilvl="6" w:tplc="04050001" w:tentative="1">
      <w:start w:val="1"/>
      <w:numFmt w:val="bullet"/>
      <w:lvlText w:val=""/>
      <w:lvlJc w:val="left"/>
      <w:pPr>
        <w:ind w:left="5803" w:hanging="360"/>
      </w:pPr>
      <w:rPr>
        <w:rFonts w:ascii="Symbol" w:hAnsi="Symbol" w:hint="default"/>
      </w:rPr>
    </w:lvl>
    <w:lvl w:ilvl="7" w:tplc="04050003" w:tentative="1">
      <w:start w:val="1"/>
      <w:numFmt w:val="bullet"/>
      <w:lvlText w:val="o"/>
      <w:lvlJc w:val="left"/>
      <w:pPr>
        <w:ind w:left="6523" w:hanging="360"/>
      </w:pPr>
      <w:rPr>
        <w:rFonts w:ascii="Courier New" w:hAnsi="Courier New" w:cs="Courier New" w:hint="default"/>
      </w:rPr>
    </w:lvl>
    <w:lvl w:ilvl="8" w:tplc="04050005" w:tentative="1">
      <w:start w:val="1"/>
      <w:numFmt w:val="bullet"/>
      <w:lvlText w:val=""/>
      <w:lvlJc w:val="left"/>
      <w:pPr>
        <w:ind w:left="7243" w:hanging="360"/>
      </w:pPr>
      <w:rPr>
        <w:rFonts w:ascii="Wingdings" w:hAnsi="Wingdings" w:hint="default"/>
      </w:rPr>
    </w:lvl>
  </w:abstractNum>
  <w:abstractNum w:abstractNumId="42">
    <w:nsid w:val="7BB77BB3"/>
    <w:multiLevelType w:val="hybridMultilevel"/>
    <w:tmpl w:val="1C184CA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3">
    <w:nsid w:val="7E067C00"/>
    <w:multiLevelType w:val="hybridMultilevel"/>
    <w:tmpl w:val="A86EFC10"/>
    <w:lvl w:ilvl="0" w:tplc="3378E8C6">
      <w:start w:val="2"/>
      <w:numFmt w:val="decimal"/>
      <w:lvlText w:val="%1."/>
      <w:lvlJc w:val="left"/>
      <w:pPr>
        <w:tabs>
          <w:tab w:val="num" w:pos="2062"/>
        </w:tabs>
        <w:ind w:left="2062"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nsid w:val="7E572A5C"/>
    <w:multiLevelType w:val="multilevel"/>
    <w:tmpl w:val="9EC68828"/>
    <w:lvl w:ilvl="0">
      <w:start w:val="4"/>
      <w:numFmt w:val="decimal"/>
      <w:lvlText w:val="%1."/>
      <w:lvlJc w:val="left"/>
      <w:pPr>
        <w:tabs>
          <w:tab w:val="num" w:pos="360"/>
        </w:tabs>
        <w:ind w:left="360" w:hanging="360"/>
      </w:pPr>
      <w:rPr>
        <w:rFonts w:cs="Times New Roman" w:hint="default"/>
      </w:rPr>
    </w:lvl>
    <w:lvl w:ilvl="1">
      <w:start w:val="4"/>
      <w:numFmt w:val="decimal"/>
      <w:lvlText w:val="%2.2"/>
      <w:lvlJc w:val="left"/>
      <w:pPr>
        <w:tabs>
          <w:tab w:val="num" w:pos="432"/>
        </w:tabs>
        <w:ind w:left="432" w:hanging="432"/>
      </w:pPr>
      <w:rPr>
        <w:rFonts w:hint="default"/>
        <w:strike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8"/>
  </w:num>
  <w:num w:numId="2">
    <w:abstractNumId w:val="23"/>
  </w:num>
  <w:num w:numId="3">
    <w:abstractNumId w:val="15"/>
  </w:num>
  <w:num w:numId="4">
    <w:abstractNumId w:val="2"/>
  </w:num>
  <w:num w:numId="5">
    <w:abstractNumId w:val="35"/>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0"/>
  </w:num>
  <w:num w:numId="9">
    <w:abstractNumId w:val="24"/>
  </w:num>
  <w:num w:numId="10">
    <w:abstractNumId w:val="36"/>
  </w:num>
  <w:num w:numId="11">
    <w:abstractNumId w:val="43"/>
  </w:num>
  <w:num w:numId="12">
    <w:abstractNumId w:val="5"/>
  </w:num>
  <w:num w:numId="13">
    <w:abstractNumId w:val="34"/>
  </w:num>
  <w:num w:numId="14">
    <w:abstractNumId w:val="7"/>
  </w:num>
  <w:num w:numId="15">
    <w:abstractNumId w:val="37"/>
  </w:num>
  <w:num w:numId="16">
    <w:abstractNumId w:val="25"/>
  </w:num>
  <w:num w:numId="17">
    <w:abstractNumId w:val="38"/>
  </w:num>
  <w:num w:numId="18">
    <w:abstractNumId w:val="17"/>
  </w:num>
  <w:num w:numId="19">
    <w:abstractNumId w:val="19"/>
  </w:num>
  <w:num w:numId="20">
    <w:abstractNumId w:val="16"/>
  </w:num>
  <w:num w:numId="21">
    <w:abstractNumId w:val="21"/>
  </w:num>
  <w:num w:numId="22">
    <w:abstractNumId w:val="31"/>
  </w:num>
  <w:num w:numId="23">
    <w:abstractNumId w:val="26"/>
  </w:num>
  <w:num w:numId="24">
    <w:abstractNumId w:val="32"/>
  </w:num>
  <w:num w:numId="25">
    <w:abstractNumId w:val="33"/>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num>
  <w:num w:numId="29">
    <w:abstractNumId w:val="10"/>
  </w:num>
  <w:num w:numId="30">
    <w:abstractNumId w:val="29"/>
  </w:num>
  <w:num w:numId="31">
    <w:abstractNumId w:val="35"/>
  </w:num>
  <w:num w:numId="32">
    <w:abstractNumId w:val="44"/>
  </w:num>
  <w:num w:numId="33">
    <w:abstractNumId w:val="4"/>
  </w:num>
  <w:num w:numId="34">
    <w:abstractNumId w:val="40"/>
  </w:num>
  <w:num w:numId="35">
    <w:abstractNumId w:val="39"/>
  </w:num>
  <w:num w:numId="36">
    <w:abstractNumId w:val="14"/>
  </w:num>
  <w:num w:numId="37">
    <w:abstractNumId w:val="6"/>
  </w:num>
  <w:num w:numId="38">
    <w:abstractNumId w:val="42"/>
  </w:num>
  <w:num w:numId="39">
    <w:abstractNumId w:val="1"/>
  </w:num>
  <w:num w:numId="40">
    <w:abstractNumId w:val="28"/>
  </w:num>
  <w:num w:numId="41">
    <w:abstractNumId w:val="41"/>
  </w:num>
  <w:num w:numId="42">
    <w:abstractNumId w:val="12"/>
  </w:num>
  <w:num w:numId="43">
    <w:abstractNumId w:val="13"/>
  </w:num>
  <w:num w:numId="44">
    <w:abstractNumId w:val="20"/>
  </w:num>
  <w:num w:numId="45">
    <w:abstractNumId w:val="3"/>
  </w:num>
  <w:num w:numId="46">
    <w:abstractNumId w:val="18"/>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2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2380D"/>
    <w:rsid w:val="00040A78"/>
    <w:rsid w:val="00041A01"/>
    <w:rsid w:val="00045A4C"/>
    <w:rsid w:val="0004685D"/>
    <w:rsid w:val="00065EA0"/>
    <w:rsid w:val="00071AFD"/>
    <w:rsid w:val="00096229"/>
    <w:rsid w:val="000A2830"/>
    <w:rsid w:val="00142C8D"/>
    <w:rsid w:val="0015618F"/>
    <w:rsid w:val="0019157F"/>
    <w:rsid w:val="001979E6"/>
    <w:rsid w:val="001B6EB7"/>
    <w:rsid w:val="001C2855"/>
    <w:rsid w:val="001E111D"/>
    <w:rsid w:val="001E4C72"/>
    <w:rsid w:val="00241D8C"/>
    <w:rsid w:val="002476E7"/>
    <w:rsid w:val="0027384E"/>
    <w:rsid w:val="002853D4"/>
    <w:rsid w:val="0028663A"/>
    <w:rsid w:val="00290A2F"/>
    <w:rsid w:val="002D65C6"/>
    <w:rsid w:val="002E69FD"/>
    <w:rsid w:val="002F6B42"/>
    <w:rsid w:val="0032380D"/>
    <w:rsid w:val="003A59E4"/>
    <w:rsid w:val="003C2BD0"/>
    <w:rsid w:val="003F0238"/>
    <w:rsid w:val="003F2351"/>
    <w:rsid w:val="004065AD"/>
    <w:rsid w:val="0041269B"/>
    <w:rsid w:val="004142FD"/>
    <w:rsid w:val="004A034E"/>
    <w:rsid w:val="004A6637"/>
    <w:rsid w:val="004A686B"/>
    <w:rsid w:val="004D59A2"/>
    <w:rsid w:val="004F6D58"/>
    <w:rsid w:val="00512017"/>
    <w:rsid w:val="00530AD3"/>
    <w:rsid w:val="005347E2"/>
    <w:rsid w:val="005671A6"/>
    <w:rsid w:val="005703B1"/>
    <w:rsid w:val="005B5717"/>
    <w:rsid w:val="005C4792"/>
    <w:rsid w:val="005F250C"/>
    <w:rsid w:val="00625557"/>
    <w:rsid w:val="00680673"/>
    <w:rsid w:val="006B0C17"/>
    <w:rsid w:val="006B6439"/>
    <w:rsid w:val="006C34B6"/>
    <w:rsid w:val="006E19D8"/>
    <w:rsid w:val="006E4E2A"/>
    <w:rsid w:val="006F4BE8"/>
    <w:rsid w:val="00703D25"/>
    <w:rsid w:val="00727303"/>
    <w:rsid w:val="00745A78"/>
    <w:rsid w:val="00750AA5"/>
    <w:rsid w:val="007C40A6"/>
    <w:rsid w:val="007D6852"/>
    <w:rsid w:val="007E1DA2"/>
    <w:rsid w:val="007E3D02"/>
    <w:rsid w:val="007F03C2"/>
    <w:rsid w:val="007F3CFF"/>
    <w:rsid w:val="007F52A9"/>
    <w:rsid w:val="00803A6D"/>
    <w:rsid w:val="00821AC2"/>
    <w:rsid w:val="008233E1"/>
    <w:rsid w:val="00830F57"/>
    <w:rsid w:val="00835E2A"/>
    <w:rsid w:val="00875A49"/>
    <w:rsid w:val="008C7DEC"/>
    <w:rsid w:val="008D4D0A"/>
    <w:rsid w:val="008E07E6"/>
    <w:rsid w:val="008E222E"/>
    <w:rsid w:val="008E2FCB"/>
    <w:rsid w:val="00937DCF"/>
    <w:rsid w:val="00944204"/>
    <w:rsid w:val="00970936"/>
    <w:rsid w:val="00972B08"/>
    <w:rsid w:val="00993188"/>
    <w:rsid w:val="009A79DC"/>
    <w:rsid w:val="009C757B"/>
    <w:rsid w:val="009D4AD1"/>
    <w:rsid w:val="009D7B07"/>
    <w:rsid w:val="009F3D02"/>
    <w:rsid w:val="00A64605"/>
    <w:rsid w:val="00A77FB4"/>
    <w:rsid w:val="00AA6CFC"/>
    <w:rsid w:val="00AB6276"/>
    <w:rsid w:val="00AC7016"/>
    <w:rsid w:val="00B7788C"/>
    <w:rsid w:val="00BA7F90"/>
    <w:rsid w:val="00BC2B24"/>
    <w:rsid w:val="00C11442"/>
    <w:rsid w:val="00C648CF"/>
    <w:rsid w:val="00C95836"/>
    <w:rsid w:val="00CA22B2"/>
    <w:rsid w:val="00D00FE9"/>
    <w:rsid w:val="00D418F5"/>
    <w:rsid w:val="00D51A7D"/>
    <w:rsid w:val="00D601D3"/>
    <w:rsid w:val="00D67654"/>
    <w:rsid w:val="00D7011F"/>
    <w:rsid w:val="00DC5125"/>
    <w:rsid w:val="00DE6283"/>
    <w:rsid w:val="00E11FE9"/>
    <w:rsid w:val="00E23D81"/>
    <w:rsid w:val="00E25EBE"/>
    <w:rsid w:val="00E32A6A"/>
    <w:rsid w:val="00E500FA"/>
    <w:rsid w:val="00E80CD1"/>
    <w:rsid w:val="00E92D32"/>
    <w:rsid w:val="00ED0CEB"/>
    <w:rsid w:val="00EE7212"/>
    <w:rsid w:val="00FA0E8D"/>
    <w:rsid w:val="00FD766E"/>
    <w:rsid w:val="00FE0784"/>
    <w:rsid w:val="00FE2F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80D"/>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9"/>
    <w:qFormat/>
    <w:rsid w:val="0032380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2380D"/>
    <w:pPr>
      <w:keepNext/>
      <w:ind w:left="851" w:hanging="425"/>
      <w:outlineLvl w:val="1"/>
    </w:pPr>
    <w:rPr>
      <w:rFonts w:ascii="Cambria" w:hAnsi="Cambria"/>
      <w:b/>
      <w:bCs/>
      <w:i/>
      <w:iCs/>
      <w:sz w:val="28"/>
      <w:szCs w:val="28"/>
    </w:rPr>
  </w:style>
  <w:style w:type="paragraph" w:styleId="Nadpis3">
    <w:name w:val="heading 3"/>
    <w:basedOn w:val="Normln"/>
    <w:next w:val="Normln"/>
    <w:link w:val="Nadpis3Char"/>
    <w:uiPriority w:val="99"/>
    <w:qFormat/>
    <w:rsid w:val="0032380D"/>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32380D"/>
    <w:pPr>
      <w:keepNext/>
      <w:tabs>
        <w:tab w:val="num" w:pos="1440"/>
      </w:tabs>
      <w:spacing w:before="240" w:after="60"/>
      <w:ind w:left="1440" w:hanging="360"/>
      <w:outlineLvl w:val="3"/>
    </w:pPr>
    <w:rPr>
      <w:rFonts w:ascii="Calibri" w:hAnsi="Calibri"/>
      <w:b/>
      <w:bCs/>
      <w:sz w:val="28"/>
      <w:szCs w:val="28"/>
    </w:rPr>
  </w:style>
  <w:style w:type="paragraph" w:styleId="Nadpis5">
    <w:name w:val="heading 5"/>
    <w:basedOn w:val="Normln"/>
    <w:next w:val="Normln"/>
    <w:link w:val="Nadpis5Char"/>
    <w:uiPriority w:val="99"/>
    <w:qFormat/>
    <w:rsid w:val="0032380D"/>
    <w:pPr>
      <w:tabs>
        <w:tab w:val="num" w:pos="1800"/>
      </w:tabs>
      <w:spacing w:before="240" w:after="60"/>
      <w:ind w:left="1800" w:hanging="360"/>
      <w:outlineLvl w:val="4"/>
    </w:pPr>
    <w:rPr>
      <w:rFonts w:ascii="Calibri" w:hAnsi="Calibri"/>
      <w:b/>
      <w:bCs/>
      <w:i/>
      <w:iCs/>
      <w:sz w:val="26"/>
      <w:szCs w:val="26"/>
    </w:rPr>
  </w:style>
  <w:style w:type="paragraph" w:styleId="Nadpis6">
    <w:name w:val="heading 6"/>
    <w:basedOn w:val="Normln"/>
    <w:next w:val="Normln"/>
    <w:link w:val="Nadpis6Char"/>
    <w:uiPriority w:val="99"/>
    <w:qFormat/>
    <w:rsid w:val="0032380D"/>
    <w:pPr>
      <w:tabs>
        <w:tab w:val="num" w:pos="2520"/>
      </w:tabs>
      <w:spacing w:before="240" w:after="60"/>
      <w:ind w:left="2160" w:hanging="360"/>
      <w:outlineLvl w:val="5"/>
    </w:pPr>
    <w:rPr>
      <w:rFonts w:ascii="Calibri" w:hAnsi="Calibri"/>
      <w:b/>
      <w:bCs/>
      <w:sz w:val="20"/>
    </w:rPr>
  </w:style>
  <w:style w:type="paragraph" w:styleId="Nadpis7">
    <w:name w:val="heading 7"/>
    <w:basedOn w:val="Normln"/>
    <w:next w:val="Normln"/>
    <w:link w:val="Nadpis7Char"/>
    <w:uiPriority w:val="99"/>
    <w:qFormat/>
    <w:rsid w:val="0032380D"/>
    <w:pPr>
      <w:tabs>
        <w:tab w:val="num" w:pos="2520"/>
      </w:tabs>
      <w:spacing w:before="240" w:after="60"/>
      <w:ind w:left="2520" w:hanging="360"/>
      <w:outlineLvl w:val="6"/>
    </w:pPr>
    <w:rPr>
      <w:rFonts w:ascii="Calibri" w:hAnsi="Calibri"/>
      <w:szCs w:val="24"/>
    </w:rPr>
  </w:style>
  <w:style w:type="paragraph" w:styleId="Nadpis8">
    <w:name w:val="heading 8"/>
    <w:basedOn w:val="Normln"/>
    <w:next w:val="Normln"/>
    <w:link w:val="Nadpis8Char"/>
    <w:uiPriority w:val="99"/>
    <w:qFormat/>
    <w:rsid w:val="0032380D"/>
    <w:pPr>
      <w:tabs>
        <w:tab w:val="num" w:pos="2880"/>
      </w:tabs>
      <w:spacing w:before="240" w:after="60"/>
      <w:ind w:left="2880" w:hanging="360"/>
      <w:outlineLvl w:val="7"/>
    </w:pPr>
    <w:rPr>
      <w:rFonts w:ascii="Calibri" w:hAnsi="Calibri"/>
      <w:i/>
      <w:iCs/>
      <w:szCs w:val="24"/>
    </w:rPr>
  </w:style>
  <w:style w:type="paragraph" w:styleId="Nadpis9">
    <w:name w:val="heading 9"/>
    <w:basedOn w:val="Normln"/>
    <w:next w:val="Normln"/>
    <w:link w:val="Nadpis9Char"/>
    <w:uiPriority w:val="99"/>
    <w:qFormat/>
    <w:rsid w:val="0032380D"/>
    <w:pPr>
      <w:tabs>
        <w:tab w:val="num" w:pos="3600"/>
      </w:tabs>
      <w:spacing w:before="240" w:after="60"/>
      <w:ind w:left="3240" w:hanging="360"/>
      <w:outlineLvl w:val="8"/>
    </w:pPr>
    <w:rPr>
      <w:rFonts w:ascii="Cambria" w:hAnsi="Cambr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2380D"/>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uiPriority w:val="99"/>
    <w:rsid w:val="0032380D"/>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uiPriority w:val="99"/>
    <w:rsid w:val="0032380D"/>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9"/>
    <w:rsid w:val="0032380D"/>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9"/>
    <w:rsid w:val="0032380D"/>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9"/>
    <w:rsid w:val="0032380D"/>
    <w:rPr>
      <w:rFonts w:ascii="Calibri" w:eastAsia="Times New Roman" w:hAnsi="Calibri" w:cs="Times New Roman"/>
      <w:b/>
      <w:bCs/>
      <w:sz w:val="20"/>
      <w:szCs w:val="20"/>
      <w:lang w:eastAsia="cs-CZ"/>
    </w:rPr>
  </w:style>
  <w:style w:type="character" w:customStyle="1" w:styleId="Nadpis7Char">
    <w:name w:val="Nadpis 7 Char"/>
    <w:basedOn w:val="Standardnpsmoodstavce"/>
    <w:link w:val="Nadpis7"/>
    <w:uiPriority w:val="99"/>
    <w:rsid w:val="0032380D"/>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9"/>
    <w:rsid w:val="0032380D"/>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9"/>
    <w:rsid w:val="0032380D"/>
    <w:rPr>
      <w:rFonts w:ascii="Cambria" w:eastAsia="Times New Roman" w:hAnsi="Cambria" w:cs="Times New Roman"/>
      <w:sz w:val="20"/>
      <w:szCs w:val="20"/>
      <w:lang w:eastAsia="cs-CZ"/>
    </w:rPr>
  </w:style>
  <w:style w:type="paragraph" w:styleId="Zhlav">
    <w:name w:val="header"/>
    <w:basedOn w:val="Normln"/>
    <w:link w:val="ZhlavChar"/>
    <w:uiPriority w:val="99"/>
    <w:rsid w:val="0032380D"/>
    <w:pPr>
      <w:tabs>
        <w:tab w:val="center" w:pos="4536"/>
        <w:tab w:val="right" w:pos="9072"/>
      </w:tabs>
    </w:pPr>
    <w:rPr>
      <w:sz w:val="20"/>
    </w:rPr>
  </w:style>
  <w:style w:type="character" w:customStyle="1" w:styleId="ZhlavChar">
    <w:name w:val="Záhlaví Char"/>
    <w:basedOn w:val="Standardnpsmoodstavce"/>
    <w:link w:val="Zhlav"/>
    <w:uiPriority w:val="99"/>
    <w:rsid w:val="0032380D"/>
    <w:rPr>
      <w:rFonts w:ascii="Times New Roman" w:eastAsia="Times New Roman" w:hAnsi="Times New Roman" w:cs="Times New Roman"/>
      <w:sz w:val="20"/>
      <w:szCs w:val="20"/>
      <w:lang w:eastAsia="cs-CZ"/>
    </w:rPr>
  </w:style>
  <w:style w:type="paragraph" w:customStyle="1" w:styleId="Textparagrafu">
    <w:name w:val="Text paragrafu"/>
    <w:basedOn w:val="Normln"/>
    <w:uiPriority w:val="99"/>
    <w:rsid w:val="0032380D"/>
    <w:pPr>
      <w:spacing w:before="240"/>
      <w:ind w:firstLine="425"/>
      <w:outlineLvl w:val="5"/>
    </w:pPr>
  </w:style>
  <w:style w:type="paragraph" w:customStyle="1" w:styleId="Paragraf">
    <w:name w:val="Paragraf"/>
    <w:basedOn w:val="Normln"/>
    <w:next w:val="Textodstavce"/>
    <w:uiPriority w:val="99"/>
    <w:rsid w:val="0032380D"/>
    <w:pPr>
      <w:keepNext/>
      <w:keepLines/>
      <w:spacing w:before="240"/>
      <w:jc w:val="center"/>
      <w:outlineLvl w:val="5"/>
    </w:pPr>
  </w:style>
  <w:style w:type="paragraph" w:customStyle="1" w:styleId="Textodstavce">
    <w:name w:val="Text odstavce"/>
    <w:basedOn w:val="Normln"/>
    <w:uiPriority w:val="99"/>
    <w:rsid w:val="0032380D"/>
    <w:pPr>
      <w:numPr>
        <w:numId w:val="5"/>
      </w:numPr>
      <w:tabs>
        <w:tab w:val="left" w:pos="851"/>
      </w:tabs>
      <w:spacing w:before="120" w:after="120"/>
      <w:outlineLvl w:val="6"/>
    </w:pPr>
  </w:style>
  <w:style w:type="paragraph" w:customStyle="1" w:styleId="Oddl">
    <w:name w:val="Oddíl"/>
    <w:basedOn w:val="Normln"/>
    <w:next w:val="Nadpisoddlu"/>
    <w:uiPriority w:val="99"/>
    <w:rsid w:val="0032380D"/>
    <w:pPr>
      <w:keepNext/>
      <w:keepLines/>
      <w:spacing w:before="240"/>
      <w:jc w:val="center"/>
      <w:outlineLvl w:val="4"/>
    </w:pPr>
  </w:style>
  <w:style w:type="paragraph" w:customStyle="1" w:styleId="Nadpisoddlu">
    <w:name w:val="Nadpis oddílu"/>
    <w:basedOn w:val="Normln"/>
    <w:next w:val="Paragraf"/>
    <w:uiPriority w:val="99"/>
    <w:rsid w:val="0032380D"/>
    <w:pPr>
      <w:keepNext/>
      <w:keepLines/>
      <w:jc w:val="center"/>
      <w:outlineLvl w:val="4"/>
    </w:pPr>
    <w:rPr>
      <w:b/>
    </w:rPr>
  </w:style>
  <w:style w:type="paragraph" w:customStyle="1" w:styleId="Dl">
    <w:name w:val="Díl"/>
    <w:basedOn w:val="Normln"/>
    <w:next w:val="Nadpisdlu"/>
    <w:uiPriority w:val="99"/>
    <w:rsid w:val="0032380D"/>
    <w:pPr>
      <w:keepNext/>
      <w:keepLines/>
      <w:spacing w:before="240"/>
      <w:jc w:val="center"/>
      <w:outlineLvl w:val="3"/>
    </w:pPr>
  </w:style>
  <w:style w:type="paragraph" w:customStyle="1" w:styleId="Nadpisdlu">
    <w:name w:val="Nadpis dílu"/>
    <w:basedOn w:val="Normln"/>
    <w:next w:val="Oddl"/>
    <w:uiPriority w:val="99"/>
    <w:rsid w:val="0032380D"/>
    <w:pPr>
      <w:keepNext/>
      <w:keepLines/>
      <w:jc w:val="center"/>
      <w:outlineLvl w:val="3"/>
    </w:pPr>
    <w:rPr>
      <w:b/>
    </w:rPr>
  </w:style>
  <w:style w:type="paragraph" w:customStyle="1" w:styleId="Hlava">
    <w:name w:val="Hlava"/>
    <w:basedOn w:val="Normln"/>
    <w:next w:val="Nadpishlavy"/>
    <w:uiPriority w:val="99"/>
    <w:rsid w:val="0032380D"/>
    <w:pPr>
      <w:keepNext/>
      <w:keepLines/>
      <w:spacing w:before="240"/>
      <w:jc w:val="center"/>
      <w:outlineLvl w:val="2"/>
    </w:pPr>
  </w:style>
  <w:style w:type="paragraph" w:customStyle="1" w:styleId="Nadpishlavy">
    <w:name w:val="Nadpis hlavy"/>
    <w:basedOn w:val="Normln"/>
    <w:next w:val="Dl"/>
    <w:uiPriority w:val="99"/>
    <w:rsid w:val="0032380D"/>
    <w:pPr>
      <w:keepNext/>
      <w:keepLines/>
      <w:jc w:val="center"/>
      <w:outlineLvl w:val="2"/>
    </w:pPr>
    <w:rPr>
      <w:b/>
    </w:rPr>
  </w:style>
  <w:style w:type="paragraph" w:customStyle="1" w:styleId="ST">
    <w:name w:val="ČÁST"/>
    <w:basedOn w:val="Normln"/>
    <w:next w:val="NADPISSTI"/>
    <w:uiPriority w:val="99"/>
    <w:rsid w:val="0032380D"/>
    <w:pPr>
      <w:keepNext/>
      <w:keepLines/>
      <w:spacing w:before="240" w:after="120"/>
      <w:jc w:val="center"/>
      <w:outlineLvl w:val="1"/>
    </w:pPr>
    <w:rPr>
      <w:caps/>
    </w:rPr>
  </w:style>
  <w:style w:type="paragraph" w:customStyle="1" w:styleId="NADPISSTI">
    <w:name w:val="NADPIS ČÁSTI"/>
    <w:basedOn w:val="Normln"/>
    <w:next w:val="Hlava"/>
    <w:uiPriority w:val="99"/>
    <w:rsid w:val="0032380D"/>
    <w:pPr>
      <w:keepNext/>
      <w:keepLines/>
      <w:jc w:val="center"/>
      <w:outlineLvl w:val="1"/>
    </w:pPr>
    <w:rPr>
      <w:b/>
      <w:caps/>
    </w:rPr>
  </w:style>
  <w:style w:type="paragraph" w:customStyle="1" w:styleId="Novelizanbod">
    <w:name w:val="Novelizační bod"/>
    <w:basedOn w:val="Normln"/>
    <w:next w:val="Normln"/>
    <w:uiPriority w:val="99"/>
    <w:rsid w:val="0032380D"/>
    <w:pPr>
      <w:keepNext/>
      <w:keepLines/>
      <w:numPr>
        <w:numId w:val="1"/>
      </w:numPr>
      <w:tabs>
        <w:tab w:val="left" w:pos="851"/>
      </w:tabs>
      <w:spacing w:before="480" w:after="120"/>
    </w:pPr>
  </w:style>
  <w:style w:type="paragraph" w:customStyle="1" w:styleId="nadpisvyhlky">
    <w:name w:val="nadpis vyhlášky"/>
    <w:basedOn w:val="Normln"/>
    <w:next w:val="Ministerstvo"/>
    <w:uiPriority w:val="99"/>
    <w:rsid w:val="0032380D"/>
    <w:pPr>
      <w:keepNext/>
      <w:keepLines/>
      <w:spacing w:before="120"/>
      <w:jc w:val="center"/>
      <w:outlineLvl w:val="0"/>
    </w:pPr>
    <w:rPr>
      <w:b/>
    </w:rPr>
  </w:style>
  <w:style w:type="paragraph" w:customStyle="1" w:styleId="Ministerstvo">
    <w:name w:val="Ministerstvo"/>
    <w:basedOn w:val="Normln"/>
    <w:next w:val="ST"/>
    <w:uiPriority w:val="99"/>
    <w:rsid w:val="0032380D"/>
    <w:pPr>
      <w:keepNext/>
      <w:keepLines/>
      <w:spacing w:before="360" w:after="240"/>
    </w:pPr>
  </w:style>
  <w:style w:type="paragraph" w:customStyle="1" w:styleId="funkce">
    <w:name w:val="funkce"/>
    <w:basedOn w:val="Normln"/>
    <w:uiPriority w:val="99"/>
    <w:rsid w:val="0032380D"/>
    <w:pPr>
      <w:keepLines/>
      <w:jc w:val="center"/>
    </w:pPr>
  </w:style>
  <w:style w:type="paragraph" w:customStyle="1" w:styleId="Textbodu">
    <w:name w:val="Text bodu"/>
    <w:basedOn w:val="Normln"/>
    <w:uiPriority w:val="99"/>
    <w:rsid w:val="0032380D"/>
    <w:pPr>
      <w:numPr>
        <w:ilvl w:val="2"/>
        <w:numId w:val="5"/>
      </w:numPr>
      <w:outlineLvl w:val="8"/>
    </w:pPr>
  </w:style>
  <w:style w:type="paragraph" w:customStyle="1" w:styleId="Textpsmene">
    <w:name w:val="Text písmene"/>
    <w:basedOn w:val="Normln"/>
    <w:uiPriority w:val="99"/>
    <w:rsid w:val="0032380D"/>
    <w:pPr>
      <w:numPr>
        <w:ilvl w:val="1"/>
        <w:numId w:val="5"/>
      </w:numPr>
      <w:outlineLvl w:val="7"/>
    </w:pPr>
  </w:style>
  <w:style w:type="character" w:styleId="slostrnky">
    <w:name w:val="page number"/>
    <w:uiPriority w:val="99"/>
    <w:rsid w:val="0032380D"/>
    <w:rPr>
      <w:rFonts w:cs="Times New Roman"/>
    </w:rPr>
  </w:style>
  <w:style w:type="paragraph" w:styleId="Zpat">
    <w:name w:val="footer"/>
    <w:basedOn w:val="Normln"/>
    <w:link w:val="ZpatChar"/>
    <w:uiPriority w:val="99"/>
    <w:rsid w:val="0032380D"/>
    <w:pPr>
      <w:tabs>
        <w:tab w:val="center" w:pos="4536"/>
        <w:tab w:val="right" w:pos="9072"/>
      </w:tabs>
    </w:pPr>
  </w:style>
  <w:style w:type="character" w:customStyle="1" w:styleId="ZpatChar">
    <w:name w:val="Zápatí Char"/>
    <w:basedOn w:val="Standardnpsmoodstavce"/>
    <w:link w:val="Zpat"/>
    <w:uiPriority w:val="99"/>
    <w:rsid w:val="0032380D"/>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semiHidden/>
    <w:rsid w:val="0032380D"/>
    <w:pPr>
      <w:tabs>
        <w:tab w:val="left" w:pos="425"/>
      </w:tabs>
      <w:ind w:left="425" w:hanging="425"/>
    </w:pPr>
    <w:rPr>
      <w:sz w:val="20"/>
    </w:rPr>
  </w:style>
  <w:style w:type="character" w:customStyle="1" w:styleId="TextpoznpodarouChar">
    <w:name w:val="Text pozn. pod čarou Char"/>
    <w:basedOn w:val="Standardnpsmoodstavce"/>
    <w:link w:val="Textpoznpodarou"/>
    <w:uiPriority w:val="99"/>
    <w:semiHidden/>
    <w:rsid w:val="0032380D"/>
    <w:rPr>
      <w:rFonts w:ascii="Times New Roman" w:eastAsia="Times New Roman" w:hAnsi="Times New Roman" w:cs="Times New Roman"/>
      <w:sz w:val="20"/>
      <w:szCs w:val="20"/>
      <w:lang w:eastAsia="cs-CZ"/>
    </w:rPr>
  </w:style>
  <w:style w:type="character" w:styleId="Znakapoznpodarou">
    <w:name w:val="footnote reference"/>
    <w:uiPriority w:val="99"/>
    <w:semiHidden/>
    <w:rsid w:val="0032380D"/>
    <w:rPr>
      <w:rFonts w:cs="Times New Roman"/>
      <w:vertAlign w:val="superscript"/>
    </w:rPr>
  </w:style>
  <w:style w:type="paragraph" w:styleId="Titulek">
    <w:name w:val="caption"/>
    <w:basedOn w:val="Normln"/>
    <w:next w:val="Normln"/>
    <w:uiPriority w:val="99"/>
    <w:qFormat/>
    <w:rsid w:val="0032380D"/>
    <w:pPr>
      <w:spacing w:before="120" w:after="120"/>
    </w:pPr>
    <w:rPr>
      <w:b/>
    </w:rPr>
  </w:style>
  <w:style w:type="paragraph" w:customStyle="1" w:styleId="Nvrh">
    <w:name w:val="Návrh"/>
    <w:basedOn w:val="Normln"/>
    <w:next w:val="Normln"/>
    <w:uiPriority w:val="99"/>
    <w:rsid w:val="0032380D"/>
    <w:pPr>
      <w:keepNext/>
      <w:keepLines/>
      <w:spacing w:after="240"/>
      <w:jc w:val="center"/>
      <w:outlineLvl w:val="0"/>
    </w:pPr>
    <w:rPr>
      <w:spacing w:val="40"/>
    </w:rPr>
  </w:style>
  <w:style w:type="paragraph" w:customStyle="1" w:styleId="Podpis">
    <w:name w:val="Podpis_"/>
    <w:basedOn w:val="Normln"/>
    <w:next w:val="funkce"/>
    <w:uiPriority w:val="99"/>
    <w:rsid w:val="0032380D"/>
    <w:pPr>
      <w:keepNext/>
      <w:keepLines/>
      <w:numPr>
        <w:numId w:val="16"/>
      </w:numPr>
      <w:spacing w:before="720"/>
      <w:jc w:val="center"/>
    </w:pPr>
  </w:style>
  <w:style w:type="paragraph" w:customStyle="1" w:styleId="Nadpisparagrafu">
    <w:name w:val="Nadpis paragrafu"/>
    <w:basedOn w:val="Paragraf"/>
    <w:next w:val="Textodstavce"/>
    <w:uiPriority w:val="99"/>
    <w:rsid w:val="0032380D"/>
    <w:pPr>
      <w:numPr>
        <w:numId w:val="15"/>
      </w:numPr>
    </w:pPr>
    <w:rPr>
      <w:b/>
    </w:rPr>
  </w:style>
  <w:style w:type="paragraph" w:customStyle="1" w:styleId="VYHLKA">
    <w:name w:val="VYHLÁŠKA"/>
    <w:basedOn w:val="Normln"/>
    <w:next w:val="nadpisvyhlky"/>
    <w:uiPriority w:val="99"/>
    <w:rsid w:val="0032380D"/>
    <w:pPr>
      <w:keepNext/>
      <w:keepLines/>
      <w:jc w:val="center"/>
      <w:outlineLvl w:val="0"/>
    </w:pPr>
    <w:rPr>
      <w:b/>
      <w:caps/>
    </w:rPr>
  </w:style>
  <w:style w:type="paragraph" w:customStyle="1" w:styleId="VARIANTA">
    <w:name w:val="VARIANTA"/>
    <w:basedOn w:val="Normln"/>
    <w:next w:val="Normln"/>
    <w:uiPriority w:val="99"/>
    <w:rsid w:val="0032380D"/>
    <w:pPr>
      <w:keepNext/>
      <w:spacing w:before="120" w:after="120"/>
    </w:pPr>
    <w:rPr>
      <w:caps/>
      <w:spacing w:val="60"/>
    </w:rPr>
  </w:style>
  <w:style w:type="paragraph" w:customStyle="1" w:styleId="VARIANTA-konec">
    <w:name w:val="VARIANTA - konec"/>
    <w:basedOn w:val="Normln"/>
    <w:next w:val="Normln"/>
    <w:uiPriority w:val="99"/>
    <w:rsid w:val="0032380D"/>
    <w:rPr>
      <w:caps/>
      <w:spacing w:val="60"/>
    </w:rPr>
  </w:style>
  <w:style w:type="character" w:customStyle="1" w:styleId="Odkaznapoznpodarou">
    <w:name w:val="Odkaz na pozn. pod čarou"/>
    <w:uiPriority w:val="99"/>
    <w:rsid w:val="0032380D"/>
    <w:rPr>
      <w:vertAlign w:val="superscript"/>
    </w:rPr>
  </w:style>
  <w:style w:type="paragraph" w:customStyle="1" w:styleId="lnek">
    <w:name w:val="Článek"/>
    <w:basedOn w:val="Normln"/>
    <w:next w:val="Normln"/>
    <w:uiPriority w:val="99"/>
    <w:rsid w:val="0032380D"/>
    <w:pPr>
      <w:keepNext/>
      <w:keepLines/>
      <w:spacing w:before="240"/>
      <w:jc w:val="center"/>
      <w:outlineLvl w:val="5"/>
    </w:pPr>
  </w:style>
  <w:style w:type="paragraph" w:customStyle="1" w:styleId="Nadpislnku">
    <w:name w:val="Nadpis článku"/>
    <w:basedOn w:val="lnek"/>
    <w:next w:val="Normln"/>
    <w:uiPriority w:val="99"/>
    <w:rsid w:val="0032380D"/>
    <w:rPr>
      <w:b/>
    </w:rPr>
  </w:style>
  <w:style w:type="paragraph" w:customStyle="1" w:styleId="Textlnku">
    <w:name w:val="Text článku"/>
    <w:basedOn w:val="Normln"/>
    <w:uiPriority w:val="99"/>
    <w:rsid w:val="0032380D"/>
    <w:pPr>
      <w:spacing w:before="240"/>
      <w:ind w:firstLine="425"/>
      <w:outlineLvl w:val="5"/>
    </w:pPr>
  </w:style>
  <w:style w:type="paragraph" w:customStyle="1" w:styleId="Textbodunovely">
    <w:name w:val="Text bodu novely"/>
    <w:basedOn w:val="Normln"/>
    <w:next w:val="Normln"/>
    <w:uiPriority w:val="99"/>
    <w:rsid w:val="0032380D"/>
    <w:pPr>
      <w:ind w:left="567" w:hanging="567"/>
    </w:pPr>
  </w:style>
  <w:style w:type="paragraph" w:styleId="Zkladntext">
    <w:name w:val="Body Text"/>
    <w:aliases w:val="Základní text Sborník,b"/>
    <w:basedOn w:val="Normln"/>
    <w:link w:val="ZkladntextChar"/>
    <w:uiPriority w:val="99"/>
    <w:rsid w:val="0032380D"/>
  </w:style>
  <w:style w:type="character" w:customStyle="1" w:styleId="ZkladntextChar">
    <w:name w:val="Základní text Char"/>
    <w:aliases w:val="Základní text Sborník Char,b Char"/>
    <w:basedOn w:val="Standardnpsmoodstavce"/>
    <w:link w:val="Zkladntext"/>
    <w:uiPriority w:val="99"/>
    <w:rsid w:val="0032380D"/>
    <w:rPr>
      <w:rFonts w:ascii="Times New Roman" w:eastAsia="Times New Roman" w:hAnsi="Times New Roman" w:cs="Times New Roman"/>
      <w:sz w:val="24"/>
      <w:szCs w:val="20"/>
      <w:lang w:eastAsia="cs-CZ"/>
    </w:rPr>
  </w:style>
  <w:style w:type="paragraph" w:styleId="Seznam2">
    <w:name w:val="List 2"/>
    <w:basedOn w:val="Normln"/>
    <w:uiPriority w:val="99"/>
    <w:rsid w:val="0032380D"/>
    <w:pPr>
      <w:ind w:left="566" w:hanging="283"/>
      <w:jc w:val="left"/>
    </w:pPr>
  </w:style>
  <w:style w:type="paragraph" w:styleId="Zkladntextodsazen2">
    <w:name w:val="Body Text Indent 2"/>
    <w:basedOn w:val="Normln"/>
    <w:link w:val="Zkladntextodsazen2Char"/>
    <w:uiPriority w:val="99"/>
    <w:rsid w:val="0032380D"/>
    <w:pPr>
      <w:ind w:left="360" w:hanging="360"/>
    </w:pPr>
    <w:rPr>
      <w:sz w:val="20"/>
    </w:rPr>
  </w:style>
  <w:style w:type="character" w:customStyle="1" w:styleId="Zkladntextodsazen2Char">
    <w:name w:val="Základní text odsazený 2 Char"/>
    <w:basedOn w:val="Standardnpsmoodstavce"/>
    <w:link w:val="Zkladntextodsazen2"/>
    <w:uiPriority w:val="99"/>
    <w:rsid w:val="0032380D"/>
    <w:rPr>
      <w:rFonts w:ascii="Times New Roman" w:eastAsia="Times New Roman" w:hAnsi="Times New Roman" w:cs="Times New Roman"/>
      <w:sz w:val="20"/>
      <w:szCs w:val="20"/>
      <w:lang w:eastAsia="cs-CZ"/>
    </w:rPr>
  </w:style>
  <w:style w:type="paragraph" w:customStyle="1" w:styleId="BodyText21">
    <w:name w:val="Body Text 21"/>
    <w:basedOn w:val="Normln"/>
    <w:uiPriority w:val="99"/>
    <w:rsid w:val="0032380D"/>
    <w:rPr>
      <w:rFonts w:ascii="Arial" w:hAnsi="Arial" w:cs="Arial"/>
      <w:szCs w:val="24"/>
    </w:rPr>
  </w:style>
  <w:style w:type="character" w:styleId="Siln">
    <w:name w:val="Strong"/>
    <w:uiPriority w:val="99"/>
    <w:qFormat/>
    <w:rsid w:val="0032380D"/>
    <w:rPr>
      <w:rFonts w:cs="Times New Roman"/>
      <w:b/>
    </w:rPr>
  </w:style>
  <w:style w:type="paragraph" w:customStyle="1" w:styleId="Blockquote">
    <w:name w:val="Blockquote"/>
    <w:basedOn w:val="Normln"/>
    <w:uiPriority w:val="99"/>
    <w:rsid w:val="0032380D"/>
    <w:pPr>
      <w:spacing w:before="100" w:after="100"/>
      <w:ind w:left="360" w:right="360"/>
      <w:jc w:val="left"/>
    </w:pPr>
    <w:rPr>
      <w:szCs w:val="24"/>
    </w:rPr>
  </w:style>
  <w:style w:type="paragraph" w:styleId="Zkladntextodsazen">
    <w:name w:val="Body Text Indent"/>
    <w:basedOn w:val="Normln"/>
    <w:link w:val="ZkladntextodsazenChar"/>
    <w:uiPriority w:val="99"/>
    <w:rsid w:val="0032380D"/>
    <w:pPr>
      <w:ind w:firstLine="708"/>
    </w:pPr>
    <w:rPr>
      <w:sz w:val="20"/>
    </w:rPr>
  </w:style>
  <w:style w:type="character" w:customStyle="1" w:styleId="ZkladntextodsazenChar">
    <w:name w:val="Základní text odsazený Char"/>
    <w:basedOn w:val="Standardnpsmoodstavce"/>
    <w:link w:val="Zkladntextodsazen"/>
    <w:uiPriority w:val="99"/>
    <w:rsid w:val="0032380D"/>
    <w:rPr>
      <w:rFonts w:ascii="Times New Roman" w:eastAsia="Times New Roman" w:hAnsi="Times New Roman" w:cs="Times New Roman"/>
      <w:sz w:val="20"/>
      <w:szCs w:val="20"/>
      <w:lang w:eastAsia="cs-CZ"/>
    </w:rPr>
  </w:style>
  <w:style w:type="paragraph" w:styleId="Zkladntextodsazen3">
    <w:name w:val="Body Text Indent 3"/>
    <w:aliases w:val="Základní text odsazený 3a"/>
    <w:basedOn w:val="Normln"/>
    <w:link w:val="Zkladntextodsazen3Char"/>
    <w:uiPriority w:val="99"/>
    <w:rsid w:val="0032380D"/>
    <w:pPr>
      <w:ind w:left="360"/>
    </w:pPr>
    <w:rPr>
      <w:sz w:val="16"/>
      <w:szCs w:val="16"/>
    </w:rPr>
  </w:style>
  <w:style w:type="character" w:customStyle="1" w:styleId="Zkladntextodsazen3Char">
    <w:name w:val="Základní text odsazený 3 Char"/>
    <w:aliases w:val="Základní text odsazený 3a Char"/>
    <w:basedOn w:val="Standardnpsmoodstavce"/>
    <w:link w:val="Zkladntextodsazen3"/>
    <w:uiPriority w:val="99"/>
    <w:rsid w:val="0032380D"/>
    <w:rPr>
      <w:rFonts w:ascii="Times New Roman" w:eastAsia="Times New Roman" w:hAnsi="Times New Roman" w:cs="Times New Roman"/>
      <w:sz w:val="16"/>
      <w:szCs w:val="16"/>
      <w:lang w:eastAsia="cs-CZ"/>
    </w:rPr>
  </w:style>
  <w:style w:type="character" w:customStyle="1" w:styleId="TextodstavceChar">
    <w:name w:val="Text odstavce Char"/>
    <w:uiPriority w:val="99"/>
    <w:rsid w:val="0032380D"/>
    <w:rPr>
      <w:sz w:val="24"/>
    </w:rPr>
  </w:style>
  <w:style w:type="paragraph" w:customStyle="1" w:styleId="BalloonText1">
    <w:name w:val="Balloon Text1"/>
    <w:basedOn w:val="Normln"/>
    <w:uiPriority w:val="99"/>
    <w:semiHidden/>
    <w:rsid w:val="0032380D"/>
    <w:rPr>
      <w:rFonts w:ascii="Tahoma" w:hAnsi="Tahoma" w:cs="Tahoma"/>
      <w:sz w:val="16"/>
      <w:szCs w:val="16"/>
    </w:rPr>
  </w:style>
  <w:style w:type="paragraph" w:styleId="Textvysvtlivek">
    <w:name w:val="endnote text"/>
    <w:basedOn w:val="Normln"/>
    <w:link w:val="TextvysvtlivekChar"/>
    <w:uiPriority w:val="99"/>
    <w:semiHidden/>
    <w:rsid w:val="0032380D"/>
    <w:rPr>
      <w:sz w:val="20"/>
    </w:rPr>
  </w:style>
  <w:style w:type="character" w:customStyle="1" w:styleId="TextvysvtlivekChar">
    <w:name w:val="Text vysvětlivek Char"/>
    <w:basedOn w:val="Standardnpsmoodstavce"/>
    <w:link w:val="Textvysvtlivek"/>
    <w:uiPriority w:val="99"/>
    <w:semiHidden/>
    <w:rsid w:val="0032380D"/>
    <w:rPr>
      <w:rFonts w:ascii="Times New Roman" w:eastAsia="Times New Roman" w:hAnsi="Times New Roman" w:cs="Times New Roman"/>
      <w:sz w:val="20"/>
      <w:szCs w:val="20"/>
      <w:lang w:eastAsia="cs-CZ"/>
    </w:rPr>
  </w:style>
  <w:style w:type="character" w:styleId="Odkaznavysvtlivky">
    <w:name w:val="endnote reference"/>
    <w:uiPriority w:val="99"/>
    <w:semiHidden/>
    <w:rsid w:val="0032380D"/>
    <w:rPr>
      <w:rFonts w:cs="Times New Roman"/>
      <w:vertAlign w:val="superscript"/>
    </w:rPr>
  </w:style>
  <w:style w:type="character" w:styleId="Hypertextovodkaz">
    <w:name w:val="Hyperlink"/>
    <w:uiPriority w:val="99"/>
    <w:rsid w:val="0032380D"/>
    <w:rPr>
      <w:rFonts w:cs="Times New Roman"/>
      <w:color w:val="0000FF"/>
      <w:u w:val="single"/>
    </w:rPr>
  </w:style>
  <w:style w:type="character" w:styleId="Sledovanodkaz">
    <w:name w:val="FollowedHyperlink"/>
    <w:uiPriority w:val="99"/>
    <w:rsid w:val="0032380D"/>
    <w:rPr>
      <w:rFonts w:cs="Times New Roman"/>
      <w:color w:val="800080"/>
      <w:u w:val="single"/>
    </w:rPr>
  </w:style>
  <w:style w:type="paragraph" w:customStyle="1" w:styleId="xl24">
    <w:name w:val="xl24"/>
    <w:basedOn w:val="Normln"/>
    <w:uiPriority w:val="99"/>
    <w:rsid w:val="0032380D"/>
    <w:pPr>
      <w:spacing w:before="100" w:beforeAutospacing="1" w:after="100" w:afterAutospacing="1"/>
      <w:jc w:val="left"/>
    </w:pPr>
    <w:rPr>
      <w:rFonts w:ascii="Arial" w:hAnsi="Arial" w:cs="Arial"/>
      <w:b/>
      <w:bCs/>
      <w:szCs w:val="24"/>
    </w:rPr>
  </w:style>
  <w:style w:type="paragraph" w:customStyle="1" w:styleId="xl25">
    <w:name w:val="xl25"/>
    <w:basedOn w:val="Normln"/>
    <w:uiPriority w:val="99"/>
    <w:rsid w:val="0032380D"/>
    <w:pPr>
      <w:spacing w:before="100" w:beforeAutospacing="1" w:after="100" w:afterAutospacing="1"/>
      <w:jc w:val="left"/>
    </w:pPr>
    <w:rPr>
      <w:rFonts w:ascii="Arial" w:hAnsi="Arial" w:cs="Arial"/>
      <w:b/>
      <w:bCs/>
      <w:szCs w:val="24"/>
    </w:rPr>
  </w:style>
  <w:style w:type="character" w:customStyle="1" w:styleId="TextodstavceCharChar">
    <w:name w:val="Text odstavce Char Char"/>
    <w:uiPriority w:val="99"/>
    <w:rsid w:val="0032380D"/>
    <w:rPr>
      <w:sz w:val="24"/>
      <w:lang w:val="cs-CZ" w:eastAsia="cs-CZ"/>
    </w:rPr>
  </w:style>
  <w:style w:type="character" w:styleId="Odkaznakoment">
    <w:name w:val="annotation reference"/>
    <w:uiPriority w:val="99"/>
    <w:rsid w:val="0032380D"/>
    <w:rPr>
      <w:rFonts w:cs="Times New Roman"/>
      <w:sz w:val="16"/>
    </w:rPr>
  </w:style>
  <w:style w:type="paragraph" w:styleId="Textkomente">
    <w:name w:val="annotation text"/>
    <w:basedOn w:val="Normln"/>
    <w:link w:val="TextkomenteChar"/>
    <w:uiPriority w:val="99"/>
    <w:rsid w:val="0032380D"/>
    <w:pPr>
      <w:jc w:val="left"/>
    </w:pPr>
    <w:rPr>
      <w:sz w:val="20"/>
    </w:rPr>
  </w:style>
  <w:style w:type="character" w:customStyle="1" w:styleId="TextkomenteChar">
    <w:name w:val="Text komentáře Char"/>
    <w:basedOn w:val="Standardnpsmoodstavce"/>
    <w:link w:val="Textkomente"/>
    <w:uiPriority w:val="99"/>
    <w:rsid w:val="0032380D"/>
    <w:rPr>
      <w:rFonts w:ascii="Times New Roman" w:eastAsia="Times New Roman" w:hAnsi="Times New Roman" w:cs="Times New Roman"/>
      <w:sz w:val="20"/>
      <w:szCs w:val="20"/>
      <w:lang w:eastAsia="cs-CZ"/>
    </w:rPr>
  </w:style>
  <w:style w:type="paragraph" w:customStyle="1" w:styleId="xl26">
    <w:name w:val="xl26"/>
    <w:basedOn w:val="Normln"/>
    <w:uiPriority w:val="99"/>
    <w:rsid w:val="003238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27">
    <w:name w:val="xl27"/>
    <w:basedOn w:val="Normln"/>
    <w:uiPriority w:val="99"/>
    <w:rsid w:val="003238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Cs w:val="24"/>
    </w:rPr>
  </w:style>
  <w:style w:type="paragraph" w:customStyle="1" w:styleId="xl28">
    <w:name w:val="xl28"/>
    <w:basedOn w:val="Normln"/>
    <w:uiPriority w:val="99"/>
    <w:rsid w:val="0032380D"/>
    <w:pPr>
      <w:spacing w:before="100" w:beforeAutospacing="1" w:after="100" w:afterAutospacing="1"/>
      <w:jc w:val="left"/>
    </w:pPr>
    <w:rPr>
      <w:rFonts w:ascii="Arial" w:hAnsi="Arial" w:cs="Arial"/>
      <w:b/>
      <w:bCs/>
      <w:szCs w:val="24"/>
    </w:rPr>
  </w:style>
  <w:style w:type="paragraph" w:customStyle="1" w:styleId="Rozloendokumentu1">
    <w:name w:val="Rozložení dokumentu1"/>
    <w:basedOn w:val="Normln"/>
    <w:uiPriority w:val="99"/>
    <w:semiHidden/>
    <w:rsid w:val="0032380D"/>
    <w:pPr>
      <w:shd w:val="clear" w:color="auto" w:fill="000080"/>
    </w:pPr>
    <w:rPr>
      <w:rFonts w:ascii="Tahoma" w:hAnsi="Tahoma" w:cs="Tahoma"/>
      <w:sz w:val="20"/>
    </w:rPr>
  </w:style>
  <w:style w:type="paragraph" w:customStyle="1" w:styleId="textpsmene0">
    <w:name w:val="textpsmene"/>
    <w:basedOn w:val="Normln"/>
    <w:uiPriority w:val="99"/>
    <w:rsid w:val="0032380D"/>
    <w:pPr>
      <w:spacing w:before="100" w:beforeAutospacing="1" w:after="100" w:afterAutospacing="1"/>
      <w:jc w:val="left"/>
    </w:pPr>
    <w:rPr>
      <w:szCs w:val="24"/>
    </w:rPr>
  </w:style>
  <w:style w:type="paragraph" w:customStyle="1" w:styleId="CommentSubject1">
    <w:name w:val="Comment Subject1"/>
    <w:basedOn w:val="Textkomente"/>
    <w:next w:val="Textkomente"/>
    <w:uiPriority w:val="99"/>
    <w:semiHidden/>
    <w:rsid w:val="0032380D"/>
    <w:pPr>
      <w:jc w:val="both"/>
    </w:pPr>
    <w:rPr>
      <w:b/>
      <w:bCs/>
    </w:rPr>
  </w:style>
  <w:style w:type="paragraph" w:customStyle="1" w:styleId="xl29">
    <w:name w:val="xl29"/>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2"/>
      <w:szCs w:val="22"/>
    </w:rPr>
  </w:style>
  <w:style w:type="paragraph" w:customStyle="1" w:styleId="xl30">
    <w:name w:val="xl30"/>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31">
    <w:name w:val="xl31"/>
    <w:basedOn w:val="Normln"/>
    <w:uiPriority w:val="99"/>
    <w:rsid w:val="003238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bCs/>
      <w:szCs w:val="24"/>
    </w:rPr>
  </w:style>
  <w:style w:type="paragraph" w:customStyle="1" w:styleId="xl32">
    <w:name w:val="xl32"/>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3">
    <w:name w:val="xl33"/>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4">
    <w:name w:val="xl34"/>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5">
    <w:name w:val="xl35"/>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36">
    <w:name w:val="xl36"/>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7">
    <w:name w:val="xl37"/>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Odstavecseseznamem1">
    <w:name w:val="Odstavec se seznamem1"/>
    <w:basedOn w:val="Normln"/>
    <w:uiPriority w:val="99"/>
    <w:rsid w:val="0032380D"/>
    <w:pPr>
      <w:ind w:left="708"/>
    </w:pPr>
  </w:style>
  <w:style w:type="paragraph" w:styleId="Prosttext">
    <w:name w:val="Plain Text"/>
    <w:aliases w:val="Char Char Char"/>
    <w:basedOn w:val="Normln"/>
    <w:link w:val="ProsttextChar"/>
    <w:uiPriority w:val="99"/>
    <w:rsid w:val="0032380D"/>
    <w:pPr>
      <w:jc w:val="left"/>
    </w:pPr>
    <w:rPr>
      <w:rFonts w:ascii="Courier New" w:hAnsi="Courier New"/>
      <w:sz w:val="20"/>
    </w:rPr>
  </w:style>
  <w:style w:type="character" w:customStyle="1" w:styleId="ProsttextChar">
    <w:name w:val="Prostý text Char"/>
    <w:aliases w:val="Char Char Char Char"/>
    <w:basedOn w:val="Standardnpsmoodstavce"/>
    <w:link w:val="Prosttext"/>
    <w:uiPriority w:val="99"/>
    <w:rsid w:val="0032380D"/>
    <w:rPr>
      <w:rFonts w:ascii="Courier New" w:eastAsia="Times New Roman" w:hAnsi="Courier New" w:cs="Times New Roman"/>
      <w:sz w:val="20"/>
      <w:szCs w:val="20"/>
      <w:lang w:eastAsia="cs-CZ"/>
    </w:rPr>
  </w:style>
  <w:style w:type="character" w:customStyle="1" w:styleId="PlainTextChar1">
    <w:name w:val="Plain Text Char1"/>
    <w:aliases w:val="Char Char Char Char2"/>
    <w:uiPriority w:val="99"/>
    <w:rsid w:val="0032380D"/>
    <w:rPr>
      <w:rFonts w:ascii="Courier New" w:hAnsi="Courier New"/>
      <w:lang w:val="cs-CZ" w:eastAsia="cs-CZ"/>
    </w:rPr>
  </w:style>
  <w:style w:type="paragraph" w:customStyle="1" w:styleId="CharCharChar1CharCharCharCharCharCharCharCharCharCharCharCharCharCharCharChar">
    <w:name w:val="Char Char Char1 Char Char Char Char Char Char Char Char Char Char Char Char Char Char Char Char"/>
    <w:basedOn w:val="Normln"/>
    <w:uiPriority w:val="99"/>
    <w:rsid w:val="0032380D"/>
    <w:pPr>
      <w:spacing w:after="160" w:line="240" w:lineRule="exact"/>
    </w:pPr>
    <w:rPr>
      <w:rFonts w:ascii="Times New Roman Bold" w:hAnsi="Times New Roman Bold"/>
      <w:sz w:val="22"/>
      <w:szCs w:val="26"/>
      <w:lang w:val="sk-SK" w:eastAsia="en-US"/>
    </w:rPr>
  </w:style>
  <w:style w:type="character" w:customStyle="1" w:styleId="FootnoteTextChar1">
    <w:name w:val="Footnote Text Char1"/>
    <w:uiPriority w:val="99"/>
    <w:semiHidden/>
    <w:locked/>
    <w:rsid w:val="0032380D"/>
    <w:rPr>
      <w:lang w:val="cs-CZ" w:eastAsia="cs-CZ"/>
    </w:rPr>
  </w:style>
  <w:style w:type="paragraph" w:customStyle="1" w:styleId="xl65">
    <w:name w:val="xl65"/>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67">
    <w:name w:val="xl67"/>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character" w:styleId="Zvraznn">
    <w:name w:val="Emphasis"/>
    <w:uiPriority w:val="99"/>
    <w:qFormat/>
    <w:rsid w:val="0032380D"/>
    <w:rPr>
      <w:rFonts w:cs="Times New Roman"/>
      <w:i/>
    </w:rPr>
  </w:style>
  <w:style w:type="paragraph" w:customStyle="1" w:styleId="font5">
    <w:name w:val="font5"/>
    <w:basedOn w:val="Normln"/>
    <w:rsid w:val="0032380D"/>
    <w:pPr>
      <w:spacing w:before="100" w:beforeAutospacing="1" w:after="100" w:afterAutospacing="1"/>
      <w:jc w:val="left"/>
    </w:pPr>
    <w:rPr>
      <w:b/>
      <w:bCs/>
      <w:sz w:val="20"/>
    </w:rPr>
  </w:style>
  <w:style w:type="paragraph" w:customStyle="1" w:styleId="xl68">
    <w:name w:val="xl68"/>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9">
    <w:name w:val="xl69"/>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paragraph" w:customStyle="1" w:styleId="xl70">
    <w:name w:val="xl70"/>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character" w:customStyle="1" w:styleId="CharCharCharChar1">
    <w:name w:val="Char Char Char Char1"/>
    <w:aliases w:val="Char Char Char Char11"/>
    <w:uiPriority w:val="99"/>
    <w:rsid w:val="0032380D"/>
    <w:rPr>
      <w:rFonts w:ascii="Courier New" w:hAnsi="Courier New"/>
      <w:sz w:val="24"/>
      <w:lang w:val="cs-CZ" w:eastAsia="cs-CZ"/>
    </w:rPr>
  </w:style>
  <w:style w:type="paragraph" w:customStyle="1" w:styleId="Odstavecseseznamem2">
    <w:name w:val="Odstavec se seznamem2"/>
    <w:basedOn w:val="Normln"/>
    <w:uiPriority w:val="99"/>
    <w:qFormat/>
    <w:rsid w:val="0032380D"/>
    <w:pPr>
      <w:ind w:left="708"/>
    </w:pPr>
  </w:style>
  <w:style w:type="paragraph" w:styleId="Textbubliny">
    <w:name w:val="Balloon Text"/>
    <w:basedOn w:val="Normln"/>
    <w:link w:val="TextbublinyChar"/>
    <w:uiPriority w:val="99"/>
    <w:semiHidden/>
    <w:rsid w:val="0032380D"/>
    <w:rPr>
      <w:sz w:val="16"/>
    </w:rPr>
  </w:style>
  <w:style w:type="character" w:customStyle="1" w:styleId="TextbublinyChar">
    <w:name w:val="Text bubliny Char"/>
    <w:basedOn w:val="Standardnpsmoodstavce"/>
    <w:link w:val="Textbubliny"/>
    <w:uiPriority w:val="99"/>
    <w:semiHidden/>
    <w:rsid w:val="0032380D"/>
    <w:rPr>
      <w:rFonts w:ascii="Times New Roman" w:eastAsia="Times New Roman" w:hAnsi="Times New Roman" w:cs="Times New Roman"/>
      <w:sz w:val="16"/>
      <w:szCs w:val="20"/>
      <w:lang w:eastAsia="cs-CZ"/>
    </w:rPr>
  </w:style>
  <w:style w:type="paragraph" w:styleId="Pedmtkomente">
    <w:name w:val="annotation subject"/>
    <w:basedOn w:val="Textkomente"/>
    <w:next w:val="Textkomente"/>
    <w:link w:val="PedmtkomenteChar"/>
    <w:uiPriority w:val="99"/>
    <w:semiHidden/>
    <w:rsid w:val="0032380D"/>
    <w:pPr>
      <w:jc w:val="both"/>
    </w:pPr>
    <w:rPr>
      <w:b/>
      <w:bCs/>
    </w:rPr>
  </w:style>
  <w:style w:type="character" w:customStyle="1" w:styleId="PedmtkomenteChar">
    <w:name w:val="Předmět komentáře Char"/>
    <w:basedOn w:val="TextkomenteChar"/>
    <w:link w:val="Pedmtkomente"/>
    <w:uiPriority w:val="99"/>
    <w:semiHidden/>
    <w:rsid w:val="0032380D"/>
    <w:rPr>
      <w:rFonts w:ascii="Times New Roman" w:eastAsia="Times New Roman" w:hAnsi="Times New Roman" w:cs="Times New Roman"/>
      <w:b/>
      <w:bCs/>
      <w:sz w:val="20"/>
      <w:szCs w:val="20"/>
      <w:lang w:eastAsia="cs-CZ"/>
    </w:rPr>
  </w:style>
  <w:style w:type="paragraph" w:customStyle="1" w:styleId="xmsonormal">
    <w:name w:val="x_msonormal"/>
    <w:basedOn w:val="Normln"/>
    <w:uiPriority w:val="99"/>
    <w:rsid w:val="0032380D"/>
    <w:pPr>
      <w:spacing w:before="100" w:beforeAutospacing="1" w:after="100" w:afterAutospacing="1"/>
      <w:jc w:val="left"/>
    </w:pPr>
    <w:rPr>
      <w:szCs w:val="24"/>
    </w:rPr>
  </w:style>
  <w:style w:type="paragraph" w:customStyle="1" w:styleId="Revize1">
    <w:name w:val="Revize1"/>
    <w:hidden/>
    <w:uiPriority w:val="99"/>
    <w:semiHidden/>
    <w:rsid w:val="0032380D"/>
    <w:pPr>
      <w:spacing w:after="0" w:line="240" w:lineRule="auto"/>
    </w:pPr>
    <w:rPr>
      <w:rFonts w:ascii="Times New Roman" w:eastAsia="Times New Roman" w:hAnsi="Times New Roman" w:cs="Times New Roman"/>
      <w:sz w:val="24"/>
      <w:szCs w:val="20"/>
      <w:lang w:eastAsia="cs-CZ"/>
    </w:rPr>
  </w:style>
  <w:style w:type="table" w:styleId="Mkatabulky">
    <w:name w:val="Table Grid"/>
    <w:basedOn w:val="Normlntabulka"/>
    <w:uiPriority w:val="59"/>
    <w:rsid w:val="0032380D"/>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stupntext1">
    <w:name w:val="Zástupný text1"/>
    <w:uiPriority w:val="99"/>
    <w:semiHidden/>
    <w:rsid w:val="0032380D"/>
    <w:rPr>
      <w:rFonts w:cs="Times New Roman"/>
      <w:color w:val="808080"/>
    </w:rPr>
  </w:style>
  <w:style w:type="paragraph" w:customStyle="1" w:styleId="ListParagraph1">
    <w:name w:val="List Paragraph1"/>
    <w:basedOn w:val="Normln"/>
    <w:uiPriority w:val="99"/>
    <w:qFormat/>
    <w:rsid w:val="0032380D"/>
    <w:pPr>
      <w:ind w:left="708"/>
    </w:pPr>
  </w:style>
  <w:style w:type="paragraph" w:styleId="Odstavecseseznamem">
    <w:name w:val="List Paragraph"/>
    <w:basedOn w:val="Normln"/>
    <w:link w:val="OdstavecseseznamemChar"/>
    <w:uiPriority w:val="34"/>
    <w:qFormat/>
    <w:rsid w:val="0032380D"/>
    <w:pPr>
      <w:ind w:left="720"/>
      <w:contextualSpacing/>
    </w:pPr>
  </w:style>
  <w:style w:type="character" w:styleId="Zstupntext">
    <w:name w:val="Placeholder Text"/>
    <w:basedOn w:val="Standardnpsmoodstavce"/>
    <w:uiPriority w:val="99"/>
    <w:semiHidden/>
    <w:rsid w:val="0032380D"/>
    <w:rPr>
      <w:color w:val="808080"/>
    </w:rPr>
  </w:style>
  <w:style w:type="paragraph" w:customStyle="1" w:styleId="xl71">
    <w:name w:val="xl71"/>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3">
    <w:name w:val="xl73"/>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63">
    <w:name w:val="xl63"/>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rPr>
  </w:style>
  <w:style w:type="paragraph" w:customStyle="1" w:styleId="xl64">
    <w:name w:val="xl64"/>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4"/>
    </w:rPr>
  </w:style>
  <w:style w:type="paragraph" w:styleId="Revize">
    <w:name w:val="Revision"/>
    <w:hidden/>
    <w:uiPriority w:val="99"/>
    <w:semiHidden/>
    <w:rsid w:val="0032380D"/>
    <w:pPr>
      <w:spacing w:after="0" w:line="240" w:lineRule="auto"/>
    </w:pPr>
    <w:rPr>
      <w:rFonts w:ascii="Times New Roman" w:eastAsia="Times New Roman" w:hAnsi="Times New Roman" w:cs="Times New Roman"/>
      <w:sz w:val="24"/>
      <w:szCs w:val="20"/>
      <w:lang w:eastAsia="cs-CZ"/>
    </w:rPr>
  </w:style>
  <w:style w:type="paragraph" w:customStyle="1" w:styleId="nazvy">
    <w:name w:val="nazvy"/>
    <w:basedOn w:val="Normln"/>
    <w:rsid w:val="0032380D"/>
    <w:pPr>
      <w:numPr>
        <w:numId w:val="22"/>
      </w:numPr>
    </w:pPr>
  </w:style>
  <w:style w:type="character" w:customStyle="1" w:styleId="Zkladntext3dkovn0pt">
    <w:name w:val="Základní text (3) + Řádkování 0 pt"/>
    <w:basedOn w:val="Standardnpsmoodstavce"/>
    <w:rsid w:val="004A686B"/>
    <w:rPr>
      <w:rFonts w:ascii="Times New Roman" w:eastAsia="Times New Roman" w:hAnsi="Times New Roman" w:cs="Times New Roman"/>
      <w:b/>
      <w:bCs/>
      <w:spacing w:val="10"/>
      <w:sz w:val="20"/>
      <w:szCs w:val="20"/>
      <w:shd w:val="clear" w:color="auto" w:fill="FFFFFF"/>
    </w:rPr>
  </w:style>
  <w:style w:type="paragraph" w:customStyle="1" w:styleId="Odra">
    <w:name w:val="Odr_a"/>
    <w:basedOn w:val="Normln"/>
    <w:link w:val="OdraChar"/>
    <w:rsid w:val="004A686B"/>
    <w:pPr>
      <w:widowControl w:val="0"/>
      <w:numPr>
        <w:numId w:val="27"/>
      </w:numPr>
      <w:spacing w:after="120"/>
      <w:ind w:right="1418"/>
    </w:pPr>
    <w:rPr>
      <w:spacing w:val="5"/>
      <w:szCs w:val="21"/>
      <w:lang w:eastAsia="en-US"/>
    </w:rPr>
  </w:style>
  <w:style w:type="character" w:customStyle="1" w:styleId="OdraChar">
    <w:name w:val="Odr_a Char"/>
    <w:basedOn w:val="Standardnpsmoodstavce"/>
    <w:link w:val="Odra"/>
    <w:rsid w:val="004A686B"/>
    <w:rPr>
      <w:rFonts w:ascii="Times New Roman" w:eastAsia="Times New Roman" w:hAnsi="Times New Roman" w:cs="Times New Roman"/>
      <w:spacing w:val="5"/>
      <w:sz w:val="24"/>
      <w:szCs w:val="21"/>
    </w:rPr>
  </w:style>
  <w:style w:type="character" w:customStyle="1" w:styleId="OdstavecseseznamemChar">
    <w:name w:val="Odstavec se seznamem Char"/>
    <w:basedOn w:val="Standardnpsmoodstavce"/>
    <w:link w:val="Odstavecseseznamem"/>
    <w:uiPriority w:val="34"/>
    <w:rsid w:val="001B6EB7"/>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80D"/>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9"/>
    <w:qFormat/>
    <w:rsid w:val="0032380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2380D"/>
    <w:pPr>
      <w:keepNext/>
      <w:ind w:left="851" w:hanging="425"/>
      <w:outlineLvl w:val="1"/>
    </w:pPr>
    <w:rPr>
      <w:rFonts w:ascii="Cambria" w:hAnsi="Cambria"/>
      <w:b/>
      <w:bCs/>
      <w:i/>
      <w:iCs/>
      <w:sz w:val="28"/>
      <w:szCs w:val="28"/>
    </w:rPr>
  </w:style>
  <w:style w:type="paragraph" w:styleId="Nadpis3">
    <w:name w:val="heading 3"/>
    <w:basedOn w:val="Normln"/>
    <w:next w:val="Normln"/>
    <w:link w:val="Nadpis3Char"/>
    <w:uiPriority w:val="99"/>
    <w:qFormat/>
    <w:rsid w:val="0032380D"/>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32380D"/>
    <w:pPr>
      <w:keepNext/>
      <w:tabs>
        <w:tab w:val="num" w:pos="1440"/>
      </w:tabs>
      <w:spacing w:before="240" w:after="60"/>
      <w:ind w:left="1440" w:hanging="360"/>
      <w:outlineLvl w:val="3"/>
    </w:pPr>
    <w:rPr>
      <w:rFonts w:ascii="Calibri" w:hAnsi="Calibri"/>
      <w:b/>
      <w:bCs/>
      <w:sz w:val="28"/>
      <w:szCs w:val="28"/>
    </w:rPr>
  </w:style>
  <w:style w:type="paragraph" w:styleId="Nadpis5">
    <w:name w:val="heading 5"/>
    <w:basedOn w:val="Normln"/>
    <w:next w:val="Normln"/>
    <w:link w:val="Nadpis5Char"/>
    <w:uiPriority w:val="99"/>
    <w:qFormat/>
    <w:rsid w:val="0032380D"/>
    <w:pPr>
      <w:tabs>
        <w:tab w:val="num" w:pos="1800"/>
      </w:tabs>
      <w:spacing w:before="240" w:after="60"/>
      <w:ind w:left="1800" w:hanging="360"/>
      <w:outlineLvl w:val="4"/>
    </w:pPr>
    <w:rPr>
      <w:rFonts w:ascii="Calibri" w:hAnsi="Calibri"/>
      <w:b/>
      <w:bCs/>
      <w:i/>
      <w:iCs/>
      <w:sz w:val="26"/>
      <w:szCs w:val="26"/>
    </w:rPr>
  </w:style>
  <w:style w:type="paragraph" w:styleId="Nadpis6">
    <w:name w:val="heading 6"/>
    <w:basedOn w:val="Normln"/>
    <w:next w:val="Normln"/>
    <w:link w:val="Nadpis6Char"/>
    <w:uiPriority w:val="99"/>
    <w:qFormat/>
    <w:rsid w:val="0032380D"/>
    <w:pPr>
      <w:tabs>
        <w:tab w:val="num" w:pos="2520"/>
      </w:tabs>
      <w:spacing w:before="240" w:after="60"/>
      <w:ind w:left="2160" w:hanging="360"/>
      <w:outlineLvl w:val="5"/>
    </w:pPr>
    <w:rPr>
      <w:rFonts w:ascii="Calibri" w:hAnsi="Calibri"/>
      <w:b/>
      <w:bCs/>
      <w:sz w:val="20"/>
    </w:rPr>
  </w:style>
  <w:style w:type="paragraph" w:styleId="Nadpis7">
    <w:name w:val="heading 7"/>
    <w:basedOn w:val="Normln"/>
    <w:next w:val="Normln"/>
    <w:link w:val="Nadpis7Char"/>
    <w:uiPriority w:val="99"/>
    <w:qFormat/>
    <w:rsid w:val="0032380D"/>
    <w:pPr>
      <w:tabs>
        <w:tab w:val="num" w:pos="2520"/>
      </w:tabs>
      <w:spacing w:before="240" w:after="60"/>
      <w:ind w:left="2520" w:hanging="360"/>
      <w:outlineLvl w:val="6"/>
    </w:pPr>
    <w:rPr>
      <w:rFonts w:ascii="Calibri" w:hAnsi="Calibri"/>
      <w:szCs w:val="24"/>
    </w:rPr>
  </w:style>
  <w:style w:type="paragraph" w:styleId="Nadpis8">
    <w:name w:val="heading 8"/>
    <w:basedOn w:val="Normln"/>
    <w:next w:val="Normln"/>
    <w:link w:val="Nadpis8Char"/>
    <w:uiPriority w:val="99"/>
    <w:qFormat/>
    <w:rsid w:val="0032380D"/>
    <w:pPr>
      <w:tabs>
        <w:tab w:val="num" w:pos="2880"/>
      </w:tabs>
      <w:spacing w:before="240" w:after="60"/>
      <w:ind w:left="2880" w:hanging="360"/>
      <w:outlineLvl w:val="7"/>
    </w:pPr>
    <w:rPr>
      <w:rFonts w:ascii="Calibri" w:hAnsi="Calibri"/>
      <w:i/>
      <w:iCs/>
      <w:szCs w:val="24"/>
    </w:rPr>
  </w:style>
  <w:style w:type="paragraph" w:styleId="Nadpis9">
    <w:name w:val="heading 9"/>
    <w:basedOn w:val="Normln"/>
    <w:next w:val="Normln"/>
    <w:link w:val="Nadpis9Char"/>
    <w:uiPriority w:val="99"/>
    <w:qFormat/>
    <w:rsid w:val="0032380D"/>
    <w:pPr>
      <w:tabs>
        <w:tab w:val="num" w:pos="3600"/>
      </w:tabs>
      <w:spacing w:before="240" w:after="60"/>
      <w:ind w:left="3240" w:hanging="360"/>
      <w:outlineLvl w:val="8"/>
    </w:pPr>
    <w:rPr>
      <w:rFonts w:ascii="Cambria" w:hAnsi="Cambr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2380D"/>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uiPriority w:val="99"/>
    <w:rsid w:val="0032380D"/>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uiPriority w:val="99"/>
    <w:rsid w:val="0032380D"/>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9"/>
    <w:rsid w:val="0032380D"/>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9"/>
    <w:rsid w:val="0032380D"/>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9"/>
    <w:rsid w:val="0032380D"/>
    <w:rPr>
      <w:rFonts w:ascii="Calibri" w:eastAsia="Times New Roman" w:hAnsi="Calibri" w:cs="Times New Roman"/>
      <w:b/>
      <w:bCs/>
      <w:sz w:val="20"/>
      <w:szCs w:val="20"/>
      <w:lang w:eastAsia="cs-CZ"/>
    </w:rPr>
  </w:style>
  <w:style w:type="character" w:customStyle="1" w:styleId="Nadpis7Char">
    <w:name w:val="Nadpis 7 Char"/>
    <w:basedOn w:val="Standardnpsmoodstavce"/>
    <w:link w:val="Nadpis7"/>
    <w:uiPriority w:val="99"/>
    <w:rsid w:val="0032380D"/>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9"/>
    <w:rsid w:val="0032380D"/>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9"/>
    <w:rsid w:val="0032380D"/>
    <w:rPr>
      <w:rFonts w:ascii="Cambria" w:eastAsia="Times New Roman" w:hAnsi="Cambria" w:cs="Times New Roman"/>
      <w:sz w:val="20"/>
      <w:szCs w:val="20"/>
      <w:lang w:eastAsia="cs-CZ"/>
    </w:rPr>
  </w:style>
  <w:style w:type="paragraph" w:styleId="Zhlav">
    <w:name w:val="header"/>
    <w:basedOn w:val="Normln"/>
    <w:link w:val="ZhlavChar"/>
    <w:uiPriority w:val="99"/>
    <w:rsid w:val="0032380D"/>
    <w:pPr>
      <w:tabs>
        <w:tab w:val="center" w:pos="4536"/>
        <w:tab w:val="right" w:pos="9072"/>
      </w:tabs>
    </w:pPr>
    <w:rPr>
      <w:sz w:val="20"/>
    </w:rPr>
  </w:style>
  <w:style w:type="character" w:customStyle="1" w:styleId="ZhlavChar">
    <w:name w:val="Záhlaví Char"/>
    <w:basedOn w:val="Standardnpsmoodstavce"/>
    <w:link w:val="Zhlav"/>
    <w:uiPriority w:val="99"/>
    <w:rsid w:val="0032380D"/>
    <w:rPr>
      <w:rFonts w:ascii="Times New Roman" w:eastAsia="Times New Roman" w:hAnsi="Times New Roman" w:cs="Times New Roman"/>
      <w:sz w:val="20"/>
      <w:szCs w:val="20"/>
      <w:lang w:eastAsia="cs-CZ"/>
    </w:rPr>
  </w:style>
  <w:style w:type="paragraph" w:customStyle="1" w:styleId="Textparagrafu">
    <w:name w:val="Text paragrafu"/>
    <w:basedOn w:val="Normln"/>
    <w:uiPriority w:val="99"/>
    <w:rsid w:val="0032380D"/>
    <w:pPr>
      <w:spacing w:before="240"/>
      <w:ind w:firstLine="425"/>
      <w:outlineLvl w:val="5"/>
    </w:pPr>
  </w:style>
  <w:style w:type="paragraph" w:customStyle="1" w:styleId="Paragraf">
    <w:name w:val="Paragraf"/>
    <w:basedOn w:val="Normln"/>
    <w:next w:val="Textodstavce"/>
    <w:uiPriority w:val="99"/>
    <w:rsid w:val="0032380D"/>
    <w:pPr>
      <w:keepNext/>
      <w:keepLines/>
      <w:spacing w:before="240"/>
      <w:jc w:val="center"/>
      <w:outlineLvl w:val="5"/>
    </w:pPr>
  </w:style>
  <w:style w:type="paragraph" w:customStyle="1" w:styleId="Textodstavce">
    <w:name w:val="Text odstavce"/>
    <w:basedOn w:val="Normln"/>
    <w:uiPriority w:val="99"/>
    <w:rsid w:val="0032380D"/>
    <w:pPr>
      <w:numPr>
        <w:numId w:val="5"/>
      </w:numPr>
      <w:tabs>
        <w:tab w:val="left" w:pos="851"/>
      </w:tabs>
      <w:spacing w:before="120" w:after="120"/>
      <w:outlineLvl w:val="6"/>
    </w:pPr>
  </w:style>
  <w:style w:type="paragraph" w:customStyle="1" w:styleId="Oddl">
    <w:name w:val="Oddíl"/>
    <w:basedOn w:val="Normln"/>
    <w:next w:val="Nadpisoddlu"/>
    <w:uiPriority w:val="99"/>
    <w:rsid w:val="0032380D"/>
    <w:pPr>
      <w:keepNext/>
      <w:keepLines/>
      <w:spacing w:before="240"/>
      <w:jc w:val="center"/>
      <w:outlineLvl w:val="4"/>
    </w:pPr>
  </w:style>
  <w:style w:type="paragraph" w:customStyle="1" w:styleId="Nadpisoddlu">
    <w:name w:val="Nadpis oddílu"/>
    <w:basedOn w:val="Normln"/>
    <w:next w:val="Paragraf"/>
    <w:uiPriority w:val="99"/>
    <w:rsid w:val="0032380D"/>
    <w:pPr>
      <w:keepNext/>
      <w:keepLines/>
      <w:jc w:val="center"/>
      <w:outlineLvl w:val="4"/>
    </w:pPr>
    <w:rPr>
      <w:b/>
    </w:rPr>
  </w:style>
  <w:style w:type="paragraph" w:customStyle="1" w:styleId="Dl">
    <w:name w:val="Díl"/>
    <w:basedOn w:val="Normln"/>
    <w:next w:val="Nadpisdlu"/>
    <w:uiPriority w:val="99"/>
    <w:rsid w:val="0032380D"/>
    <w:pPr>
      <w:keepNext/>
      <w:keepLines/>
      <w:spacing w:before="240"/>
      <w:jc w:val="center"/>
      <w:outlineLvl w:val="3"/>
    </w:pPr>
  </w:style>
  <w:style w:type="paragraph" w:customStyle="1" w:styleId="Nadpisdlu">
    <w:name w:val="Nadpis dílu"/>
    <w:basedOn w:val="Normln"/>
    <w:next w:val="Oddl"/>
    <w:uiPriority w:val="99"/>
    <w:rsid w:val="0032380D"/>
    <w:pPr>
      <w:keepNext/>
      <w:keepLines/>
      <w:jc w:val="center"/>
      <w:outlineLvl w:val="3"/>
    </w:pPr>
    <w:rPr>
      <w:b/>
    </w:rPr>
  </w:style>
  <w:style w:type="paragraph" w:customStyle="1" w:styleId="Hlava">
    <w:name w:val="Hlava"/>
    <w:basedOn w:val="Normln"/>
    <w:next w:val="Nadpishlavy"/>
    <w:uiPriority w:val="99"/>
    <w:rsid w:val="0032380D"/>
    <w:pPr>
      <w:keepNext/>
      <w:keepLines/>
      <w:spacing w:before="240"/>
      <w:jc w:val="center"/>
      <w:outlineLvl w:val="2"/>
    </w:pPr>
  </w:style>
  <w:style w:type="paragraph" w:customStyle="1" w:styleId="Nadpishlavy">
    <w:name w:val="Nadpis hlavy"/>
    <w:basedOn w:val="Normln"/>
    <w:next w:val="Dl"/>
    <w:uiPriority w:val="99"/>
    <w:rsid w:val="0032380D"/>
    <w:pPr>
      <w:keepNext/>
      <w:keepLines/>
      <w:jc w:val="center"/>
      <w:outlineLvl w:val="2"/>
    </w:pPr>
    <w:rPr>
      <w:b/>
    </w:rPr>
  </w:style>
  <w:style w:type="paragraph" w:customStyle="1" w:styleId="ST">
    <w:name w:val="ČÁST"/>
    <w:basedOn w:val="Normln"/>
    <w:next w:val="NADPISSTI"/>
    <w:uiPriority w:val="99"/>
    <w:rsid w:val="0032380D"/>
    <w:pPr>
      <w:keepNext/>
      <w:keepLines/>
      <w:spacing w:before="240" w:after="120"/>
      <w:jc w:val="center"/>
      <w:outlineLvl w:val="1"/>
    </w:pPr>
    <w:rPr>
      <w:caps/>
    </w:rPr>
  </w:style>
  <w:style w:type="paragraph" w:customStyle="1" w:styleId="NADPISSTI">
    <w:name w:val="NADPIS ČÁSTI"/>
    <w:basedOn w:val="Normln"/>
    <w:next w:val="Hlava"/>
    <w:uiPriority w:val="99"/>
    <w:rsid w:val="0032380D"/>
    <w:pPr>
      <w:keepNext/>
      <w:keepLines/>
      <w:jc w:val="center"/>
      <w:outlineLvl w:val="1"/>
    </w:pPr>
    <w:rPr>
      <w:b/>
      <w:caps/>
    </w:rPr>
  </w:style>
  <w:style w:type="paragraph" w:customStyle="1" w:styleId="Novelizanbod">
    <w:name w:val="Novelizační bod"/>
    <w:basedOn w:val="Normln"/>
    <w:next w:val="Normln"/>
    <w:uiPriority w:val="99"/>
    <w:rsid w:val="0032380D"/>
    <w:pPr>
      <w:keepNext/>
      <w:keepLines/>
      <w:numPr>
        <w:numId w:val="1"/>
      </w:numPr>
      <w:tabs>
        <w:tab w:val="left" w:pos="851"/>
      </w:tabs>
      <w:spacing w:before="480" w:after="120"/>
    </w:pPr>
  </w:style>
  <w:style w:type="paragraph" w:customStyle="1" w:styleId="nadpisvyhlky">
    <w:name w:val="nadpis vyhlášky"/>
    <w:basedOn w:val="Normln"/>
    <w:next w:val="Ministerstvo"/>
    <w:uiPriority w:val="99"/>
    <w:rsid w:val="0032380D"/>
    <w:pPr>
      <w:keepNext/>
      <w:keepLines/>
      <w:spacing w:before="120"/>
      <w:jc w:val="center"/>
      <w:outlineLvl w:val="0"/>
    </w:pPr>
    <w:rPr>
      <w:b/>
    </w:rPr>
  </w:style>
  <w:style w:type="paragraph" w:customStyle="1" w:styleId="Ministerstvo">
    <w:name w:val="Ministerstvo"/>
    <w:basedOn w:val="Normln"/>
    <w:next w:val="ST"/>
    <w:uiPriority w:val="99"/>
    <w:rsid w:val="0032380D"/>
    <w:pPr>
      <w:keepNext/>
      <w:keepLines/>
      <w:spacing w:before="360" w:after="240"/>
    </w:pPr>
  </w:style>
  <w:style w:type="paragraph" w:customStyle="1" w:styleId="funkce">
    <w:name w:val="funkce"/>
    <w:basedOn w:val="Normln"/>
    <w:uiPriority w:val="99"/>
    <w:rsid w:val="0032380D"/>
    <w:pPr>
      <w:keepLines/>
      <w:jc w:val="center"/>
    </w:pPr>
  </w:style>
  <w:style w:type="paragraph" w:customStyle="1" w:styleId="Textbodu">
    <w:name w:val="Text bodu"/>
    <w:basedOn w:val="Normln"/>
    <w:uiPriority w:val="99"/>
    <w:rsid w:val="0032380D"/>
    <w:pPr>
      <w:numPr>
        <w:ilvl w:val="2"/>
        <w:numId w:val="5"/>
      </w:numPr>
      <w:outlineLvl w:val="8"/>
    </w:pPr>
  </w:style>
  <w:style w:type="paragraph" w:customStyle="1" w:styleId="Textpsmene">
    <w:name w:val="Text písmene"/>
    <w:basedOn w:val="Normln"/>
    <w:uiPriority w:val="99"/>
    <w:rsid w:val="0032380D"/>
    <w:pPr>
      <w:numPr>
        <w:ilvl w:val="1"/>
        <w:numId w:val="5"/>
      </w:numPr>
      <w:outlineLvl w:val="7"/>
    </w:pPr>
  </w:style>
  <w:style w:type="character" w:styleId="slostrnky">
    <w:name w:val="page number"/>
    <w:uiPriority w:val="99"/>
    <w:rsid w:val="0032380D"/>
    <w:rPr>
      <w:rFonts w:cs="Times New Roman"/>
    </w:rPr>
  </w:style>
  <w:style w:type="paragraph" w:styleId="Zpat">
    <w:name w:val="footer"/>
    <w:basedOn w:val="Normln"/>
    <w:link w:val="ZpatChar"/>
    <w:uiPriority w:val="99"/>
    <w:rsid w:val="0032380D"/>
    <w:pPr>
      <w:tabs>
        <w:tab w:val="center" w:pos="4536"/>
        <w:tab w:val="right" w:pos="9072"/>
      </w:tabs>
    </w:pPr>
  </w:style>
  <w:style w:type="character" w:customStyle="1" w:styleId="ZpatChar">
    <w:name w:val="Zápatí Char"/>
    <w:basedOn w:val="Standardnpsmoodstavce"/>
    <w:link w:val="Zpat"/>
    <w:uiPriority w:val="99"/>
    <w:rsid w:val="0032380D"/>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semiHidden/>
    <w:rsid w:val="0032380D"/>
    <w:pPr>
      <w:tabs>
        <w:tab w:val="left" w:pos="425"/>
      </w:tabs>
      <w:ind w:left="425" w:hanging="425"/>
    </w:pPr>
    <w:rPr>
      <w:sz w:val="20"/>
    </w:rPr>
  </w:style>
  <w:style w:type="character" w:customStyle="1" w:styleId="TextpoznpodarouChar">
    <w:name w:val="Text pozn. pod čarou Char"/>
    <w:basedOn w:val="Standardnpsmoodstavce"/>
    <w:link w:val="Textpoznpodarou"/>
    <w:uiPriority w:val="99"/>
    <w:semiHidden/>
    <w:rsid w:val="0032380D"/>
    <w:rPr>
      <w:rFonts w:ascii="Times New Roman" w:eastAsia="Times New Roman" w:hAnsi="Times New Roman" w:cs="Times New Roman"/>
      <w:sz w:val="20"/>
      <w:szCs w:val="20"/>
      <w:lang w:eastAsia="cs-CZ"/>
    </w:rPr>
  </w:style>
  <w:style w:type="character" w:styleId="Znakapoznpodarou">
    <w:name w:val="footnote reference"/>
    <w:uiPriority w:val="99"/>
    <w:semiHidden/>
    <w:rsid w:val="0032380D"/>
    <w:rPr>
      <w:rFonts w:cs="Times New Roman"/>
      <w:vertAlign w:val="superscript"/>
    </w:rPr>
  </w:style>
  <w:style w:type="paragraph" w:styleId="Titulek">
    <w:name w:val="caption"/>
    <w:basedOn w:val="Normln"/>
    <w:next w:val="Normln"/>
    <w:uiPriority w:val="99"/>
    <w:qFormat/>
    <w:rsid w:val="0032380D"/>
    <w:pPr>
      <w:spacing w:before="120" w:after="120"/>
    </w:pPr>
    <w:rPr>
      <w:b/>
    </w:rPr>
  </w:style>
  <w:style w:type="paragraph" w:customStyle="1" w:styleId="Nvrh">
    <w:name w:val="Návrh"/>
    <w:basedOn w:val="Normln"/>
    <w:next w:val="Normln"/>
    <w:uiPriority w:val="99"/>
    <w:rsid w:val="0032380D"/>
    <w:pPr>
      <w:keepNext/>
      <w:keepLines/>
      <w:spacing w:after="240"/>
      <w:jc w:val="center"/>
      <w:outlineLvl w:val="0"/>
    </w:pPr>
    <w:rPr>
      <w:spacing w:val="40"/>
    </w:rPr>
  </w:style>
  <w:style w:type="paragraph" w:customStyle="1" w:styleId="Podpis">
    <w:name w:val="Podpis_"/>
    <w:basedOn w:val="Normln"/>
    <w:next w:val="funkce"/>
    <w:uiPriority w:val="99"/>
    <w:rsid w:val="0032380D"/>
    <w:pPr>
      <w:keepNext/>
      <w:keepLines/>
      <w:numPr>
        <w:numId w:val="16"/>
      </w:numPr>
      <w:spacing w:before="720"/>
      <w:jc w:val="center"/>
    </w:pPr>
  </w:style>
  <w:style w:type="paragraph" w:customStyle="1" w:styleId="Nadpisparagrafu">
    <w:name w:val="Nadpis paragrafu"/>
    <w:basedOn w:val="Paragraf"/>
    <w:next w:val="Textodstavce"/>
    <w:uiPriority w:val="99"/>
    <w:rsid w:val="0032380D"/>
    <w:pPr>
      <w:numPr>
        <w:numId w:val="15"/>
      </w:numPr>
    </w:pPr>
    <w:rPr>
      <w:b/>
    </w:rPr>
  </w:style>
  <w:style w:type="paragraph" w:customStyle="1" w:styleId="VYHLKA">
    <w:name w:val="VYHLÁŠKA"/>
    <w:basedOn w:val="Normln"/>
    <w:next w:val="nadpisvyhlky"/>
    <w:uiPriority w:val="99"/>
    <w:rsid w:val="0032380D"/>
    <w:pPr>
      <w:keepNext/>
      <w:keepLines/>
      <w:jc w:val="center"/>
      <w:outlineLvl w:val="0"/>
    </w:pPr>
    <w:rPr>
      <w:b/>
      <w:caps/>
    </w:rPr>
  </w:style>
  <w:style w:type="paragraph" w:customStyle="1" w:styleId="VARIANTA">
    <w:name w:val="VARIANTA"/>
    <w:basedOn w:val="Normln"/>
    <w:next w:val="Normln"/>
    <w:uiPriority w:val="99"/>
    <w:rsid w:val="0032380D"/>
    <w:pPr>
      <w:keepNext/>
      <w:spacing w:before="120" w:after="120"/>
    </w:pPr>
    <w:rPr>
      <w:caps/>
      <w:spacing w:val="60"/>
    </w:rPr>
  </w:style>
  <w:style w:type="paragraph" w:customStyle="1" w:styleId="VARIANTA-konec">
    <w:name w:val="VARIANTA - konec"/>
    <w:basedOn w:val="Normln"/>
    <w:next w:val="Normln"/>
    <w:uiPriority w:val="99"/>
    <w:rsid w:val="0032380D"/>
    <w:rPr>
      <w:caps/>
      <w:spacing w:val="60"/>
    </w:rPr>
  </w:style>
  <w:style w:type="character" w:customStyle="1" w:styleId="Odkaznapoznpodarou">
    <w:name w:val="Odkaz na pozn. pod čarou"/>
    <w:uiPriority w:val="99"/>
    <w:rsid w:val="0032380D"/>
    <w:rPr>
      <w:vertAlign w:val="superscript"/>
    </w:rPr>
  </w:style>
  <w:style w:type="paragraph" w:customStyle="1" w:styleId="lnek">
    <w:name w:val="Článek"/>
    <w:basedOn w:val="Normln"/>
    <w:next w:val="Normln"/>
    <w:uiPriority w:val="99"/>
    <w:rsid w:val="0032380D"/>
    <w:pPr>
      <w:keepNext/>
      <w:keepLines/>
      <w:spacing w:before="240"/>
      <w:jc w:val="center"/>
      <w:outlineLvl w:val="5"/>
    </w:pPr>
  </w:style>
  <w:style w:type="paragraph" w:customStyle="1" w:styleId="Nadpislnku">
    <w:name w:val="Nadpis článku"/>
    <w:basedOn w:val="lnek"/>
    <w:next w:val="Normln"/>
    <w:uiPriority w:val="99"/>
    <w:rsid w:val="0032380D"/>
    <w:rPr>
      <w:b/>
    </w:rPr>
  </w:style>
  <w:style w:type="paragraph" w:customStyle="1" w:styleId="Textlnku">
    <w:name w:val="Text článku"/>
    <w:basedOn w:val="Normln"/>
    <w:uiPriority w:val="99"/>
    <w:rsid w:val="0032380D"/>
    <w:pPr>
      <w:spacing w:before="240"/>
      <w:ind w:firstLine="425"/>
      <w:outlineLvl w:val="5"/>
    </w:pPr>
  </w:style>
  <w:style w:type="paragraph" w:customStyle="1" w:styleId="Textbodunovely">
    <w:name w:val="Text bodu novely"/>
    <w:basedOn w:val="Normln"/>
    <w:next w:val="Normln"/>
    <w:uiPriority w:val="99"/>
    <w:rsid w:val="0032380D"/>
    <w:pPr>
      <w:ind w:left="567" w:hanging="567"/>
    </w:pPr>
  </w:style>
  <w:style w:type="paragraph" w:styleId="Zkladntext">
    <w:name w:val="Body Text"/>
    <w:aliases w:val="Základní text Sborník,b"/>
    <w:basedOn w:val="Normln"/>
    <w:link w:val="ZkladntextChar"/>
    <w:uiPriority w:val="99"/>
    <w:rsid w:val="0032380D"/>
  </w:style>
  <w:style w:type="character" w:customStyle="1" w:styleId="ZkladntextChar">
    <w:name w:val="Základní text Char"/>
    <w:aliases w:val="Základní text Sborník Char,b Char"/>
    <w:basedOn w:val="Standardnpsmoodstavce"/>
    <w:link w:val="Zkladntext"/>
    <w:uiPriority w:val="99"/>
    <w:rsid w:val="0032380D"/>
    <w:rPr>
      <w:rFonts w:ascii="Times New Roman" w:eastAsia="Times New Roman" w:hAnsi="Times New Roman" w:cs="Times New Roman"/>
      <w:sz w:val="24"/>
      <w:szCs w:val="20"/>
      <w:lang w:eastAsia="cs-CZ"/>
    </w:rPr>
  </w:style>
  <w:style w:type="paragraph" w:styleId="Seznam2">
    <w:name w:val="List 2"/>
    <w:basedOn w:val="Normln"/>
    <w:uiPriority w:val="99"/>
    <w:rsid w:val="0032380D"/>
    <w:pPr>
      <w:ind w:left="566" w:hanging="283"/>
      <w:jc w:val="left"/>
    </w:pPr>
  </w:style>
  <w:style w:type="paragraph" w:styleId="Zkladntextodsazen2">
    <w:name w:val="Body Text Indent 2"/>
    <w:basedOn w:val="Normln"/>
    <w:link w:val="Zkladntextodsazen2Char"/>
    <w:uiPriority w:val="99"/>
    <w:rsid w:val="0032380D"/>
    <w:pPr>
      <w:ind w:left="360" w:hanging="360"/>
    </w:pPr>
    <w:rPr>
      <w:sz w:val="20"/>
    </w:rPr>
  </w:style>
  <w:style w:type="character" w:customStyle="1" w:styleId="Zkladntextodsazen2Char">
    <w:name w:val="Základní text odsazený 2 Char"/>
    <w:basedOn w:val="Standardnpsmoodstavce"/>
    <w:link w:val="Zkladntextodsazen2"/>
    <w:uiPriority w:val="99"/>
    <w:rsid w:val="0032380D"/>
    <w:rPr>
      <w:rFonts w:ascii="Times New Roman" w:eastAsia="Times New Roman" w:hAnsi="Times New Roman" w:cs="Times New Roman"/>
      <w:sz w:val="20"/>
      <w:szCs w:val="20"/>
      <w:lang w:eastAsia="cs-CZ"/>
    </w:rPr>
  </w:style>
  <w:style w:type="paragraph" w:customStyle="1" w:styleId="BodyText21">
    <w:name w:val="Body Text 21"/>
    <w:basedOn w:val="Normln"/>
    <w:uiPriority w:val="99"/>
    <w:rsid w:val="0032380D"/>
    <w:rPr>
      <w:rFonts w:ascii="Arial" w:hAnsi="Arial" w:cs="Arial"/>
      <w:szCs w:val="24"/>
    </w:rPr>
  </w:style>
  <w:style w:type="character" w:styleId="Siln">
    <w:name w:val="Strong"/>
    <w:uiPriority w:val="99"/>
    <w:qFormat/>
    <w:rsid w:val="0032380D"/>
    <w:rPr>
      <w:rFonts w:cs="Times New Roman"/>
      <w:b/>
    </w:rPr>
  </w:style>
  <w:style w:type="paragraph" w:customStyle="1" w:styleId="Blockquote">
    <w:name w:val="Blockquote"/>
    <w:basedOn w:val="Normln"/>
    <w:uiPriority w:val="99"/>
    <w:rsid w:val="0032380D"/>
    <w:pPr>
      <w:spacing w:before="100" w:after="100"/>
      <w:ind w:left="360" w:right="360"/>
      <w:jc w:val="left"/>
    </w:pPr>
    <w:rPr>
      <w:szCs w:val="24"/>
    </w:rPr>
  </w:style>
  <w:style w:type="paragraph" w:styleId="Zkladntextodsazen">
    <w:name w:val="Body Text Indent"/>
    <w:basedOn w:val="Normln"/>
    <w:link w:val="ZkladntextodsazenChar"/>
    <w:uiPriority w:val="99"/>
    <w:rsid w:val="0032380D"/>
    <w:pPr>
      <w:ind w:firstLine="708"/>
    </w:pPr>
    <w:rPr>
      <w:sz w:val="20"/>
    </w:rPr>
  </w:style>
  <w:style w:type="character" w:customStyle="1" w:styleId="ZkladntextodsazenChar">
    <w:name w:val="Základní text odsazený Char"/>
    <w:basedOn w:val="Standardnpsmoodstavce"/>
    <w:link w:val="Zkladntextodsazen"/>
    <w:uiPriority w:val="99"/>
    <w:rsid w:val="0032380D"/>
    <w:rPr>
      <w:rFonts w:ascii="Times New Roman" w:eastAsia="Times New Roman" w:hAnsi="Times New Roman" w:cs="Times New Roman"/>
      <w:sz w:val="20"/>
      <w:szCs w:val="20"/>
      <w:lang w:eastAsia="cs-CZ"/>
    </w:rPr>
  </w:style>
  <w:style w:type="paragraph" w:styleId="Zkladntextodsazen3">
    <w:name w:val="Body Text Indent 3"/>
    <w:aliases w:val="Základní text odsazený 3a"/>
    <w:basedOn w:val="Normln"/>
    <w:link w:val="Zkladntextodsazen3Char"/>
    <w:uiPriority w:val="99"/>
    <w:rsid w:val="0032380D"/>
    <w:pPr>
      <w:ind w:left="360"/>
    </w:pPr>
    <w:rPr>
      <w:sz w:val="16"/>
      <w:szCs w:val="16"/>
    </w:rPr>
  </w:style>
  <w:style w:type="character" w:customStyle="1" w:styleId="Zkladntextodsazen3Char">
    <w:name w:val="Základní text odsazený 3 Char"/>
    <w:aliases w:val="Základní text odsazený 3a Char"/>
    <w:basedOn w:val="Standardnpsmoodstavce"/>
    <w:link w:val="Zkladntextodsazen3"/>
    <w:uiPriority w:val="99"/>
    <w:rsid w:val="0032380D"/>
    <w:rPr>
      <w:rFonts w:ascii="Times New Roman" w:eastAsia="Times New Roman" w:hAnsi="Times New Roman" w:cs="Times New Roman"/>
      <w:sz w:val="16"/>
      <w:szCs w:val="16"/>
      <w:lang w:eastAsia="cs-CZ"/>
    </w:rPr>
  </w:style>
  <w:style w:type="character" w:customStyle="1" w:styleId="TextodstavceChar">
    <w:name w:val="Text odstavce Char"/>
    <w:uiPriority w:val="99"/>
    <w:rsid w:val="0032380D"/>
    <w:rPr>
      <w:sz w:val="24"/>
    </w:rPr>
  </w:style>
  <w:style w:type="paragraph" w:customStyle="1" w:styleId="BalloonText1">
    <w:name w:val="Balloon Text1"/>
    <w:basedOn w:val="Normln"/>
    <w:uiPriority w:val="99"/>
    <w:semiHidden/>
    <w:rsid w:val="0032380D"/>
    <w:rPr>
      <w:rFonts w:ascii="Tahoma" w:hAnsi="Tahoma" w:cs="Tahoma"/>
      <w:sz w:val="16"/>
      <w:szCs w:val="16"/>
    </w:rPr>
  </w:style>
  <w:style w:type="paragraph" w:styleId="Textvysvtlivek">
    <w:name w:val="endnote text"/>
    <w:basedOn w:val="Normln"/>
    <w:link w:val="TextvysvtlivekChar"/>
    <w:uiPriority w:val="99"/>
    <w:semiHidden/>
    <w:rsid w:val="0032380D"/>
    <w:rPr>
      <w:sz w:val="20"/>
    </w:rPr>
  </w:style>
  <w:style w:type="character" w:customStyle="1" w:styleId="TextvysvtlivekChar">
    <w:name w:val="Text vysvětlivek Char"/>
    <w:basedOn w:val="Standardnpsmoodstavce"/>
    <w:link w:val="Textvysvtlivek"/>
    <w:uiPriority w:val="99"/>
    <w:semiHidden/>
    <w:rsid w:val="0032380D"/>
    <w:rPr>
      <w:rFonts w:ascii="Times New Roman" w:eastAsia="Times New Roman" w:hAnsi="Times New Roman" w:cs="Times New Roman"/>
      <w:sz w:val="20"/>
      <w:szCs w:val="20"/>
      <w:lang w:eastAsia="cs-CZ"/>
    </w:rPr>
  </w:style>
  <w:style w:type="character" w:styleId="Odkaznavysvtlivky">
    <w:name w:val="endnote reference"/>
    <w:uiPriority w:val="99"/>
    <w:semiHidden/>
    <w:rsid w:val="0032380D"/>
    <w:rPr>
      <w:rFonts w:cs="Times New Roman"/>
      <w:vertAlign w:val="superscript"/>
    </w:rPr>
  </w:style>
  <w:style w:type="character" w:styleId="Hypertextovodkaz">
    <w:name w:val="Hyperlink"/>
    <w:uiPriority w:val="99"/>
    <w:rsid w:val="0032380D"/>
    <w:rPr>
      <w:rFonts w:cs="Times New Roman"/>
      <w:color w:val="0000FF"/>
      <w:u w:val="single"/>
    </w:rPr>
  </w:style>
  <w:style w:type="character" w:styleId="Sledovanodkaz">
    <w:name w:val="FollowedHyperlink"/>
    <w:uiPriority w:val="99"/>
    <w:rsid w:val="0032380D"/>
    <w:rPr>
      <w:rFonts w:cs="Times New Roman"/>
      <w:color w:val="800080"/>
      <w:u w:val="single"/>
    </w:rPr>
  </w:style>
  <w:style w:type="paragraph" w:customStyle="1" w:styleId="xl24">
    <w:name w:val="xl24"/>
    <w:basedOn w:val="Normln"/>
    <w:uiPriority w:val="99"/>
    <w:rsid w:val="0032380D"/>
    <w:pPr>
      <w:spacing w:before="100" w:beforeAutospacing="1" w:after="100" w:afterAutospacing="1"/>
      <w:jc w:val="left"/>
    </w:pPr>
    <w:rPr>
      <w:rFonts w:ascii="Arial" w:hAnsi="Arial" w:cs="Arial"/>
      <w:b/>
      <w:bCs/>
      <w:szCs w:val="24"/>
    </w:rPr>
  </w:style>
  <w:style w:type="paragraph" w:customStyle="1" w:styleId="xl25">
    <w:name w:val="xl25"/>
    <w:basedOn w:val="Normln"/>
    <w:uiPriority w:val="99"/>
    <w:rsid w:val="0032380D"/>
    <w:pPr>
      <w:spacing w:before="100" w:beforeAutospacing="1" w:after="100" w:afterAutospacing="1"/>
      <w:jc w:val="left"/>
    </w:pPr>
    <w:rPr>
      <w:rFonts w:ascii="Arial" w:hAnsi="Arial" w:cs="Arial"/>
      <w:b/>
      <w:bCs/>
      <w:szCs w:val="24"/>
    </w:rPr>
  </w:style>
  <w:style w:type="character" w:customStyle="1" w:styleId="TextodstavceCharChar">
    <w:name w:val="Text odstavce Char Char"/>
    <w:uiPriority w:val="99"/>
    <w:rsid w:val="0032380D"/>
    <w:rPr>
      <w:sz w:val="24"/>
      <w:lang w:val="cs-CZ" w:eastAsia="cs-CZ"/>
    </w:rPr>
  </w:style>
  <w:style w:type="character" w:styleId="Odkaznakoment">
    <w:name w:val="annotation reference"/>
    <w:uiPriority w:val="99"/>
    <w:rsid w:val="0032380D"/>
    <w:rPr>
      <w:rFonts w:cs="Times New Roman"/>
      <w:sz w:val="16"/>
    </w:rPr>
  </w:style>
  <w:style w:type="paragraph" w:styleId="Textkomente">
    <w:name w:val="annotation text"/>
    <w:basedOn w:val="Normln"/>
    <w:link w:val="TextkomenteChar"/>
    <w:uiPriority w:val="99"/>
    <w:rsid w:val="0032380D"/>
    <w:pPr>
      <w:jc w:val="left"/>
    </w:pPr>
    <w:rPr>
      <w:sz w:val="20"/>
    </w:rPr>
  </w:style>
  <w:style w:type="character" w:customStyle="1" w:styleId="TextkomenteChar">
    <w:name w:val="Text komentáře Char"/>
    <w:basedOn w:val="Standardnpsmoodstavce"/>
    <w:link w:val="Textkomente"/>
    <w:uiPriority w:val="99"/>
    <w:rsid w:val="0032380D"/>
    <w:rPr>
      <w:rFonts w:ascii="Times New Roman" w:eastAsia="Times New Roman" w:hAnsi="Times New Roman" w:cs="Times New Roman"/>
      <w:sz w:val="20"/>
      <w:szCs w:val="20"/>
      <w:lang w:eastAsia="cs-CZ"/>
    </w:rPr>
  </w:style>
  <w:style w:type="paragraph" w:customStyle="1" w:styleId="xl26">
    <w:name w:val="xl26"/>
    <w:basedOn w:val="Normln"/>
    <w:uiPriority w:val="99"/>
    <w:rsid w:val="003238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27">
    <w:name w:val="xl27"/>
    <w:basedOn w:val="Normln"/>
    <w:uiPriority w:val="99"/>
    <w:rsid w:val="003238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Cs w:val="24"/>
    </w:rPr>
  </w:style>
  <w:style w:type="paragraph" w:customStyle="1" w:styleId="xl28">
    <w:name w:val="xl28"/>
    <w:basedOn w:val="Normln"/>
    <w:uiPriority w:val="99"/>
    <w:rsid w:val="0032380D"/>
    <w:pPr>
      <w:spacing w:before="100" w:beforeAutospacing="1" w:after="100" w:afterAutospacing="1"/>
      <w:jc w:val="left"/>
    </w:pPr>
    <w:rPr>
      <w:rFonts w:ascii="Arial" w:hAnsi="Arial" w:cs="Arial"/>
      <w:b/>
      <w:bCs/>
      <w:szCs w:val="24"/>
    </w:rPr>
  </w:style>
  <w:style w:type="paragraph" w:customStyle="1" w:styleId="Rozloendokumentu1">
    <w:name w:val="Rozložení dokumentu1"/>
    <w:basedOn w:val="Normln"/>
    <w:uiPriority w:val="99"/>
    <w:semiHidden/>
    <w:rsid w:val="0032380D"/>
    <w:pPr>
      <w:shd w:val="clear" w:color="auto" w:fill="000080"/>
    </w:pPr>
    <w:rPr>
      <w:rFonts w:ascii="Tahoma" w:hAnsi="Tahoma" w:cs="Tahoma"/>
      <w:sz w:val="20"/>
    </w:rPr>
  </w:style>
  <w:style w:type="paragraph" w:customStyle="1" w:styleId="textpsmene0">
    <w:name w:val="textpsmene"/>
    <w:basedOn w:val="Normln"/>
    <w:uiPriority w:val="99"/>
    <w:rsid w:val="0032380D"/>
    <w:pPr>
      <w:spacing w:before="100" w:beforeAutospacing="1" w:after="100" w:afterAutospacing="1"/>
      <w:jc w:val="left"/>
    </w:pPr>
    <w:rPr>
      <w:szCs w:val="24"/>
    </w:rPr>
  </w:style>
  <w:style w:type="paragraph" w:customStyle="1" w:styleId="CommentSubject1">
    <w:name w:val="Comment Subject1"/>
    <w:basedOn w:val="Textkomente"/>
    <w:next w:val="Textkomente"/>
    <w:uiPriority w:val="99"/>
    <w:semiHidden/>
    <w:rsid w:val="0032380D"/>
    <w:pPr>
      <w:jc w:val="both"/>
    </w:pPr>
    <w:rPr>
      <w:b/>
      <w:bCs/>
    </w:rPr>
  </w:style>
  <w:style w:type="paragraph" w:customStyle="1" w:styleId="xl29">
    <w:name w:val="xl29"/>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2"/>
      <w:szCs w:val="22"/>
    </w:rPr>
  </w:style>
  <w:style w:type="paragraph" w:customStyle="1" w:styleId="xl30">
    <w:name w:val="xl30"/>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31">
    <w:name w:val="xl31"/>
    <w:basedOn w:val="Normln"/>
    <w:uiPriority w:val="99"/>
    <w:rsid w:val="003238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bCs/>
      <w:szCs w:val="24"/>
    </w:rPr>
  </w:style>
  <w:style w:type="paragraph" w:customStyle="1" w:styleId="xl32">
    <w:name w:val="xl32"/>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3">
    <w:name w:val="xl33"/>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4">
    <w:name w:val="xl34"/>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5">
    <w:name w:val="xl35"/>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36">
    <w:name w:val="xl36"/>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7">
    <w:name w:val="xl37"/>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Odstavecseseznamem1">
    <w:name w:val="Odstavec se seznamem1"/>
    <w:basedOn w:val="Normln"/>
    <w:uiPriority w:val="99"/>
    <w:rsid w:val="0032380D"/>
    <w:pPr>
      <w:ind w:left="708"/>
    </w:pPr>
  </w:style>
  <w:style w:type="paragraph" w:styleId="Prosttext">
    <w:name w:val="Plain Text"/>
    <w:aliases w:val="Char Char Char"/>
    <w:basedOn w:val="Normln"/>
    <w:link w:val="ProsttextChar"/>
    <w:uiPriority w:val="99"/>
    <w:rsid w:val="0032380D"/>
    <w:pPr>
      <w:jc w:val="left"/>
    </w:pPr>
    <w:rPr>
      <w:rFonts w:ascii="Courier New" w:hAnsi="Courier New"/>
      <w:sz w:val="20"/>
    </w:rPr>
  </w:style>
  <w:style w:type="character" w:customStyle="1" w:styleId="ProsttextChar">
    <w:name w:val="Prostý text Char"/>
    <w:aliases w:val="Char Char Char Char"/>
    <w:basedOn w:val="Standardnpsmoodstavce"/>
    <w:link w:val="Prosttext"/>
    <w:uiPriority w:val="99"/>
    <w:rsid w:val="0032380D"/>
    <w:rPr>
      <w:rFonts w:ascii="Courier New" w:eastAsia="Times New Roman" w:hAnsi="Courier New" w:cs="Times New Roman"/>
      <w:sz w:val="20"/>
      <w:szCs w:val="20"/>
      <w:lang w:eastAsia="cs-CZ"/>
    </w:rPr>
  </w:style>
  <w:style w:type="character" w:customStyle="1" w:styleId="PlainTextChar1">
    <w:name w:val="Plain Text Char1"/>
    <w:aliases w:val="Char Char Char Char2"/>
    <w:uiPriority w:val="99"/>
    <w:rsid w:val="0032380D"/>
    <w:rPr>
      <w:rFonts w:ascii="Courier New" w:hAnsi="Courier New"/>
      <w:lang w:val="cs-CZ" w:eastAsia="cs-CZ"/>
    </w:rPr>
  </w:style>
  <w:style w:type="paragraph" w:customStyle="1" w:styleId="CharCharChar1CharCharCharCharCharCharCharCharCharCharCharCharCharCharCharChar">
    <w:name w:val="Char Char Char1 Char Char Char Char Char Char Char Char Char Char Char Char Char Char Char Char"/>
    <w:basedOn w:val="Normln"/>
    <w:uiPriority w:val="99"/>
    <w:rsid w:val="0032380D"/>
    <w:pPr>
      <w:spacing w:after="160" w:line="240" w:lineRule="exact"/>
    </w:pPr>
    <w:rPr>
      <w:rFonts w:ascii="Times New Roman Bold" w:hAnsi="Times New Roman Bold"/>
      <w:sz w:val="22"/>
      <w:szCs w:val="26"/>
      <w:lang w:val="sk-SK" w:eastAsia="en-US"/>
    </w:rPr>
  </w:style>
  <w:style w:type="character" w:customStyle="1" w:styleId="FootnoteTextChar1">
    <w:name w:val="Footnote Text Char1"/>
    <w:uiPriority w:val="99"/>
    <w:semiHidden/>
    <w:locked/>
    <w:rsid w:val="0032380D"/>
    <w:rPr>
      <w:lang w:val="cs-CZ" w:eastAsia="cs-CZ"/>
    </w:rPr>
  </w:style>
  <w:style w:type="paragraph" w:customStyle="1" w:styleId="xl65">
    <w:name w:val="xl65"/>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67">
    <w:name w:val="xl67"/>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character" w:styleId="Zvraznn">
    <w:name w:val="Emphasis"/>
    <w:uiPriority w:val="99"/>
    <w:qFormat/>
    <w:rsid w:val="0032380D"/>
    <w:rPr>
      <w:rFonts w:cs="Times New Roman"/>
      <w:i/>
    </w:rPr>
  </w:style>
  <w:style w:type="paragraph" w:customStyle="1" w:styleId="font5">
    <w:name w:val="font5"/>
    <w:basedOn w:val="Normln"/>
    <w:rsid w:val="0032380D"/>
    <w:pPr>
      <w:spacing w:before="100" w:beforeAutospacing="1" w:after="100" w:afterAutospacing="1"/>
      <w:jc w:val="left"/>
    </w:pPr>
    <w:rPr>
      <w:b/>
      <w:bCs/>
      <w:sz w:val="20"/>
    </w:rPr>
  </w:style>
  <w:style w:type="paragraph" w:customStyle="1" w:styleId="xl68">
    <w:name w:val="xl68"/>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9">
    <w:name w:val="xl69"/>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paragraph" w:customStyle="1" w:styleId="xl70">
    <w:name w:val="xl70"/>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character" w:customStyle="1" w:styleId="CharCharCharChar1">
    <w:name w:val="Char Char Char Char1"/>
    <w:aliases w:val="Char Char Char Char11"/>
    <w:uiPriority w:val="99"/>
    <w:rsid w:val="0032380D"/>
    <w:rPr>
      <w:rFonts w:ascii="Courier New" w:hAnsi="Courier New"/>
      <w:sz w:val="24"/>
      <w:lang w:val="cs-CZ" w:eastAsia="cs-CZ"/>
    </w:rPr>
  </w:style>
  <w:style w:type="paragraph" w:customStyle="1" w:styleId="Odstavecseseznamem2">
    <w:name w:val="Odstavec se seznamem2"/>
    <w:basedOn w:val="Normln"/>
    <w:uiPriority w:val="99"/>
    <w:qFormat/>
    <w:rsid w:val="0032380D"/>
    <w:pPr>
      <w:ind w:left="708"/>
    </w:pPr>
  </w:style>
  <w:style w:type="paragraph" w:styleId="Textbubliny">
    <w:name w:val="Balloon Text"/>
    <w:basedOn w:val="Normln"/>
    <w:link w:val="TextbublinyChar"/>
    <w:uiPriority w:val="99"/>
    <w:semiHidden/>
    <w:rsid w:val="0032380D"/>
    <w:rPr>
      <w:sz w:val="16"/>
    </w:rPr>
  </w:style>
  <w:style w:type="character" w:customStyle="1" w:styleId="TextbublinyChar">
    <w:name w:val="Text bubliny Char"/>
    <w:basedOn w:val="Standardnpsmoodstavce"/>
    <w:link w:val="Textbubliny"/>
    <w:uiPriority w:val="99"/>
    <w:semiHidden/>
    <w:rsid w:val="0032380D"/>
    <w:rPr>
      <w:rFonts w:ascii="Times New Roman" w:eastAsia="Times New Roman" w:hAnsi="Times New Roman" w:cs="Times New Roman"/>
      <w:sz w:val="16"/>
      <w:szCs w:val="20"/>
      <w:lang w:eastAsia="cs-CZ"/>
    </w:rPr>
  </w:style>
  <w:style w:type="paragraph" w:styleId="Pedmtkomente">
    <w:name w:val="annotation subject"/>
    <w:basedOn w:val="Textkomente"/>
    <w:next w:val="Textkomente"/>
    <w:link w:val="PedmtkomenteChar"/>
    <w:uiPriority w:val="99"/>
    <w:semiHidden/>
    <w:rsid w:val="0032380D"/>
    <w:pPr>
      <w:jc w:val="both"/>
    </w:pPr>
    <w:rPr>
      <w:b/>
      <w:bCs/>
    </w:rPr>
  </w:style>
  <w:style w:type="character" w:customStyle="1" w:styleId="PedmtkomenteChar">
    <w:name w:val="Předmět komentáře Char"/>
    <w:basedOn w:val="TextkomenteChar"/>
    <w:link w:val="Pedmtkomente"/>
    <w:uiPriority w:val="99"/>
    <w:semiHidden/>
    <w:rsid w:val="0032380D"/>
    <w:rPr>
      <w:rFonts w:ascii="Times New Roman" w:eastAsia="Times New Roman" w:hAnsi="Times New Roman" w:cs="Times New Roman"/>
      <w:b/>
      <w:bCs/>
      <w:sz w:val="20"/>
      <w:szCs w:val="20"/>
      <w:lang w:eastAsia="cs-CZ"/>
    </w:rPr>
  </w:style>
  <w:style w:type="paragraph" w:customStyle="1" w:styleId="xmsonormal">
    <w:name w:val="x_msonormal"/>
    <w:basedOn w:val="Normln"/>
    <w:uiPriority w:val="99"/>
    <w:rsid w:val="0032380D"/>
    <w:pPr>
      <w:spacing w:before="100" w:beforeAutospacing="1" w:after="100" w:afterAutospacing="1"/>
      <w:jc w:val="left"/>
    </w:pPr>
    <w:rPr>
      <w:szCs w:val="24"/>
    </w:rPr>
  </w:style>
  <w:style w:type="paragraph" w:customStyle="1" w:styleId="Revize1">
    <w:name w:val="Revize1"/>
    <w:hidden/>
    <w:uiPriority w:val="99"/>
    <w:semiHidden/>
    <w:rsid w:val="0032380D"/>
    <w:pPr>
      <w:spacing w:after="0" w:line="240" w:lineRule="auto"/>
    </w:pPr>
    <w:rPr>
      <w:rFonts w:ascii="Times New Roman" w:eastAsia="Times New Roman" w:hAnsi="Times New Roman" w:cs="Times New Roman"/>
      <w:sz w:val="24"/>
      <w:szCs w:val="20"/>
      <w:lang w:eastAsia="cs-CZ"/>
    </w:rPr>
  </w:style>
  <w:style w:type="table" w:styleId="Mkatabulky">
    <w:name w:val="Table Grid"/>
    <w:basedOn w:val="Normlntabulka"/>
    <w:uiPriority w:val="59"/>
    <w:rsid w:val="0032380D"/>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stupntext1">
    <w:name w:val="Zástupný text1"/>
    <w:uiPriority w:val="99"/>
    <w:semiHidden/>
    <w:rsid w:val="0032380D"/>
    <w:rPr>
      <w:rFonts w:cs="Times New Roman"/>
      <w:color w:val="808080"/>
    </w:rPr>
  </w:style>
  <w:style w:type="paragraph" w:customStyle="1" w:styleId="ListParagraph1">
    <w:name w:val="List Paragraph1"/>
    <w:basedOn w:val="Normln"/>
    <w:uiPriority w:val="99"/>
    <w:qFormat/>
    <w:rsid w:val="0032380D"/>
    <w:pPr>
      <w:ind w:left="708"/>
    </w:pPr>
  </w:style>
  <w:style w:type="paragraph" w:styleId="Odstavecseseznamem">
    <w:name w:val="List Paragraph"/>
    <w:basedOn w:val="Normln"/>
    <w:link w:val="OdstavecseseznamemChar"/>
    <w:uiPriority w:val="34"/>
    <w:qFormat/>
    <w:rsid w:val="0032380D"/>
    <w:pPr>
      <w:ind w:left="720"/>
      <w:contextualSpacing/>
    </w:pPr>
  </w:style>
  <w:style w:type="character" w:styleId="Zstupntext">
    <w:name w:val="Placeholder Text"/>
    <w:basedOn w:val="Standardnpsmoodstavce"/>
    <w:uiPriority w:val="99"/>
    <w:semiHidden/>
    <w:rsid w:val="0032380D"/>
    <w:rPr>
      <w:color w:val="808080"/>
    </w:rPr>
  </w:style>
  <w:style w:type="paragraph" w:customStyle="1" w:styleId="xl71">
    <w:name w:val="xl71"/>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3">
    <w:name w:val="xl73"/>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63">
    <w:name w:val="xl63"/>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rPr>
  </w:style>
  <w:style w:type="paragraph" w:customStyle="1" w:styleId="xl64">
    <w:name w:val="xl64"/>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4"/>
    </w:rPr>
  </w:style>
  <w:style w:type="paragraph" w:styleId="Revize">
    <w:name w:val="Revision"/>
    <w:hidden/>
    <w:uiPriority w:val="99"/>
    <w:semiHidden/>
    <w:rsid w:val="0032380D"/>
    <w:pPr>
      <w:spacing w:after="0" w:line="240" w:lineRule="auto"/>
    </w:pPr>
    <w:rPr>
      <w:rFonts w:ascii="Times New Roman" w:eastAsia="Times New Roman" w:hAnsi="Times New Roman" w:cs="Times New Roman"/>
      <w:sz w:val="24"/>
      <w:szCs w:val="20"/>
      <w:lang w:eastAsia="cs-CZ"/>
    </w:rPr>
  </w:style>
  <w:style w:type="paragraph" w:customStyle="1" w:styleId="nazvy">
    <w:name w:val="nazvy"/>
    <w:basedOn w:val="Normln"/>
    <w:rsid w:val="0032380D"/>
    <w:pPr>
      <w:numPr>
        <w:numId w:val="22"/>
      </w:numPr>
    </w:pPr>
  </w:style>
  <w:style w:type="character" w:customStyle="1" w:styleId="Zkladntext3dkovn0pt">
    <w:name w:val="Základní text (3) + Řádkování 0 pt"/>
    <w:basedOn w:val="Standardnpsmoodstavce"/>
    <w:rsid w:val="004A686B"/>
    <w:rPr>
      <w:rFonts w:ascii="Times New Roman" w:eastAsia="Times New Roman" w:hAnsi="Times New Roman" w:cs="Times New Roman"/>
      <w:b/>
      <w:bCs/>
      <w:spacing w:val="10"/>
      <w:sz w:val="20"/>
      <w:szCs w:val="20"/>
      <w:shd w:val="clear" w:color="auto" w:fill="FFFFFF"/>
    </w:rPr>
  </w:style>
  <w:style w:type="paragraph" w:customStyle="1" w:styleId="Odra">
    <w:name w:val="Odr_a"/>
    <w:basedOn w:val="Normln"/>
    <w:link w:val="OdraChar"/>
    <w:rsid w:val="004A686B"/>
    <w:pPr>
      <w:widowControl w:val="0"/>
      <w:numPr>
        <w:numId w:val="27"/>
      </w:numPr>
      <w:spacing w:after="120"/>
      <w:ind w:right="1418"/>
    </w:pPr>
    <w:rPr>
      <w:spacing w:val="5"/>
      <w:szCs w:val="21"/>
      <w:lang w:eastAsia="en-US"/>
    </w:rPr>
  </w:style>
  <w:style w:type="character" w:customStyle="1" w:styleId="OdraChar">
    <w:name w:val="Odr_a Char"/>
    <w:basedOn w:val="Standardnpsmoodstavce"/>
    <w:link w:val="Odra"/>
    <w:rsid w:val="004A686B"/>
    <w:rPr>
      <w:rFonts w:ascii="Times New Roman" w:eastAsia="Times New Roman" w:hAnsi="Times New Roman" w:cs="Times New Roman"/>
      <w:spacing w:val="5"/>
      <w:sz w:val="24"/>
      <w:szCs w:val="21"/>
    </w:rPr>
  </w:style>
  <w:style w:type="character" w:customStyle="1" w:styleId="OdstavecseseznamemChar">
    <w:name w:val="Odstavec se seznamem Char"/>
    <w:basedOn w:val="Standardnpsmoodstavce"/>
    <w:link w:val="Odstavecseseznamem"/>
    <w:uiPriority w:val="34"/>
    <w:rsid w:val="001B6EB7"/>
    <w:rPr>
      <w:rFonts w:ascii="Times New Roman" w:eastAsia="Times New Roman" w:hAnsi="Times New Roman" w:cs="Times New Roman"/>
      <w:sz w:val="24"/>
      <w:szCs w:val="20"/>
      <w:lang w:eastAsia="cs-CZ"/>
    </w:rPr>
  </w:style>
</w:styles>
</file>

<file path=word/webSettings.xml><?xml version="1.0" encoding="utf-8"?>
<w:webSettings xmlns:r="http://schemas.openxmlformats.org/officeDocument/2006/relationships" xmlns:w="http://schemas.openxmlformats.org/wordprocessingml/2006/main">
  <w:divs>
    <w:div w:id="651298961">
      <w:bodyDiv w:val="1"/>
      <w:marLeft w:val="0"/>
      <w:marRight w:val="0"/>
      <w:marTop w:val="0"/>
      <w:marBottom w:val="0"/>
      <w:divBdr>
        <w:top w:val="none" w:sz="0" w:space="0" w:color="auto"/>
        <w:left w:val="none" w:sz="0" w:space="0" w:color="auto"/>
        <w:bottom w:val="none" w:sz="0" w:space="0" w:color="auto"/>
        <w:right w:val="none" w:sz="0" w:space="0" w:color="auto"/>
      </w:divBdr>
    </w:div>
    <w:div w:id="784884198">
      <w:bodyDiv w:val="1"/>
      <w:marLeft w:val="0"/>
      <w:marRight w:val="0"/>
      <w:marTop w:val="0"/>
      <w:marBottom w:val="0"/>
      <w:divBdr>
        <w:top w:val="none" w:sz="0" w:space="0" w:color="auto"/>
        <w:left w:val="none" w:sz="0" w:space="0" w:color="auto"/>
        <w:bottom w:val="none" w:sz="0" w:space="0" w:color="auto"/>
        <w:right w:val="none" w:sz="0" w:space="0" w:color="auto"/>
      </w:divBdr>
    </w:div>
    <w:div w:id="1633247762">
      <w:bodyDiv w:val="1"/>
      <w:marLeft w:val="0"/>
      <w:marRight w:val="0"/>
      <w:marTop w:val="0"/>
      <w:marBottom w:val="0"/>
      <w:divBdr>
        <w:top w:val="none" w:sz="0" w:space="0" w:color="auto"/>
        <w:left w:val="none" w:sz="0" w:space="0" w:color="auto"/>
        <w:bottom w:val="none" w:sz="0" w:space="0" w:color="auto"/>
        <w:right w:val="none" w:sz="0" w:space="0" w:color="auto"/>
      </w:divBdr>
    </w:div>
    <w:div w:id="183881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CF1D9-F292-461E-985C-20D3EAEB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3740</Words>
  <Characters>22071</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Přidal</dc:creator>
  <cp:lastModifiedBy>Martina</cp:lastModifiedBy>
  <cp:revision>2</cp:revision>
  <cp:lastPrinted>2014-07-25T07:53:00Z</cp:lastPrinted>
  <dcterms:created xsi:type="dcterms:W3CDTF">2014-07-28T07:03:00Z</dcterms:created>
  <dcterms:modified xsi:type="dcterms:W3CDTF">2014-07-28T07:03:00Z</dcterms:modified>
</cp:coreProperties>
</file>