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2F" w:rsidRPr="009100D6" w:rsidRDefault="001F7A44" w:rsidP="00A5572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8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8"/>
          <w:szCs w:val="20"/>
          <w:lang w:eastAsia="cs-CZ"/>
        </w:rPr>
        <w:t>I</w:t>
      </w:r>
      <w:r w:rsidR="00A5572F" w:rsidRPr="009100D6">
        <w:rPr>
          <w:rFonts w:ascii="Arial" w:eastAsia="Times New Roman" w:hAnsi="Arial" w:cs="Times New Roman"/>
          <w:b/>
          <w:sz w:val="28"/>
          <w:szCs w:val="20"/>
          <w:lang w:eastAsia="cs-CZ"/>
        </w:rPr>
        <w:t>II.</w:t>
      </w:r>
    </w:p>
    <w:p w:rsidR="00A5572F" w:rsidRPr="00476CB0" w:rsidRDefault="00A5572F" w:rsidP="00E72DA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FF0000"/>
          <w:sz w:val="28"/>
          <w:szCs w:val="20"/>
          <w:lang w:eastAsia="cs-CZ"/>
        </w:rPr>
      </w:pPr>
    </w:p>
    <w:p w:rsidR="00B16F4A" w:rsidRPr="00B16F4A" w:rsidRDefault="00B16F4A" w:rsidP="00B16F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  <w:r w:rsidRPr="00B16F4A">
        <w:rPr>
          <w:rFonts w:ascii="Arial" w:eastAsia="Times New Roman" w:hAnsi="Arial" w:cs="Times New Roman"/>
          <w:b/>
          <w:sz w:val="28"/>
          <w:szCs w:val="20"/>
          <w:lang w:eastAsia="cs-CZ"/>
        </w:rPr>
        <w:t>Souhrnné hodnocení</w:t>
      </w:r>
    </w:p>
    <w:p w:rsidR="00B16F4A" w:rsidRPr="00B16F4A" w:rsidRDefault="00B16F4A" w:rsidP="00B16F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  <w:r w:rsidRPr="00B16F4A">
        <w:rPr>
          <w:rFonts w:ascii="Arial" w:eastAsia="Times New Roman" w:hAnsi="Arial" w:cs="Times New Roman"/>
          <w:b/>
          <w:sz w:val="28"/>
          <w:szCs w:val="20"/>
          <w:lang w:eastAsia="cs-CZ"/>
        </w:rPr>
        <w:t>předpokládaného vývoje systému veřejného zdravotního pojištění v roce 2014</w:t>
      </w:r>
    </w:p>
    <w:p w:rsidR="00B16F4A" w:rsidRPr="00B16F4A" w:rsidRDefault="00B16F4A" w:rsidP="00B16F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  <w:r w:rsidRPr="00B16F4A">
        <w:rPr>
          <w:rFonts w:ascii="Arial" w:eastAsia="Times New Roman" w:hAnsi="Arial" w:cs="Times New Roman"/>
          <w:b/>
          <w:sz w:val="28"/>
          <w:szCs w:val="20"/>
          <w:lang w:eastAsia="cs-CZ"/>
        </w:rPr>
        <w:t>na základě vyhodnocení údajů ZPP 2014</w:t>
      </w:r>
    </w:p>
    <w:p w:rsidR="00A5572F" w:rsidRPr="00B16F4A" w:rsidRDefault="00B16F4A" w:rsidP="00B16F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cs-CZ"/>
        </w:rPr>
      </w:pPr>
      <w:r w:rsidRPr="00B16F4A">
        <w:rPr>
          <w:rFonts w:ascii="Arial" w:eastAsia="Times New Roman" w:hAnsi="Arial" w:cs="Times New Roman"/>
          <w:b/>
          <w:sz w:val="28"/>
          <w:szCs w:val="20"/>
          <w:lang w:eastAsia="cs-CZ"/>
        </w:rPr>
        <w:t>činných zdravotních pojišťoven působících na území</w:t>
      </w:r>
      <w:r w:rsidR="00D65A9E">
        <w:rPr>
          <w:rFonts w:ascii="Arial" w:eastAsia="Times New Roman" w:hAnsi="Arial" w:cs="Times New Roman"/>
          <w:b/>
          <w:sz w:val="28"/>
          <w:szCs w:val="20"/>
          <w:lang w:eastAsia="cs-CZ"/>
        </w:rPr>
        <w:t xml:space="preserve"> ČR</w:t>
      </w:r>
    </w:p>
    <w:p w:rsidR="00A5572F" w:rsidRPr="00B16F4A" w:rsidRDefault="00A5572F" w:rsidP="00B16F4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cs-CZ"/>
        </w:rPr>
      </w:pPr>
    </w:p>
    <w:p w:rsidR="00A5572F" w:rsidRPr="00476CB0" w:rsidRDefault="00A5572F" w:rsidP="00A5572F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cs-CZ"/>
        </w:rPr>
      </w:pPr>
      <w:r w:rsidRPr="00655D8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Úvod </w:t>
      </w:r>
    </w:p>
    <w:p w:rsidR="00737722" w:rsidRDefault="00915D88" w:rsidP="00505AFD">
      <w:pPr>
        <w:spacing w:before="60"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Hodnocení</w:t>
      </w:r>
      <w:r w:rsidR="00A5572F" w:rsidRPr="00A16FE8">
        <w:rPr>
          <w:rFonts w:ascii="Arial" w:eastAsia="Times New Roman" w:hAnsi="Arial" w:cs="Arial"/>
          <w:sz w:val="24"/>
          <w:szCs w:val="24"/>
          <w:lang w:eastAsia="cs-CZ"/>
        </w:rPr>
        <w:t xml:space="preserve"> vychází z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Pr="00915D88">
        <w:rPr>
          <w:rFonts w:ascii="Arial" w:eastAsia="Times New Roman" w:hAnsi="Arial" w:cs="Arial"/>
          <w:sz w:val="24"/>
          <w:szCs w:val="24"/>
          <w:lang w:eastAsia="cs-CZ"/>
        </w:rPr>
        <w:t>ávrhů zdravotně pojistných plánů</w:t>
      </w:r>
      <w:r w:rsidR="00A5572F" w:rsidRPr="00A16FE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30C1C">
        <w:rPr>
          <w:rFonts w:ascii="Arial" w:eastAsia="Times New Roman" w:hAnsi="Arial" w:cs="Arial"/>
          <w:sz w:val="24"/>
          <w:szCs w:val="24"/>
          <w:lang w:eastAsia="cs-CZ"/>
        </w:rPr>
        <w:t>(dále jen „ZPP“)</w:t>
      </w:r>
      <w:r w:rsidR="00A5572F" w:rsidRPr="00A16FE8">
        <w:rPr>
          <w:rFonts w:ascii="Arial" w:eastAsia="Times New Roman" w:hAnsi="Arial" w:cs="Arial"/>
          <w:sz w:val="24"/>
          <w:szCs w:val="24"/>
          <w:lang w:eastAsia="cs-CZ"/>
        </w:rPr>
        <w:t xml:space="preserve"> sedmi činných zdravotních pojišťoven</w:t>
      </w:r>
      <w:r w:rsidR="00E72DA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46370" w:rsidRDefault="00846370" w:rsidP="00915D88">
      <w:pPr>
        <w:spacing w:before="60"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463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Rizika </w:t>
      </w:r>
      <w:r>
        <w:rPr>
          <w:rFonts w:ascii="Arial" w:eastAsia="Times New Roman" w:hAnsi="Arial" w:cs="Arial"/>
          <w:sz w:val="24"/>
          <w:szCs w:val="24"/>
          <w:lang w:eastAsia="cs-CZ"/>
        </w:rPr>
        <w:t>plánovaného vývoje</w:t>
      </w:r>
      <w:r w:rsidR="00030C1C">
        <w:rPr>
          <w:rFonts w:ascii="Arial" w:eastAsia="Times New Roman" w:hAnsi="Arial" w:cs="Arial"/>
          <w:sz w:val="24"/>
          <w:szCs w:val="24"/>
          <w:lang w:eastAsia="cs-CZ"/>
        </w:rPr>
        <w:t xml:space="preserve"> veřejného zdravotního pojištění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0C1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sz w:val="24"/>
          <w:szCs w:val="24"/>
          <w:lang w:eastAsia="cs-CZ"/>
        </w:rPr>
        <w:t>v. z. p.</w:t>
      </w:r>
      <w:r w:rsidR="00030C1C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úrovni jednotlivých pojišťoven představuj</w:t>
      </w:r>
      <w:r w:rsidR="00737722">
        <w:rPr>
          <w:rFonts w:ascii="Arial" w:eastAsia="Times New Roman" w:hAnsi="Arial" w:cs="Arial"/>
          <w:sz w:val="24"/>
          <w:szCs w:val="24"/>
          <w:lang w:eastAsia="cs-CZ"/>
        </w:rPr>
        <w:t>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F80CD0" w:rsidRDefault="00F80CD0" w:rsidP="001D3C8A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Nižší než plánovaný vývoj růstu objemu pojistného v ČR</w:t>
      </w:r>
    </w:p>
    <w:p w:rsidR="00846370" w:rsidRDefault="00846370" w:rsidP="001D3C8A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Platební neschopnost plátců zdravotního pojištění</w:t>
      </w:r>
      <w:r w:rsidR="00F80CD0">
        <w:rPr>
          <w:rFonts w:ascii="Arial" w:hAnsi="Arial" w:cs="Arial"/>
        </w:rPr>
        <w:t xml:space="preserve"> (nedovýběr pojistného)</w:t>
      </w:r>
    </w:p>
    <w:p w:rsidR="00F80CD0" w:rsidRDefault="00F80CD0" w:rsidP="001D3C8A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Nevymahatelnost pohledávek</w:t>
      </w:r>
    </w:p>
    <w:p w:rsidR="00F80CD0" w:rsidRDefault="00F80CD0" w:rsidP="001D3C8A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Vliv cenotvorby a úhrad léčivých přípravků</w:t>
      </w:r>
    </w:p>
    <w:p w:rsidR="00D95123" w:rsidRPr="00C15322" w:rsidRDefault="00F80CD0" w:rsidP="00C15322">
      <w:pPr>
        <w:pStyle w:val="Odstavecseseznamem"/>
        <w:numPr>
          <w:ilvl w:val="0"/>
          <w:numId w:val="1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Vliv legislativního stanovení cen zdravotních služeb</w:t>
      </w:r>
      <w:r w:rsidR="00915D88" w:rsidRPr="00C15322">
        <w:rPr>
          <w:rFonts w:ascii="Arial" w:hAnsi="Arial" w:cs="Arial"/>
        </w:rPr>
        <w:tab/>
      </w:r>
      <w:r w:rsidR="00915D88" w:rsidRPr="00C15322">
        <w:rPr>
          <w:rFonts w:ascii="Arial" w:hAnsi="Arial" w:cs="Arial"/>
        </w:rPr>
        <w:tab/>
      </w:r>
      <w:r w:rsidR="00846370" w:rsidRPr="00C15322">
        <w:rPr>
          <w:rFonts w:ascii="Arial" w:hAnsi="Arial" w:cs="Arial"/>
        </w:rPr>
        <w:t xml:space="preserve"> </w:t>
      </w:r>
    </w:p>
    <w:p w:rsidR="00C15322" w:rsidRDefault="00A5572F" w:rsidP="009246D3">
      <w:pPr>
        <w:spacing w:before="60" w:after="0" w:line="240" w:lineRule="auto"/>
        <w:ind w:firstLine="357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10585C">
        <w:rPr>
          <w:rFonts w:ascii="Arial" w:eastAsia="Times New Roman" w:hAnsi="Arial" w:cs="Arial"/>
          <w:sz w:val="24"/>
          <w:szCs w:val="24"/>
          <w:lang w:eastAsia="cs-CZ"/>
        </w:rPr>
        <w:t>K 1. 1. 201</w:t>
      </w:r>
      <w:r w:rsidR="0010585C" w:rsidRPr="0010585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10585C">
        <w:rPr>
          <w:rFonts w:ascii="Arial" w:eastAsia="Times New Roman" w:hAnsi="Arial" w:cs="Arial"/>
          <w:sz w:val="24"/>
          <w:szCs w:val="24"/>
          <w:lang w:eastAsia="cs-CZ"/>
        </w:rPr>
        <w:t xml:space="preserve"> bylo evidováno </w:t>
      </w:r>
      <w:r w:rsidRPr="0010585C">
        <w:rPr>
          <w:rFonts w:ascii="Arial" w:eastAsia="Times New Roman" w:hAnsi="Arial" w:cs="Arial"/>
          <w:b/>
          <w:sz w:val="24"/>
          <w:szCs w:val="24"/>
          <w:lang w:eastAsia="cs-CZ"/>
        </w:rPr>
        <w:t>10,4 mil. pojištěnců</w:t>
      </w:r>
      <w:r w:rsidRPr="0010585C">
        <w:rPr>
          <w:rFonts w:ascii="Arial" w:eastAsia="Times New Roman" w:hAnsi="Arial" w:cs="Arial"/>
          <w:sz w:val="24"/>
          <w:szCs w:val="24"/>
          <w:lang w:eastAsia="cs-CZ"/>
        </w:rPr>
        <w:t xml:space="preserve">, z toho Všeobecná zdravotní pojišťovna ČR (dále jen 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>„VZP ČR“) registrovala</w:t>
      </w:r>
      <w:r w:rsidRPr="00105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4333" w:rsidRPr="000F4333">
        <w:rPr>
          <w:rFonts w:ascii="Arial" w:eastAsia="Times New Roman" w:hAnsi="Arial" w:cs="Arial"/>
          <w:sz w:val="24"/>
          <w:szCs w:val="24"/>
          <w:lang w:eastAsia="cs-CZ"/>
        </w:rPr>
        <w:t>5,96 mil. pojištěnců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4333" w:rsidRPr="000F4333">
        <w:rPr>
          <w:rFonts w:ascii="Arial" w:eastAsia="Times New Roman" w:hAnsi="Arial" w:cs="Arial"/>
          <w:sz w:val="24"/>
          <w:szCs w:val="24"/>
          <w:lang w:eastAsia="cs-CZ"/>
        </w:rPr>
        <w:t>tj. 57,3% pojištěnců systému v. z. p</w:t>
      </w:r>
      <w:r w:rsidR="000F43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>, což potvrzuje dlouhodobě klesající trend.</w:t>
      </w:r>
      <w:r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:rsidR="000052E8" w:rsidRDefault="00A5572F" w:rsidP="009246D3">
      <w:pPr>
        <w:spacing w:before="60"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A19F9">
        <w:rPr>
          <w:rFonts w:ascii="Arial" w:eastAsia="Times New Roman" w:hAnsi="Arial" w:cs="Arial"/>
          <w:sz w:val="24"/>
          <w:szCs w:val="24"/>
          <w:lang w:eastAsia="cs-CZ"/>
        </w:rPr>
        <w:t xml:space="preserve">Provozování komerčního pojištění v systému v. z. p. </w:t>
      </w:r>
      <w:r w:rsidR="00A316E8">
        <w:rPr>
          <w:rFonts w:ascii="Arial" w:eastAsia="Times New Roman" w:hAnsi="Arial" w:cs="Arial"/>
          <w:sz w:val="24"/>
          <w:szCs w:val="24"/>
          <w:lang w:eastAsia="cs-CZ"/>
        </w:rPr>
        <w:t xml:space="preserve"> účinné právní předpisy </w:t>
      </w:r>
      <w:r w:rsidRPr="001A19F9">
        <w:rPr>
          <w:rFonts w:ascii="Arial" w:eastAsia="Times New Roman" w:hAnsi="Arial" w:cs="Arial"/>
          <w:sz w:val="24"/>
          <w:szCs w:val="24"/>
          <w:lang w:eastAsia="cs-CZ"/>
        </w:rPr>
        <w:t>nepřipouštějí, a proto VZP ČR a Oborová zdravotní pojišťovna zaměstnanců bank, pojišťoven a stavebnictví provozují tento druh pojištění odděleně ve stoprocentně vlastněných dceřiných společnostech.</w:t>
      </w:r>
      <w:r w:rsidR="009246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46D3" w:rsidRPr="009246D3">
        <w:rPr>
          <w:rFonts w:ascii="Arial" w:eastAsia="Times New Roman" w:hAnsi="Arial" w:cs="Arial"/>
          <w:b/>
          <w:sz w:val="24"/>
          <w:szCs w:val="24"/>
          <w:lang w:eastAsia="cs-CZ"/>
        </w:rPr>
        <w:t>Počet zaměstnanců zdravotních pojišťoven v roce 2014 bude činit 5 951</w:t>
      </w:r>
      <w:r w:rsidR="009246D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00D34">
        <w:rPr>
          <w:rFonts w:ascii="Arial" w:eastAsia="Times New Roman" w:hAnsi="Arial" w:cs="Arial"/>
          <w:sz w:val="24"/>
          <w:szCs w:val="24"/>
          <w:lang w:eastAsia="cs-CZ"/>
        </w:rPr>
        <w:t xml:space="preserve">Z toho vyplývá, že počet pojištěnců na 1 zaměstnance bude v průměru 1 748. </w:t>
      </w:r>
    </w:p>
    <w:p w:rsidR="00B00D34" w:rsidRDefault="00B00D34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B21CDF" w:rsidRDefault="00B00D34" w:rsidP="009246D3">
      <w:pPr>
        <w:spacing w:before="60"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Graf č. 1: Počet pojištěnců na 1 zaměstnance</w:t>
      </w:r>
    </w:p>
    <w:p w:rsidR="000052E8" w:rsidRDefault="00002D29" w:rsidP="00002D29">
      <w:pPr>
        <w:spacing w:before="60" w:after="0" w:line="240" w:lineRule="auto"/>
        <w:ind w:firstLine="357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852795" cy="27432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9DF" w:rsidRDefault="00A959DF" w:rsidP="00A5572F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cs-CZ"/>
        </w:rPr>
      </w:pPr>
    </w:p>
    <w:p w:rsidR="00A5572F" w:rsidRDefault="00A5572F" w:rsidP="00A5572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8D383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 xml:space="preserve">1. Příjmy </w:t>
      </w:r>
    </w:p>
    <w:p w:rsidR="00A5572F" w:rsidRPr="00476CB0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:rsidR="00FE3B9D" w:rsidRDefault="00DB6DA1" w:rsidP="00E72D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Příjmy systému v. z. p. v roce  2014 </w:t>
      </w:r>
      <w:r w:rsidR="00B00D34" w:rsidRPr="00E72DA3">
        <w:rPr>
          <w:rFonts w:ascii="Arial" w:eastAsia="Times New Roman" w:hAnsi="Arial" w:cs="Arial"/>
          <w:sz w:val="24"/>
          <w:szCs w:val="24"/>
          <w:lang w:eastAsia="cs-CZ"/>
        </w:rPr>
        <w:t>(Tabulka č. 1 a Graf č. 2)</w:t>
      </w:r>
      <w:r w:rsidR="00B00D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72DA3">
        <w:rPr>
          <w:rFonts w:ascii="Arial" w:eastAsia="Times New Roman" w:hAnsi="Arial" w:cs="Arial"/>
          <w:sz w:val="24"/>
          <w:szCs w:val="24"/>
          <w:lang w:eastAsia="cs-CZ"/>
        </w:rPr>
        <w:t xml:space="preserve">ovlivní </w:t>
      </w:r>
      <w:r w:rsidRPr="00DB6DA1">
        <w:rPr>
          <w:rFonts w:ascii="Arial" w:eastAsia="Times New Roman" w:hAnsi="Arial" w:cs="Arial"/>
          <w:sz w:val="24"/>
          <w:szCs w:val="24"/>
          <w:lang w:eastAsia="cs-CZ"/>
        </w:rPr>
        <w:t>zvýšení částky vyměřovacího základu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pojistného na veřejné zdravotní pojištění u osob, za něž je plátcem pojistného stát, a to z 5 355 Kč na 5 829 Kč za kalendářní měsíc</w:t>
      </w:r>
      <w:r w:rsidR="00440152">
        <w:rPr>
          <w:rFonts w:ascii="Arial" w:eastAsia="Times New Roman" w:hAnsi="Arial" w:cs="Arial"/>
          <w:sz w:val="24"/>
          <w:szCs w:val="24"/>
          <w:lang w:eastAsia="cs-CZ"/>
        </w:rPr>
        <w:t xml:space="preserve"> tj. zvýšena platba za každého „státního pojištěnce“ o 64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(účinnost od 1. 11. 2013). Ve ZPP 2014 jsou příjmy plánovány v souladu s makroekonomickými predikcemi MF</w:t>
      </w:r>
      <w:r w:rsidR="009100D6">
        <w:rPr>
          <w:rFonts w:ascii="Arial" w:eastAsia="Times New Roman" w:hAnsi="Arial" w:cs="Arial"/>
          <w:sz w:val="24"/>
          <w:szCs w:val="24"/>
          <w:lang w:eastAsia="cs-CZ"/>
        </w:rPr>
        <w:t xml:space="preserve"> z </w:t>
      </w:r>
      <w:r w:rsidR="00220F20">
        <w:rPr>
          <w:rFonts w:ascii="Arial" w:eastAsia="Times New Roman" w:hAnsi="Arial" w:cs="Arial"/>
          <w:sz w:val="24"/>
          <w:szCs w:val="24"/>
          <w:lang w:eastAsia="cs-CZ"/>
        </w:rPr>
        <w:t>října</w:t>
      </w:r>
      <w:r w:rsidR="009100D6">
        <w:rPr>
          <w:rFonts w:ascii="Arial" w:eastAsia="Times New Roman" w:hAnsi="Arial" w:cs="Arial"/>
          <w:sz w:val="24"/>
          <w:szCs w:val="24"/>
          <w:lang w:eastAsia="cs-CZ"/>
        </w:rPr>
        <w:t xml:space="preserve"> 2013</w:t>
      </w:r>
      <w:r w:rsidR="00F2416E">
        <w:rPr>
          <w:rFonts w:ascii="Arial" w:eastAsia="Times New Roman" w:hAnsi="Arial" w:cs="Arial"/>
          <w:sz w:val="24"/>
          <w:szCs w:val="24"/>
          <w:lang w:eastAsia="cs-CZ"/>
        </w:rPr>
        <w:t xml:space="preserve"> včetně zohlednění regionálních koeficientů.</w:t>
      </w:r>
    </w:p>
    <w:p w:rsidR="00B00D34" w:rsidRDefault="00B00D34" w:rsidP="00E72D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00D34" w:rsidRDefault="00B00D34" w:rsidP="00E7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1: Plánované příjmy systému v. z. p. 2014</w:t>
      </w: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73"/>
        <w:gridCol w:w="207"/>
        <w:gridCol w:w="960"/>
      </w:tblGrid>
      <w:tr w:rsidR="00C72302" w:rsidRPr="00C72302" w:rsidTr="0014752C">
        <w:trPr>
          <w:trHeight w:val="330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02" w:rsidRPr="00C72302" w:rsidRDefault="009100D6" w:rsidP="008F37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Plánované údaje roku 2014 (</w:t>
            </w:r>
            <w:r w:rsidR="00C72302" w:rsidRPr="00C72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ZPP 2014)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mld. Kč</w:t>
            </w:r>
          </w:p>
        </w:tc>
      </w:tr>
      <w:tr w:rsidR="00C72302" w:rsidRPr="00C72302" w:rsidTr="0014752C">
        <w:trPr>
          <w:trHeight w:val="300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3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3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72302" w:rsidRPr="00C72302" w:rsidTr="0014752C">
        <w:trPr>
          <w:trHeight w:val="315"/>
        </w:trPr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Příjmy z vlastního výběru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175,00</w:t>
            </w:r>
          </w:p>
        </w:tc>
      </w:tr>
      <w:tr w:rsidR="00C72302" w:rsidRPr="00C72302" w:rsidTr="0014752C">
        <w:trPr>
          <w:trHeight w:val="315"/>
        </w:trPr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Příjmy ze státního rozpočtu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59,28</w:t>
            </w:r>
          </w:p>
        </w:tc>
      </w:tr>
      <w:tr w:rsidR="00C72302" w:rsidRPr="00C72302" w:rsidTr="0014752C">
        <w:trPr>
          <w:trHeight w:val="315"/>
        </w:trPr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Ostatní příjmy systému v. z. p.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2,31</w:t>
            </w:r>
          </w:p>
        </w:tc>
      </w:tr>
      <w:tr w:rsidR="00C72302" w:rsidRPr="00C72302" w:rsidTr="0014752C">
        <w:trPr>
          <w:trHeight w:val="315"/>
        </w:trPr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Příjmy od zahraničních pojišťoven a 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0,50</w:t>
            </w:r>
          </w:p>
        </w:tc>
      </w:tr>
      <w:tr w:rsidR="00C72302" w:rsidRPr="00C72302" w:rsidTr="0014752C">
        <w:trPr>
          <w:trHeight w:val="330"/>
        </w:trPr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892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Příjmy ze zdaňovan</w:t>
            </w:r>
            <w:r w:rsidR="00892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ých</w:t>
            </w: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činnost</w:t>
            </w:r>
            <w:r w:rsidR="008925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0,08</w:t>
            </w:r>
          </w:p>
        </w:tc>
      </w:tr>
      <w:tr w:rsidR="00C72302" w:rsidRPr="00C72302" w:rsidTr="0014752C">
        <w:trPr>
          <w:trHeight w:val="33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Celkové příjmy systému v. z. p. </w:t>
            </w: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02" w:rsidRPr="00C72302" w:rsidRDefault="00C72302" w:rsidP="00C72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3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237,17</w:t>
            </w:r>
          </w:p>
        </w:tc>
      </w:tr>
    </w:tbl>
    <w:p w:rsidR="001E2ADA" w:rsidRPr="001E2ADA" w:rsidRDefault="001E2ADA" w:rsidP="001E2ADA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034CB" w:rsidRPr="00F034CB" w:rsidRDefault="00A5572F" w:rsidP="00A5572F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D383D">
        <w:rPr>
          <w:rFonts w:ascii="Arial" w:eastAsia="Times New Roman" w:hAnsi="Arial" w:cs="Arial"/>
          <w:b/>
          <w:sz w:val="24"/>
          <w:szCs w:val="24"/>
          <w:lang w:eastAsia="cs-CZ"/>
        </w:rPr>
        <w:t>Celkové příjmy systému v. z. p.</w:t>
      </w:r>
      <w:r w:rsidRPr="008D38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383D" w:rsidRPr="008D383D">
        <w:rPr>
          <w:rFonts w:ascii="Arial" w:eastAsia="Times New Roman" w:hAnsi="Arial" w:cs="Arial"/>
          <w:sz w:val="24"/>
          <w:szCs w:val="24"/>
          <w:lang w:eastAsia="cs-CZ"/>
        </w:rPr>
        <w:t xml:space="preserve">na rok </w:t>
      </w:r>
      <w:r w:rsidRPr="008D383D">
        <w:rPr>
          <w:rFonts w:ascii="Arial" w:eastAsia="Times New Roman" w:hAnsi="Arial" w:cs="Arial"/>
          <w:sz w:val="24"/>
          <w:szCs w:val="24"/>
          <w:lang w:eastAsia="cs-CZ"/>
        </w:rPr>
        <w:t>201</w:t>
      </w:r>
      <w:r w:rsidR="008D383D" w:rsidRPr="008D383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8D38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383D" w:rsidRPr="008D383D">
        <w:rPr>
          <w:rFonts w:ascii="Arial" w:eastAsia="Times New Roman" w:hAnsi="Arial" w:cs="Arial"/>
          <w:sz w:val="24"/>
          <w:szCs w:val="24"/>
          <w:lang w:eastAsia="cs-CZ"/>
        </w:rPr>
        <w:t xml:space="preserve">jsou plánovány ve výši </w:t>
      </w:r>
      <w:r w:rsidR="00F034CB" w:rsidRPr="00E36F91">
        <w:rPr>
          <w:rFonts w:ascii="Arial" w:eastAsia="Times New Roman" w:hAnsi="Arial" w:cs="Arial"/>
          <w:b/>
          <w:sz w:val="24"/>
          <w:szCs w:val="24"/>
          <w:lang w:eastAsia="cs-CZ"/>
        </w:rPr>
        <w:t>237,2</w:t>
      </w:r>
      <w:r w:rsidRPr="00E36F91">
        <w:rPr>
          <w:rFonts w:ascii="Arial" w:eastAsia="Times New Roman" w:hAnsi="Arial" w:cs="Arial"/>
          <w:b/>
          <w:sz w:val="24"/>
          <w:szCs w:val="24"/>
          <w:lang w:eastAsia="cs-CZ"/>
        </w:rPr>
        <w:t> mld. Kč</w:t>
      </w:r>
      <w:r w:rsidR="00F034CB" w:rsidRPr="00E36F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34CB" w:rsidRPr="00F034CB">
        <w:rPr>
          <w:rFonts w:ascii="Arial" w:eastAsia="Times New Roman" w:hAnsi="Arial" w:cs="Arial"/>
          <w:sz w:val="24"/>
          <w:szCs w:val="24"/>
          <w:lang w:eastAsia="cs-CZ"/>
        </w:rPr>
        <w:t>s </w:t>
      </w:r>
      <w:r w:rsidRPr="00F034CB">
        <w:rPr>
          <w:rFonts w:ascii="Arial" w:eastAsia="Times New Roman" w:hAnsi="Arial" w:cs="Arial"/>
          <w:sz w:val="24"/>
          <w:szCs w:val="24"/>
          <w:lang w:eastAsia="cs-CZ"/>
        </w:rPr>
        <w:t>meziročn</w:t>
      </w:r>
      <w:r w:rsidR="00F034CB" w:rsidRPr="00F034CB">
        <w:rPr>
          <w:rFonts w:ascii="Arial" w:eastAsia="Times New Roman" w:hAnsi="Arial" w:cs="Arial"/>
          <w:sz w:val="24"/>
          <w:szCs w:val="24"/>
          <w:lang w:eastAsia="cs-CZ"/>
        </w:rPr>
        <w:t xml:space="preserve">ím nárůstem </w:t>
      </w:r>
      <w:r w:rsidRPr="00F034CB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F034CB" w:rsidRPr="00F034CB">
        <w:rPr>
          <w:rFonts w:ascii="Arial" w:eastAsia="Times New Roman" w:hAnsi="Arial" w:cs="Arial"/>
          <w:sz w:val="24"/>
          <w:szCs w:val="24"/>
          <w:lang w:eastAsia="cs-CZ"/>
        </w:rPr>
        <w:t>4,4</w:t>
      </w:r>
      <w:r w:rsidRPr="00F034CB">
        <w:rPr>
          <w:rFonts w:ascii="Arial" w:eastAsia="Times New Roman" w:hAnsi="Arial" w:cs="Arial"/>
          <w:sz w:val="24"/>
          <w:szCs w:val="24"/>
          <w:lang w:eastAsia="cs-CZ"/>
        </w:rPr>
        <w:t xml:space="preserve"> % </w:t>
      </w:r>
      <w:r w:rsidR="00E36F91">
        <w:rPr>
          <w:rFonts w:ascii="Arial" w:eastAsia="Times New Roman" w:hAnsi="Arial" w:cs="Arial"/>
          <w:sz w:val="24"/>
          <w:szCs w:val="24"/>
          <w:lang w:eastAsia="cs-CZ"/>
        </w:rPr>
        <w:t>mj. i vlivem zvýšení platby za státní pojištěnce</w:t>
      </w:r>
      <w:r w:rsidR="009213E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5572F" w:rsidRPr="009D63FC" w:rsidRDefault="00A5572F" w:rsidP="00A5572F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105E7">
        <w:rPr>
          <w:rFonts w:ascii="Arial" w:eastAsia="Times New Roman" w:hAnsi="Arial" w:cs="Arial"/>
          <w:b/>
          <w:sz w:val="24"/>
          <w:szCs w:val="24"/>
          <w:lang w:eastAsia="cs-CZ"/>
        </w:rPr>
        <w:t>Příjmy z vlastního výběru</w:t>
      </w:r>
      <w:r w:rsidRPr="006105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63FC">
        <w:rPr>
          <w:rFonts w:ascii="Arial" w:eastAsia="Times New Roman" w:hAnsi="Arial" w:cs="Arial"/>
          <w:sz w:val="24"/>
          <w:szCs w:val="24"/>
          <w:lang w:eastAsia="cs-CZ"/>
        </w:rPr>
        <w:t>pojistného</w:t>
      </w:r>
      <w:r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D63FC" w:rsidRPr="009D63FC">
        <w:rPr>
          <w:rFonts w:ascii="Arial" w:eastAsia="Times New Roman" w:hAnsi="Arial" w:cs="Arial"/>
          <w:sz w:val="24"/>
          <w:szCs w:val="24"/>
          <w:lang w:eastAsia="cs-CZ"/>
        </w:rPr>
        <w:t xml:space="preserve">budou </w:t>
      </w:r>
      <w:r w:rsidRPr="009D63FC">
        <w:rPr>
          <w:rFonts w:ascii="Arial" w:eastAsia="Times New Roman" w:hAnsi="Arial" w:cs="Arial"/>
          <w:sz w:val="24"/>
          <w:szCs w:val="24"/>
          <w:lang w:eastAsia="cs-CZ"/>
        </w:rPr>
        <w:t>čin</w:t>
      </w:r>
      <w:r w:rsidR="009D63FC" w:rsidRPr="009D63FC">
        <w:rPr>
          <w:rFonts w:ascii="Arial" w:eastAsia="Times New Roman" w:hAnsi="Arial" w:cs="Arial"/>
          <w:sz w:val="24"/>
          <w:szCs w:val="24"/>
          <w:lang w:eastAsia="cs-CZ"/>
        </w:rPr>
        <w:t>it</w:t>
      </w:r>
      <w:r w:rsidRPr="009D63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63FC" w:rsidRPr="00CC62BD">
        <w:rPr>
          <w:rFonts w:ascii="Arial" w:eastAsia="Times New Roman" w:hAnsi="Arial" w:cs="Arial"/>
          <w:b/>
          <w:sz w:val="24"/>
          <w:szCs w:val="24"/>
          <w:lang w:eastAsia="cs-CZ"/>
        </w:rPr>
        <w:t>175 mld. Kč</w:t>
      </w:r>
      <w:r w:rsidR="009D63FC" w:rsidRPr="009D63FC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Pr="009D63FC">
        <w:rPr>
          <w:rFonts w:ascii="Arial" w:eastAsia="Times New Roman" w:hAnsi="Arial" w:cs="Arial"/>
          <w:sz w:val="24"/>
          <w:szCs w:val="24"/>
          <w:lang w:eastAsia="cs-CZ"/>
        </w:rPr>
        <w:t>meziročn</w:t>
      </w:r>
      <w:r w:rsidR="009D63FC" w:rsidRPr="009D63FC">
        <w:rPr>
          <w:rFonts w:ascii="Arial" w:eastAsia="Times New Roman" w:hAnsi="Arial" w:cs="Arial"/>
          <w:sz w:val="24"/>
          <w:szCs w:val="24"/>
          <w:lang w:eastAsia="cs-CZ"/>
        </w:rPr>
        <w:t xml:space="preserve">í nárůst </w:t>
      </w:r>
      <w:r w:rsidRPr="009D63FC">
        <w:rPr>
          <w:rFonts w:ascii="Arial" w:eastAsia="Times New Roman" w:hAnsi="Arial" w:cs="Arial"/>
          <w:sz w:val="24"/>
          <w:szCs w:val="24"/>
          <w:lang w:eastAsia="cs-CZ"/>
        </w:rPr>
        <w:t>o </w:t>
      </w:r>
      <w:r w:rsidR="009D63FC" w:rsidRPr="009D63FC">
        <w:rPr>
          <w:rFonts w:ascii="Arial" w:eastAsia="Times New Roman" w:hAnsi="Arial" w:cs="Arial"/>
          <w:sz w:val="24"/>
          <w:szCs w:val="24"/>
          <w:lang w:eastAsia="cs-CZ"/>
        </w:rPr>
        <w:t>2,2</w:t>
      </w:r>
      <w:r w:rsidRPr="009D63FC">
        <w:rPr>
          <w:rFonts w:ascii="Arial" w:eastAsia="Times New Roman" w:hAnsi="Arial" w:cs="Arial"/>
          <w:sz w:val="24"/>
          <w:szCs w:val="24"/>
          <w:lang w:eastAsia="cs-CZ"/>
        </w:rPr>
        <w:t> %</w:t>
      </w:r>
      <w:r w:rsidR="009D63FC" w:rsidRPr="009D63FC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9D63F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5572F" w:rsidRPr="00632099" w:rsidRDefault="00A5572F" w:rsidP="00A5572F">
      <w:pPr>
        <w:spacing w:after="12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105E7">
        <w:rPr>
          <w:rFonts w:ascii="Arial" w:eastAsia="Times New Roman" w:hAnsi="Arial" w:cs="Arial"/>
          <w:b/>
          <w:sz w:val="24"/>
          <w:szCs w:val="24"/>
          <w:lang w:eastAsia="cs-CZ"/>
        </w:rPr>
        <w:t>Příjmy ze státního rozpočtu</w:t>
      </w:r>
      <w:r w:rsidRPr="006105E7">
        <w:rPr>
          <w:rFonts w:ascii="Arial" w:eastAsia="Times New Roman" w:hAnsi="Arial" w:cs="Arial"/>
          <w:sz w:val="24"/>
          <w:szCs w:val="24"/>
          <w:lang w:eastAsia="cs-CZ"/>
        </w:rPr>
        <w:t xml:space="preserve"> za osoby, za které je plátcem pojistného stát (dále „platba státu“), které spolu s výběrem pojistného podléhají stoprocentnímu přerozdělování, 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tvoří </w:t>
      </w:r>
      <w:r w:rsidR="00B7325A"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cca 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B7325A" w:rsidRPr="00B7325A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> % z celkových příjmů systému v. z. p. v</w:t>
      </w:r>
      <w:r w:rsidR="00B36C43">
        <w:rPr>
          <w:rFonts w:ascii="Arial" w:eastAsia="Times New Roman" w:hAnsi="Arial" w:cs="Arial"/>
          <w:sz w:val="24"/>
          <w:szCs w:val="24"/>
          <w:lang w:eastAsia="cs-CZ"/>
        </w:rPr>
        <w:t xml:space="preserve"> plánované 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hodnotě </w:t>
      </w:r>
      <w:r w:rsidR="00B7325A" w:rsidRPr="00837A5C">
        <w:rPr>
          <w:rFonts w:ascii="Arial" w:eastAsia="Times New Roman" w:hAnsi="Arial" w:cs="Arial"/>
          <w:b/>
          <w:sz w:val="24"/>
          <w:szCs w:val="24"/>
          <w:lang w:eastAsia="cs-CZ"/>
        </w:rPr>
        <w:t>59,3</w:t>
      </w:r>
      <w:r w:rsidRPr="00837A5C">
        <w:rPr>
          <w:rFonts w:ascii="Arial" w:eastAsia="Times New Roman" w:hAnsi="Arial" w:cs="Arial"/>
          <w:b/>
          <w:sz w:val="24"/>
          <w:szCs w:val="24"/>
          <w:lang w:eastAsia="cs-CZ"/>
        </w:rPr>
        <w:t> mld. Kč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 (předsunut</w:t>
      </w:r>
      <w:r w:rsidR="00B36C4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 platb</w:t>
      </w:r>
      <w:r w:rsidR="00B36C4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 státu</w:t>
      </w:r>
      <w:r w:rsidR="00376611">
        <w:rPr>
          <w:rFonts w:ascii="Arial" w:eastAsia="Times New Roman" w:hAnsi="Arial" w:cs="Arial"/>
          <w:sz w:val="24"/>
          <w:szCs w:val="24"/>
          <w:lang w:eastAsia="cs-CZ"/>
        </w:rPr>
        <w:t xml:space="preserve"> resp. změna frekvence a výše plateb státu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 ve výši 4</w:t>
      </w:r>
      <w:r w:rsidR="00B7325A" w:rsidRPr="00B7325A">
        <w:rPr>
          <w:rFonts w:ascii="Arial" w:eastAsia="Times New Roman" w:hAnsi="Arial" w:cs="Arial"/>
          <w:sz w:val="24"/>
          <w:szCs w:val="24"/>
          <w:lang w:eastAsia="cs-CZ"/>
        </w:rPr>
        <w:t>,8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 mld. Kč, která byla součástí 1. přerozdělování v lednu 201</w:t>
      </w:r>
      <w:r w:rsidR="00B7325A" w:rsidRPr="00B7325A">
        <w:rPr>
          <w:rFonts w:ascii="Arial" w:eastAsia="Times New Roman" w:hAnsi="Arial" w:cs="Arial"/>
          <w:sz w:val="24"/>
          <w:szCs w:val="24"/>
          <w:lang w:eastAsia="cs-CZ"/>
        </w:rPr>
        <w:t xml:space="preserve">4, </w:t>
      </w:r>
      <w:r w:rsidR="00B36C43">
        <w:rPr>
          <w:rFonts w:ascii="Arial" w:eastAsia="Times New Roman" w:hAnsi="Arial" w:cs="Arial"/>
          <w:sz w:val="24"/>
          <w:szCs w:val="24"/>
          <w:lang w:eastAsia="cs-CZ"/>
        </w:rPr>
        <w:t xml:space="preserve"> bude </w:t>
      </w:r>
      <w:r w:rsidR="00B7325A" w:rsidRPr="00B7325A">
        <w:rPr>
          <w:rFonts w:ascii="Arial" w:eastAsia="Times New Roman" w:hAnsi="Arial" w:cs="Arial"/>
          <w:sz w:val="24"/>
          <w:szCs w:val="24"/>
          <w:lang w:eastAsia="cs-CZ"/>
        </w:rPr>
        <w:t>ještě bě</w:t>
      </w:r>
      <w:r w:rsidR="009100D6">
        <w:rPr>
          <w:rFonts w:ascii="Arial" w:eastAsia="Times New Roman" w:hAnsi="Arial" w:cs="Arial"/>
          <w:sz w:val="24"/>
          <w:szCs w:val="24"/>
          <w:lang w:eastAsia="cs-CZ"/>
        </w:rPr>
        <w:t xml:space="preserve">hem roku 2014 vyrovnána, takže </w:t>
      </w:r>
      <w:r w:rsidR="00B7325A" w:rsidRPr="00B7325A">
        <w:rPr>
          <w:rFonts w:ascii="Arial" w:eastAsia="Times New Roman" w:hAnsi="Arial" w:cs="Arial"/>
          <w:sz w:val="24"/>
          <w:szCs w:val="24"/>
          <w:lang w:eastAsia="cs-CZ"/>
        </w:rPr>
        <w:t>výši příjmů roku 2014 ne</w:t>
      </w:r>
      <w:r w:rsidR="00B36C4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B7325A" w:rsidRPr="00B7325A">
        <w:rPr>
          <w:rFonts w:ascii="Arial" w:eastAsia="Times New Roman" w:hAnsi="Arial" w:cs="Arial"/>
          <w:sz w:val="24"/>
          <w:szCs w:val="24"/>
          <w:lang w:eastAsia="cs-CZ"/>
        </w:rPr>
        <w:t>vliv</w:t>
      </w:r>
      <w:r w:rsidR="00B36C43">
        <w:rPr>
          <w:rFonts w:ascii="Arial" w:eastAsia="Times New Roman" w:hAnsi="Arial" w:cs="Arial"/>
          <w:sz w:val="24"/>
          <w:szCs w:val="24"/>
          <w:lang w:eastAsia="cs-CZ"/>
        </w:rPr>
        <w:t>ní</w:t>
      </w:r>
      <w:r w:rsidRPr="00B7325A">
        <w:rPr>
          <w:rFonts w:ascii="Arial" w:eastAsia="Times New Roman" w:hAnsi="Arial" w:cs="Arial"/>
          <w:sz w:val="24"/>
          <w:szCs w:val="24"/>
          <w:lang w:eastAsia="cs-CZ"/>
        </w:rPr>
        <w:t>).</w:t>
      </w:r>
      <w:r w:rsidR="00376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7A5C">
        <w:rPr>
          <w:rFonts w:ascii="Arial" w:eastAsia="Times New Roman" w:hAnsi="Arial" w:cs="Arial"/>
          <w:sz w:val="24"/>
          <w:szCs w:val="24"/>
          <w:lang w:eastAsia="cs-CZ"/>
        </w:rPr>
        <w:t>V současné době však již známe schválenou částku rozpočtu platb</w:t>
      </w:r>
      <w:r w:rsidR="007235EC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837A5C">
        <w:rPr>
          <w:rFonts w:ascii="Arial" w:eastAsia="Times New Roman" w:hAnsi="Arial" w:cs="Arial"/>
          <w:sz w:val="24"/>
          <w:szCs w:val="24"/>
          <w:lang w:eastAsia="cs-CZ"/>
        </w:rPr>
        <w:t xml:space="preserve"> státu </w:t>
      </w:r>
      <w:r w:rsidR="007235EC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837A5C">
        <w:rPr>
          <w:rFonts w:ascii="Arial" w:eastAsia="Times New Roman" w:hAnsi="Arial" w:cs="Arial"/>
          <w:sz w:val="24"/>
          <w:szCs w:val="24"/>
          <w:lang w:eastAsia="cs-CZ"/>
        </w:rPr>
        <w:t>a rok 2014 a ta činí 57,9 mld. Kč.</w:t>
      </w:r>
      <w:r w:rsidR="007235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7A5C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7235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7A5C">
        <w:rPr>
          <w:rFonts w:ascii="Arial" w:eastAsia="Times New Roman" w:hAnsi="Arial" w:cs="Arial"/>
          <w:sz w:val="24"/>
          <w:szCs w:val="24"/>
          <w:lang w:eastAsia="cs-CZ"/>
        </w:rPr>
        <w:t xml:space="preserve">znamená, že </w:t>
      </w:r>
      <w:r w:rsidR="00837A5C" w:rsidRPr="00632099">
        <w:rPr>
          <w:rFonts w:ascii="Arial" w:eastAsia="Times New Roman" w:hAnsi="Arial" w:cs="Arial"/>
          <w:b/>
          <w:sz w:val="24"/>
          <w:szCs w:val="24"/>
          <w:lang w:eastAsia="cs-CZ"/>
        </w:rPr>
        <w:t>plánovaná částka ve ZPP 2014 je nadhodnocena o cca 1,4 mld. Kč.</w:t>
      </w:r>
    </w:p>
    <w:p w:rsidR="00A5572F" w:rsidRPr="00AD4215" w:rsidRDefault="00A5572F" w:rsidP="002C136C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105E7">
        <w:rPr>
          <w:rFonts w:ascii="Arial" w:eastAsia="Times New Roman" w:hAnsi="Arial" w:cs="Arial"/>
          <w:b/>
          <w:sz w:val="24"/>
          <w:szCs w:val="24"/>
          <w:lang w:eastAsia="cs-CZ"/>
        </w:rPr>
        <w:t>Ostatní příjmy systému v. z. p.</w:t>
      </w:r>
      <w:r w:rsidRPr="006105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5622">
        <w:rPr>
          <w:rFonts w:ascii="Arial" w:eastAsia="Times New Roman" w:hAnsi="Arial" w:cs="Arial"/>
          <w:sz w:val="24"/>
          <w:szCs w:val="24"/>
          <w:lang w:eastAsia="cs-CZ"/>
        </w:rPr>
        <w:t xml:space="preserve">ve výši cca 1 % z celkových příjmů v hodnotě </w:t>
      </w:r>
      <w:r w:rsidR="001E5622" w:rsidRPr="001E5622">
        <w:rPr>
          <w:rFonts w:ascii="Arial" w:eastAsia="Times New Roman" w:hAnsi="Arial" w:cs="Arial"/>
          <w:sz w:val="24"/>
          <w:szCs w:val="24"/>
          <w:lang w:eastAsia="cs-CZ"/>
        </w:rPr>
        <w:t xml:space="preserve">2,3 </w:t>
      </w:r>
      <w:r w:rsidRPr="001E5622">
        <w:rPr>
          <w:rFonts w:ascii="Arial" w:eastAsia="Times New Roman" w:hAnsi="Arial" w:cs="Arial"/>
          <w:sz w:val="24"/>
          <w:szCs w:val="24"/>
          <w:lang w:eastAsia="cs-CZ"/>
        </w:rPr>
        <w:t> mld. Kč mají jen marginální význam a tvoří je především sankční příjmy</w:t>
      </w:r>
      <w:r w:rsidR="00AD4215">
        <w:rPr>
          <w:rFonts w:ascii="Arial" w:eastAsia="Times New Roman" w:hAnsi="Arial" w:cs="Arial"/>
          <w:sz w:val="24"/>
          <w:szCs w:val="24"/>
          <w:lang w:eastAsia="cs-CZ"/>
        </w:rPr>
        <w:t xml:space="preserve"> (penále, pokuty, přirážky</w:t>
      </w:r>
      <w:r w:rsidRPr="001E562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D4215">
        <w:rPr>
          <w:rFonts w:ascii="Arial" w:eastAsia="Times New Roman" w:hAnsi="Arial" w:cs="Arial"/>
          <w:sz w:val="24"/>
          <w:szCs w:val="24"/>
          <w:lang w:eastAsia="cs-CZ"/>
        </w:rPr>
        <w:t xml:space="preserve"> náhrady škod) a</w:t>
      </w:r>
      <w:r w:rsidRPr="001E5622">
        <w:rPr>
          <w:rFonts w:ascii="Arial" w:eastAsia="Times New Roman" w:hAnsi="Arial" w:cs="Arial"/>
          <w:sz w:val="24"/>
          <w:szCs w:val="24"/>
          <w:lang w:eastAsia="cs-CZ"/>
        </w:rPr>
        <w:t xml:space="preserve"> úroky</w:t>
      </w:r>
      <w:r w:rsidR="00AD421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070EC">
        <w:rPr>
          <w:rFonts w:ascii="Arial" w:eastAsia="Times New Roman" w:hAnsi="Arial" w:cs="Arial"/>
          <w:sz w:val="24"/>
          <w:szCs w:val="24"/>
          <w:lang w:eastAsia="cs-CZ"/>
        </w:rPr>
        <w:t xml:space="preserve"> Příjmy od zahraničních pojišťoven a Ministerstva obrany se předpokládají ve výši 0,5 mld. Kč tj. cca 0,21% celkových příjmů v. z. p.</w:t>
      </w:r>
      <w:r w:rsidR="002C136C">
        <w:rPr>
          <w:rFonts w:ascii="Arial" w:eastAsia="Times New Roman" w:hAnsi="Arial" w:cs="Arial"/>
          <w:sz w:val="24"/>
          <w:szCs w:val="24"/>
          <w:lang w:eastAsia="cs-CZ"/>
        </w:rPr>
        <w:t xml:space="preserve"> Zcela minimální podíl na celkových příjmech mají příjmy ze zdaňovaných činností</w:t>
      </w:r>
      <w:r w:rsidR="009100D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C136C">
        <w:rPr>
          <w:rFonts w:ascii="Arial" w:eastAsia="Times New Roman" w:hAnsi="Arial" w:cs="Arial"/>
          <w:sz w:val="24"/>
          <w:szCs w:val="24"/>
          <w:lang w:eastAsia="cs-CZ"/>
        </w:rPr>
        <w:t xml:space="preserve"> a to ve výši 0,03% v plánované hodnotě 0,08 mld. Kč. </w:t>
      </w:r>
      <w:r w:rsidRPr="00AD4215">
        <w:rPr>
          <w:rFonts w:ascii="Arial" w:eastAsia="Times New Roman" w:hAnsi="Arial" w:cs="Arial"/>
          <w:sz w:val="24"/>
          <w:szCs w:val="24"/>
          <w:lang w:eastAsia="cs-CZ"/>
        </w:rPr>
        <w:t xml:space="preserve">Struktura zdaňovaných činností se dlouhodobě nemění, neboť </w:t>
      </w:r>
      <w:r w:rsidR="004A1295">
        <w:rPr>
          <w:rFonts w:ascii="Arial" w:eastAsia="Times New Roman" w:hAnsi="Arial" w:cs="Arial"/>
          <w:sz w:val="24"/>
          <w:szCs w:val="24"/>
          <w:lang w:eastAsia="cs-CZ"/>
        </w:rPr>
        <w:t>účinné</w:t>
      </w:r>
      <w:r w:rsidR="004A1295" w:rsidRPr="00AD42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D4215">
        <w:rPr>
          <w:rFonts w:ascii="Arial" w:eastAsia="Times New Roman" w:hAnsi="Arial" w:cs="Arial"/>
          <w:sz w:val="24"/>
          <w:szCs w:val="24"/>
          <w:lang w:eastAsia="cs-CZ"/>
        </w:rPr>
        <w:t xml:space="preserve">právní předpisy zdravotním pojišťovnám umožňují pouze omezený rozsah vlastních aktivit. Jimi jsou především pronájmy nevyužitých nebytových prostor a zprostředkování prodeje komerčního pojištění. Zisky po zdanění z těchto činností využívají ZP v souladu se zákony a rozhodnutími správních rad na posilování fondů v. z. p., nově i Fondu prevence. </w:t>
      </w:r>
    </w:p>
    <w:p w:rsidR="00440152" w:rsidRPr="00E72DA3" w:rsidRDefault="00B00D34" w:rsidP="00E7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2DA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Graf č. 2: Plánované příjmy systému v. z. p. 2014</w:t>
      </w:r>
    </w:p>
    <w:p w:rsidR="00A5572F" w:rsidRPr="00476CB0" w:rsidRDefault="00356FF0" w:rsidP="00A5572F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9450" cy="3934134"/>
            <wp:effectExtent l="0" t="0" r="12700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572F" w:rsidRPr="00476CB0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A5572F" w:rsidRPr="00476CB0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:rsidR="00A5572F" w:rsidRPr="00FE3B9D" w:rsidRDefault="00FE3B9D" w:rsidP="00FE3B9D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3B9D">
        <w:rPr>
          <w:rFonts w:ascii="Arial" w:eastAsia="Times New Roman" w:hAnsi="Arial" w:cs="Arial"/>
          <w:sz w:val="24"/>
          <w:szCs w:val="24"/>
          <w:lang w:eastAsia="cs-CZ"/>
        </w:rPr>
        <w:t>Plánované p</w:t>
      </w:r>
      <w:r w:rsidR="00A5572F" w:rsidRPr="00FE3B9D">
        <w:rPr>
          <w:rFonts w:ascii="Arial" w:eastAsia="Times New Roman" w:hAnsi="Arial" w:cs="Arial"/>
          <w:sz w:val="24"/>
          <w:szCs w:val="24"/>
          <w:lang w:eastAsia="cs-CZ"/>
        </w:rPr>
        <w:t xml:space="preserve">říjmy jednotlivých zdravotních pojišťoven </w:t>
      </w:r>
      <w:r w:rsidRPr="00FE3B9D">
        <w:rPr>
          <w:rFonts w:ascii="Arial" w:eastAsia="Times New Roman" w:hAnsi="Arial" w:cs="Arial"/>
          <w:sz w:val="24"/>
          <w:szCs w:val="24"/>
          <w:lang w:eastAsia="cs-CZ"/>
        </w:rPr>
        <w:t xml:space="preserve">v různém členění a v porovnání s očekávanou skutečností 2013 podrobněji viz </w:t>
      </w:r>
      <w:r w:rsidR="00A5572F" w:rsidRPr="00FE3B9D">
        <w:rPr>
          <w:rFonts w:ascii="Arial" w:eastAsia="Times New Roman" w:hAnsi="Arial" w:cs="Arial"/>
          <w:sz w:val="24"/>
          <w:szCs w:val="24"/>
          <w:lang w:eastAsia="cs-CZ"/>
        </w:rPr>
        <w:t xml:space="preserve">Tabulková příloha Tabulka č. 1 str. </w:t>
      </w:r>
      <w:r>
        <w:rPr>
          <w:rFonts w:ascii="Arial" w:eastAsia="Times New Roman" w:hAnsi="Arial" w:cs="Arial"/>
          <w:sz w:val="24"/>
          <w:szCs w:val="24"/>
          <w:lang w:eastAsia="cs-CZ"/>
        </w:rPr>
        <w:t>2-3</w:t>
      </w:r>
      <w:r w:rsidR="00A5572F" w:rsidRPr="00FE3B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5572F" w:rsidRPr="00476CB0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A5572F" w:rsidRPr="00476CB0" w:rsidRDefault="00A5572F" w:rsidP="00A557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E72DA3" w:rsidRDefault="00E72DA3">
      <w:pPr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br w:type="page"/>
      </w:r>
    </w:p>
    <w:p w:rsidR="00A5572F" w:rsidRPr="0002139D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2139D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 xml:space="preserve">2. Výdaje </w:t>
      </w:r>
    </w:p>
    <w:p w:rsidR="00A5572F" w:rsidRPr="0002139D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00D34" w:rsidRDefault="0002139D" w:rsidP="00E72DA3">
      <w:pPr>
        <w:spacing w:after="0"/>
        <w:ind w:firstLine="426"/>
        <w:rPr>
          <w:rFonts w:ascii="Arial" w:eastAsia="Times New Roman" w:hAnsi="Arial" w:cs="Arial"/>
          <w:sz w:val="24"/>
          <w:szCs w:val="24"/>
          <w:lang w:eastAsia="cs-CZ"/>
        </w:rPr>
      </w:pPr>
      <w:r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>Plánované výdaje</w:t>
      </w:r>
      <w:r w:rsidRPr="000213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0D34">
        <w:rPr>
          <w:rFonts w:ascii="Arial" w:eastAsia="Times New Roman" w:hAnsi="Arial" w:cs="Arial"/>
          <w:sz w:val="24"/>
          <w:szCs w:val="24"/>
          <w:lang w:eastAsia="cs-CZ"/>
        </w:rPr>
        <w:t>(Tabulka č. 2, Graf č. 3 a č. 4)</w:t>
      </w:r>
      <w:r w:rsidR="00B00D34" w:rsidRPr="000213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2139D">
        <w:rPr>
          <w:rFonts w:ascii="Arial" w:eastAsia="Times New Roman" w:hAnsi="Arial" w:cs="Arial"/>
          <w:sz w:val="24"/>
          <w:szCs w:val="24"/>
          <w:lang w:eastAsia="cs-CZ"/>
        </w:rPr>
        <w:t>jsou ve ZPP 2014</w:t>
      </w:r>
      <w:r w:rsidRPr="000213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2139D">
        <w:rPr>
          <w:rFonts w:ascii="Arial" w:eastAsia="Times New Roman" w:hAnsi="Arial" w:cs="Arial"/>
          <w:sz w:val="24"/>
          <w:szCs w:val="24"/>
          <w:lang w:eastAsia="cs-CZ"/>
        </w:rPr>
        <w:t>v souladu s modelacemi úhradové vyhlášky na rok 2014 Ministerstva zdravotnictví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00D34" w:rsidRPr="00E72DA3" w:rsidRDefault="0002139D" w:rsidP="00E72DA3">
      <w:pPr>
        <w:spacing w:after="0"/>
        <w:ind w:firstLine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10E4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8410E4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8410E4" w:rsidRPr="00B00D34" w:rsidRDefault="00B00D34" w:rsidP="00560587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E72DA3">
        <w:rPr>
          <w:rFonts w:ascii="Arial" w:eastAsia="Times New Roman" w:hAnsi="Arial" w:cs="Arial"/>
          <w:sz w:val="24"/>
          <w:szCs w:val="24"/>
          <w:lang w:eastAsia="cs-CZ"/>
        </w:rPr>
        <w:t>Tabulka č. 2</w:t>
      </w:r>
      <w:r w:rsidR="00560587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E72DA3">
        <w:rPr>
          <w:rFonts w:ascii="Arial" w:eastAsia="Times New Roman" w:hAnsi="Arial" w:cs="Arial"/>
          <w:sz w:val="24"/>
          <w:szCs w:val="24"/>
          <w:lang w:eastAsia="cs-CZ"/>
        </w:rPr>
        <w:t>Plánované výdaje systému v. z. p. 2014</w:t>
      </w:r>
    </w:p>
    <w:tbl>
      <w:tblPr>
        <w:tblW w:w="68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48"/>
        <w:gridCol w:w="207"/>
        <w:gridCol w:w="960"/>
      </w:tblGrid>
      <w:tr w:rsidR="008410E4" w:rsidRPr="008410E4" w:rsidTr="001731B0">
        <w:trPr>
          <w:trHeight w:val="330"/>
        </w:trPr>
        <w:tc>
          <w:tcPr>
            <w:tcW w:w="5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E4" w:rsidRPr="008410E4" w:rsidRDefault="009100D6" w:rsidP="00841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Plánované údaje roku 2014 (ZPP 2014</w:t>
            </w:r>
            <w:r w:rsidR="008410E4" w:rsidRPr="008410E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mld. Kč</w:t>
            </w:r>
          </w:p>
        </w:tc>
      </w:tr>
      <w:tr w:rsidR="008410E4" w:rsidRPr="008410E4" w:rsidTr="001731B0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Výdaje na zdravot</w:t>
            </w:r>
            <w:r w:rsidR="006D0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ní služby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E4" w:rsidRPr="008410E4" w:rsidRDefault="006D0869" w:rsidP="00841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230,55</w:t>
            </w:r>
          </w:p>
        </w:tc>
      </w:tr>
      <w:tr w:rsidR="006D0869" w:rsidRPr="008410E4" w:rsidTr="001731B0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0869" w:rsidRPr="008410E4" w:rsidRDefault="006D0869" w:rsidP="00841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Zálohy za cizince, specifické fondy VoZP ČR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0869" w:rsidRPr="008410E4" w:rsidRDefault="006D0869" w:rsidP="00841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0,59</w:t>
            </w:r>
          </w:p>
        </w:tc>
      </w:tr>
      <w:tr w:rsidR="008410E4" w:rsidRPr="008410E4" w:rsidTr="001731B0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Provozní výdaje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7,08</w:t>
            </w:r>
          </w:p>
        </w:tc>
      </w:tr>
      <w:tr w:rsidR="008410E4" w:rsidRPr="008410E4" w:rsidTr="001731B0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Výdaje na investice z FRM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1,15</w:t>
            </w:r>
          </w:p>
        </w:tc>
      </w:tr>
      <w:tr w:rsidR="008410E4" w:rsidRPr="008410E4" w:rsidTr="001731B0">
        <w:trPr>
          <w:trHeight w:val="330"/>
        </w:trPr>
        <w:tc>
          <w:tcPr>
            <w:tcW w:w="5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Výdaje na zdaňovanou činnost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0,05</w:t>
            </w:r>
          </w:p>
        </w:tc>
      </w:tr>
      <w:tr w:rsidR="008410E4" w:rsidRPr="008410E4" w:rsidTr="001731B0">
        <w:trPr>
          <w:trHeight w:val="330"/>
        </w:trPr>
        <w:tc>
          <w:tcPr>
            <w:tcW w:w="5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Celkové výdaje systému v. z. p.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E4" w:rsidRPr="008410E4" w:rsidRDefault="008410E4" w:rsidP="00841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10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239,42</w:t>
            </w:r>
          </w:p>
        </w:tc>
      </w:tr>
    </w:tbl>
    <w:p w:rsidR="0002139D" w:rsidRDefault="0002139D" w:rsidP="0002139D">
      <w:pPr>
        <w:ind w:firstLine="426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5572F" w:rsidRPr="00632F84" w:rsidRDefault="00A5572F" w:rsidP="00A5572F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2F84">
        <w:rPr>
          <w:rFonts w:ascii="Arial" w:eastAsia="Times New Roman" w:hAnsi="Arial" w:cs="Arial"/>
          <w:b/>
          <w:sz w:val="24"/>
          <w:szCs w:val="24"/>
          <w:lang w:eastAsia="cs-CZ"/>
        </w:rPr>
        <w:t>Celkové výdaje systému v. z. p.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2F84" w:rsidRPr="00632F84">
        <w:rPr>
          <w:rFonts w:ascii="Arial" w:eastAsia="Times New Roman" w:hAnsi="Arial" w:cs="Arial"/>
          <w:sz w:val="24"/>
          <w:szCs w:val="24"/>
          <w:lang w:eastAsia="cs-CZ"/>
        </w:rPr>
        <w:t xml:space="preserve">na rok 2014 jsou plánovány ve výši 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2F84" w:rsidRPr="00254313">
        <w:rPr>
          <w:rFonts w:ascii="Arial" w:eastAsia="Times New Roman" w:hAnsi="Arial" w:cs="Arial"/>
          <w:b/>
          <w:sz w:val="24"/>
          <w:szCs w:val="24"/>
          <w:lang w:eastAsia="cs-CZ"/>
        </w:rPr>
        <w:t>239,4</w:t>
      </w:r>
      <w:r w:rsidRPr="00254313">
        <w:rPr>
          <w:rFonts w:ascii="Arial" w:eastAsia="Times New Roman" w:hAnsi="Arial" w:cs="Arial"/>
          <w:b/>
          <w:sz w:val="24"/>
          <w:szCs w:val="24"/>
          <w:lang w:eastAsia="cs-CZ"/>
        </w:rPr>
        <w:t> mld. Kč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2F84" w:rsidRPr="00632F84">
        <w:rPr>
          <w:rFonts w:ascii="Arial" w:eastAsia="Times New Roman" w:hAnsi="Arial" w:cs="Arial"/>
          <w:sz w:val="24"/>
          <w:szCs w:val="24"/>
          <w:lang w:eastAsia="cs-CZ"/>
        </w:rPr>
        <w:t>s 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>meziročn</w:t>
      </w:r>
      <w:r w:rsidR="00632F84" w:rsidRPr="00632F84">
        <w:rPr>
          <w:rFonts w:ascii="Arial" w:eastAsia="Times New Roman" w:hAnsi="Arial" w:cs="Arial"/>
          <w:sz w:val="24"/>
          <w:szCs w:val="24"/>
          <w:lang w:eastAsia="cs-CZ"/>
        </w:rPr>
        <w:t>ím nárůstem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 xml:space="preserve"> o </w:t>
      </w:r>
      <w:r w:rsidR="00632F84" w:rsidRPr="00632F84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 xml:space="preserve"> %. V přepočtu na jednoho pojištěnce </w:t>
      </w:r>
      <w:r w:rsidR="00632F84">
        <w:rPr>
          <w:rFonts w:ascii="Arial" w:eastAsia="Times New Roman" w:hAnsi="Arial" w:cs="Arial"/>
          <w:sz w:val="24"/>
          <w:szCs w:val="24"/>
          <w:lang w:eastAsia="cs-CZ"/>
        </w:rPr>
        <w:t xml:space="preserve">pak 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 xml:space="preserve">činí celkové výdaje systému v. z. p. </w:t>
      </w:r>
      <w:r w:rsidR="00632F84">
        <w:rPr>
          <w:rFonts w:ascii="Arial" w:eastAsia="Times New Roman" w:hAnsi="Arial" w:cs="Arial"/>
          <w:sz w:val="24"/>
          <w:szCs w:val="24"/>
          <w:lang w:eastAsia="cs-CZ"/>
        </w:rPr>
        <w:t xml:space="preserve"> 23 045</w:t>
      </w:r>
      <w:r w:rsidRPr="00632F84">
        <w:rPr>
          <w:rFonts w:ascii="Arial" w:eastAsia="Times New Roman" w:hAnsi="Arial" w:cs="Arial"/>
          <w:sz w:val="24"/>
          <w:szCs w:val="24"/>
          <w:lang w:eastAsia="cs-CZ"/>
        </w:rPr>
        <w:t> Kč.</w:t>
      </w:r>
    </w:p>
    <w:p w:rsidR="00A5572F" w:rsidRPr="00632F84" w:rsidRDefault="00A5572F" w:rsidP="00A5572F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07C0B" w:rsidRDefault="00A5572F" w:rsidP="00B250C8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Z toho </w:t>
      </w:r>
      <w:r w:rsidRPr="00AE5A1A">
        <w:rPr>
          <w:rFonts w:ascii="Arial" w:eastAsia="Times New Roman" w:hAnsi="Arial" w:cs="Arial"/>
          <w:b/>
          <w:sz w:val="24"/>
          <w:szCs w:val="24"/>
          <w:lang w:eastAsia="cs-CZ"/>
        </w:rPr>
        <w:t>výdaje na zdravotní služby</w:t>
      </w:r>
      <w:r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5A1A"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jsou plánovány ve výši </w:t>
      </w:r>
      <w:r w:rsidR="00AE5A1A" w:rsidRPr="00254313">
        <w:rPr>
          <w:rFonts w:ascii="Arial" w:eastAsia="Times New Roman" w:hAnsi="Arial" w:cs="Arial"/>
          <w:b/>
          <w:sz w:val="24"/>
          <w:szCs w:val="24"/>
          <w:lang w:eastAsia="cs-CZ"/>
        </w:rPr>
        <w:t>230,55</w:t>
      </w:r>
      <w:r w:rsidRPr="00254313">
        <w:rPr>
          <w:rFonts w:ascii="Arial" w:eastAsia="Times New Roman" w:hAnsi="Arial" w:cs="Arial"/>
          <w:b/>
          <w:sz w:val="24"/>
          <w:szCs w:val="24"/>
          <w:lang w:eastAsia="cs-CZ"/>
        </w:rPr>
        <w:t> mld. Kč</w:t>
      </w:r>
      <w:r w:rsidR="00AE5A1A">
        <w:rPr>
          <w:rFonts w:ascii="Arial" w:eastAsia="Times New Roman" w:hAnsi="Arial" w:cs="Arial"/>
          <w:sz w:val="24"/>
          <w:szCs w:val="24"/>
          <w:lang w:eastAsia="cs-CZ"/>
        </w:rPr>
        <w:t xml:space="preserve"> s meziročním nárůstem </w:t>
      </w:r>
      <w:r w:rsidRPr="00AE5A1A">
        <w:rPr>
          <w:rFonts w:ascii="Arial" w:eastAsia="Times New Roman" w:hAnsi="Arial" w:cs="Arial"/>
          <w:sz w:val="24"/>
          <w:szCs w:val="24"/>
          <w:lang w:eastAsia="cs-CZ"/>
        </w:rPr>
        <w:t>o </w:t>
      </w:r>
      <w:r w:rsidR="00AE5A1A" w:rsidRPr="00AE5A1A">
        <w:rPr>
          <w:rFonts w:ascii="Arial" w:eastAsia="Times New Roman" w:hAnsi="Arial" w:cs="Arial"/>
          <w:sz w:val="24"/>
          <w:szCs w:val="24"/>
          <w:lang w:eastAsia="cs-CZ"/>
        </w:rPr>
        <w:t>3,9</w:t>
      </w:r>
      <w:r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 % </w:t>
      </w:r>
      <w:r w:rsidR="00AE5A1A"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především </w:t>
      </w:r>
      <w:r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v důsledku </w:t>
      </w:r>
      <w:r w:rsidR="00AE5A1A"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modelace </w:t>
      </w:r>
      <w:r w:rsidRPr="00AE5A1A">
        <w:rPr>
          <w:rFonts w:ascii="Arial" w:eastAsia="Times New Roman" w:hAnsi="Arial" w:cs="Arial"/>
          <w:sz w:val="24"/>
          <w:szCs w:val="24"/>
          <w:lang w:eastAsia="cs-CZ"/>
        </w:rPr>
        <w:t>úhradové vyhlášky platné pro r</w:t>
      </w:r>
      <w:r w:rsidR="00AE5A1A" w:rsidRPr="00AE5A1A">
        <w:rPr>
          <w:rFonts w:ascii="Arial" w:eastAsia="Times New Roman" w:hAnsi="Arial" w:cs="Arial"/>
          <w:sz w:val="24"/>
          <w:szCs w:val="24"/>
          <w:lang w:eastAsia="cs-CZ"/>
        </w:rPr>
        <w:t xml:space="preserve">ok </w:t>
      </w:r>
      <w:r w:rsidRPr="00AE5A1A">
        <w:rPr>
          <w:rFonts w:ascii="Arial" w:eastAsia="Times New Roman" w:hAnsi="Arial" w:cs="Arial"/>
          <w:sz w:val="24"/>
          <w:szCs w:val="24"/>
          <w:lang w:eastAsia="cs-CZ"/>
        </w:rPr>
        <w:t> 201</w:t>
      </w:r>
      <w:r w:rsidR="00AE5A1A" w:rsidRPr="00AE5A1A">
        <w:rPr>
          <w:rFonts w:ascii="Arial" w:eastAsia="Times New Roman" w:hAnsi="Arial" w:cs="Arial"/>
          <w:sz w:val="24"/>
          <w:szCs w:val="24"/>
          <w:lang w:eastAsia="cs-CZ"/>
        </w:rPr>
        <w:t>4.</w:t>
      </w:r>
    </w:p>
    <w:p w:rsidR="00507C0B" w:rsidRDefault="00507C0B" w:rsidP="004119C9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0672D" w:rsidRDefault="0000672D" w:rsidP="0000672D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Graf č. 3: Plánované výdaje systému v. z. p. 2014</w:t>
      </w:r>
    </w:p>
    <w:p w:rsidR="00507C0B" w:rsidRDefault="00A959DF" w:rsidP="00B250C8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6176010" cy="3462655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72F" w:rsidRPr="00476CB0" w:rsidRDefault="00A5572F" w:rsidP="004119C9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A5572F" w:rsidRDefault="00A5572F" w:rsidP="00560587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37845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Provozní výdaje</w:t>
      </w:r>
      <w:r w:rsidRPr="00E37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7845" w:rsidRPr="00E37845">
        <w:rPr>
          <w:rFonts w:ascii="Arial" w:eastAsia="Times New Roman" w:hAnsi="Arial" w:cs="Arial"/>
          <w:sz w:val="24"/>
          <w:szCs w:val="24"/>
          <w:lang w:eastAsia="cs-CZ"/>
        </w:rPr>
        <w:t xml:space="preserve">budou v roce 2014 činit </w:t>
      </w:r>
      <w:r w:rsidR="00E37845" w:rsidRPr="006D2A51">
        <w:rPr>
          <w:rFonts w:ascii="Arial" w:eastAsia="Times New Roman" w:hAnsi="Arial" w:cs="Arial"/>
          <w:b/>
          <w:sz w:val="24"/>
          <w:szCs w:val="24"/>
          <w:lang w:eastAsia="cs-CZ"/>
        </w:rPr>
        <w:t>7,1</w:t>
      </w:r>
      <w:r w:rsidRPr="006D2A51">
        <w:rPr>
          <w:rFonts w:ascii="Arial" w:eastAsia="Times New Roman" w:hAnsi="Arial" w:cs="Arial"/>
          <w:b/>
          <w:sz w:val="24"/>
          <w:szCs w:val="24"/>
          <w:lang w:eastAsia="cs-CZ"/>
        </w:rPr>
        <w:t> mld. Kč</w:t>
      </w:r>
      <w:r w:rsidRPr="00E37845">
        <w:rPr>
          <w:rFonts w:ascii="Arial" w:eastAsia="Times New Roman" w:hAnsi="Arial" w:cs="Arial"/>
          <w:sz w:val="24"/>
          <w:szCs w:val="24"/>
          <w:lang w:eastAsia="cs-CZ"/>
        </w:rPr>
        <w:t>. Jejich hodnota byla snížena v souladu s provedenou úpravou limitu nákladů na činnost od 1. 1. 2013.</w:t>
      </w:r>
      <w:r w:rsidRPr="00E37845">
        <w:rPr>
          <w:rFonts w:ascii="Arial" w:eastAsia="Times New Roman" w:hAnsi="Arial" w:cs="Arial"/>
          <w:b/>
          <w:sz w:val="24"/>
          <w:szCs w:val="24"/>
          <w:vertAlign w:val="superscript"/>
          <w:lang w:eastAsia="cs-CZ"/>
        </w:rPr>
        <w:footnoteReference w:id="1"/>
      </w:r>
      <w:r w:rsidRPr="00E37845">
        <w:rPr>
          <w:rFonts w:ascii="Arial" w:eastAsia="Times New Roman" w:hAnsi="Arial" w:cs="Arial"/>
          <w:sz w:val="24"/>
          <w:szCs w:val="24"/>
          <w:lang w:eastAsia="cs-CZ"/>
        </w:rPr>
        <w:t xml:space="preserve"> Aktuální propočtené limity, limity zdravotně pojistných plánů a procenta jejich plnění viz Tabulková příloha Tabulka č. 1a. </w:t>
      </w:r>
      <w:r w:rsidR="00544E22" w:rsidRPr="00544E22">
        <w:rPr>
          <w:rFonts w:ascii="Arial" w:eastAsia="Times New Roman" w:hAnsi="Arial" w:cs="Arial"/>
          <w:b/>
          <w:sz w:val="24"/>
          <w:szCs w:val="24"/>
          <w:lang w:eastAsia="cs-CZ"/>
        </w:rPr>
        <w:t>Výdaje na investice</w:t>
      </w:r>
      <w:r w:rsidR="00544E22">
        <w:rPr>
          <w:rFonts w:ascii="Arial" w:eastAsia="Times New Roman" w:hAnsi="Arial" w:cs="Arial"/>
          <w:sz w:val="24"/>
          <w:szCs w:val="24"/>
          <w:lang w:eastAsia="cs-CZ"/>
        </w:rPr>
        <w:t xml:space="preserve"> z FRM se plánují ve výši cca </w:t>
      </w:r>
      <w:r w:rsidR="00560587">
        <w:rPr>
          <w:rFonts w:ascii="Arial" w:eastAsia="Times New Roman" w:hAnsi="Arial" w:cs="Arial"/>
          <w:b/>
          <w:sz w:val="24"/>
          <w:szCs w:val="24"/>
          <w:lang w:eastAsia="cs-CZ"/>
        </w:rPr>
        <w:t>1,2 mld. Kč.</w:t>
      </w:r>
    </w:p>
    <w:p w:rsidR="00560587" w:rsidRDefault="00560587" w:rsidP="00560587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60587" w:rsidRPr="00E72DA3" w:rsidRDefault="00560587" w:rsidP="00E72DA3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Graf č. 4: Plánované výdaje systému v. z. p. 2014</w:t>
      </w:r>
    </w:p>
    <w:p w:rsidR="00D377D3" w:rsidRDefault="00194496" w:rsidP="00A5572F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810250" cy="3838575"/>
            <wp:effectExtent l="0" t="0" r="19050" b="952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572F" w:rsidRPr="00707B70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D377D3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informace viz Tabulková příloha Tabulka č. 1 str. </w:t>
      </w:r>
      <w:r w:rsidR="00D377D3" w:rsidRPr="00D377D3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377D3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D377D3" w:rsidRPr="00AC6065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707B7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72DA3" w:rsidRDefault="00E72DA3">
      <w:pP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cs-CZ"/>
        </w:rPr>
        <w:br w:type="page"/>
      </w:r>
    </w:p>
    <w:p w:rsidR="00A5572F" w:rsidRPr="006A0DD5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A0DD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 xml:space="preserve">3. Saldo </w:t>
      </w:r>
    </w:p>
    <w:p w:rsidR="00A5572F" w:rsidRPr="00476CB0" w:rsidRDefault="00A5572F" w:rsidP="00A5572F">
      <w:pPr>
        <w:spacing w:before="60"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:rsidR="00EA0990" w:rsidRDefault="00C34CCA" w:rsidP="00220F20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34CCA">
        <w:rPr>
          <w:rFonts w:ascii="Arial" w:eastAsia="Times New Roman" w:hAnsi="Arial" w:cs="Arial"/>
          <w:b/>
          <w:sz w:val="24"/>
          <w:szCs w:val="24"/>
          <w:lang w:eastAsia="cs-CZ"/>
        </w:rPr>
        <w:t>Plánované s</w:t>
      </w:r>
      <w:r w:rsidR="00A5572F" w:rsidRPr="00C34CCA">
        <w:rPr>
          <w:rFonts w:ascii="Arial" w:eastAsia="Times New Roman" w:hAnsi="Arial" w:cs="Arial"/>
          <w:b/>
          <w:sz w:val="24"/>
          <w:szCs w:val="24"/>
          <w:lang w:eastAsia="cs-CZ"/>
        </w:rPr>
        <w:t>aldo příjmů a výdajů celkem</w:t>
      </w:r>
      <w:r w:rsidR="00A5572F" w:rsidRPr="00C34C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systému v. z. p.</w:t>
      </w:r>
      <w:r w:rsidR="00A5572F" w:rsidRPr="00C34CCA">
        <w:rPr>
          <w:rFonts w:ascii="Arial" w:eastAsia="Times New Roman" w:hAnsi="Arial" w:cs="Arial"/>
          <w:sz w:val="24"/>
          <w:szCs w:val="24"/>
          <w:lang w:eastAsia="cs-CZ"/>
        </w:rPr>
        <w:t xml:space="preserve"> činí </w:t>
      </w:r>
      <w:r w:rsidRPr="00C34CCA">
        <w:rPr>
          <w:rFonts w:ascii="Arial" w:eastAsia="Times New Roman" w:hAnsi="Arial" w:cs="Arial"/>
          <w:sz w:val="24"/>
          <w:szCs w:val="24"/>
          <w:lang w:eastAsia="cs-CZ"/>
        </w:rPr>
        <w:t>záporn</w:t>
      </w:r>
      <w:r w:rsidR="000D64E7">
        <w:rPr>
          <w:rFonts w:ascii="Arial" w:eastAsia="Times New Roman" w:hAnsi="Arial" w:cs="Arial"/>
          <w:sz w:val="24"/>
          <w:szCs w:val="24"/>
          <w:lang w:eastAsia="cs-CZ"/>
        </w:rPr>
        <w:t xml:space="preserve">ou </w:t>
      </w:r>
      <w:r w:rsidRPr="00C34CCA">
        <w:rPr>
          <w:rFonts w:ascii="Arial" w:eastAsia="Times New Roman" w:hAnsi="Arial" w:cs="Arial"/>
          <w:sz w:val="24"/>
          <w:szCs w:val="24"/>
          <w:lang w:eastAsia="cs-CZ"/>
        </w:rPr>
        <w:t>hodnot</w:t>
      </w:r>
      <w:r w:rsidR="000D64E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C34CCA">
        <w:rPr>
          <w:rFonts w:ascii="Arial" w:eastAsia="Times New Roman" w:hAnsi="Arial" w:cs="Arial"/>
          <w:sz w:val="24"/>
          <w:szCs w:val="24"/>
          <w:lang w:eastAsia="cs-CZ"/>
        </w:rPr>
        <w:t xml:space="preserve"> cca </w:t>
      </w:r>
      <w:r w:rsidRPr="00C34CC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- </w:t>
      </w:r>
      <w:r w:rsidR="00A5572F" w:rsidRPr="00C34CCA">
        <w:rPr>
          <w:rFonts w:ascii="Arial" w:eastAsia="Times New Roman" w:hAnsi="Arial" w:cs="Arial"/>
          <w:b/>
          <w:sz w:val="24"/>
          <w:szCs w:val="24"/>
          <w:lang w:eastAsia="cs-CZ"/>
        </w:rPr>
        <w:t>2,</w:t>
      </w:r>
      <w:r w:rsidR="00F52252">
        <w:rPr>
          <w:rFonts w:ascii="Arial" w:eastAsia="Times New Roman" w:hAnsi="Arial" w:cs="Arial"/>
          <w:b/>
          <w:sz w:val="24"/>
          <w:szCs w:val="24"/>
          <w:lang w:eastAsia="cs-CZ"/>
        </w:rPr>
        <w:t>25</w:t>
      </w:r>
      <w:r w:rsidR="00A5572F" w:rsidRPr="00C34CCA">
        <w:rPr>
          <w:rFonts w:ascii="Arial" w:eastAsia="Times New Roman" w:hAnsi="Arial" w:cs="Arial"/>
          <w:b/>
          <w:sz w:val="24"/>
          <w:szCs w:val="24"/>
          <w:lang w:eastAsia="cs-CZ"/>
        </w:rPr>
        <w:t> mld. Kč</w:t>
      </w:r>
      <w:r w:rsidR="00A5572F" w:rsidRPr="00C34CCA">
        <w:rPr>
          <w:rFonts w:ascii="Arial" w:eastAsia="Times New Roman" w:hAnsi="Arial" w:cs="Arial"/>
          <w:sz w:val="24"/>
          <w:szCs w:val="24"/>
          <w:lang w:eastAsia="cs-CZ"/>
        </w:rPr>
        <w:t xml:space="preserve"> (viz </w:t>
      </w:r>
      <w:r w:rsidR="00560587">
        <w:rPr>
          <w:rFonts w:ascii="Arial" w:eastAsia="Times New Roman" w:hAnsi="Arial" w:cs="Arial"/>
          <w:sz w:val="24"/>
          <w:szCs w:val="24"/>
          <w:lang w:eastAsia="cs-CZ"/>
        </w:rPr>
        <w:t xml:space="preserve">Tabulková příloha </w:t>
      </w:r>
      <w:r w:rsidR="00A5572F" w:rsidRPr="00C34CCA">
        <w:rPr>
          <w:rFonts w:ascii="Arial" w:eastAsia="Times New Roman" w:hAnsi="Arial" w:cs="Arial"/>
          <w:sz w:val="24"/>
          <w:szCs w:val="24"/>
          <w:lang w:eastAsia="cs-CZ"/>
        </w:rPr>
        <w:t xml:space="preserve">Tabulka č. 1 str. 6). </w:t>
      </w:r>
      <w:r w:rsidR="008758E8">
        <w:rPr>
          <w:rFonts w:ascii="Arial" w:eastAsia="Times New Roman" w:hAnsi="Arial" w:cs="Arial"/>
          <w:sz w:val="24"/>
          <w:szCs w:val="24"/>
          <w:lang w:eastAsia="cs-CZ"/>
        </w:rPr>
        <w:t xml:space="preserve">Všechny ZP v roce 2014 plánují záporné saldo, pouze VZP ČR </w:t>
      </w:r>
      <w:r w:rsidR="00650BAC">
        <w:rPr>
          <w:rFonts w:ascii="Arial" w:eastAsia="Times New Roman" w:hAnsi="Arial" w:cs="Arial"/>
          <w:sz w:val="24"/>
          <w:szCs w:val="24"/>
          <w:lang w:eastAsia="cs-CZ"/>
        </w:rPr>
        <w:t xml:space="preserve">dosahuje kladné hodnoty 0,7 mld. Kč. </w:t>
      </w:r>
      <w:r w:rsidR="00220F20">
        <w:rPr>
          <w:rFonts w:ascii="Arial" w:eastAsia="Times New Roman" w:hAnsi="Arial" w:cs="Arial"/>
          <w:sz w:val="24"/>
          <w:szCs w:val="24"/>
          <w:lang w:eastAsia="cs-CZ"/>
        </w:rPr>
        <w:t>Oproti říjnové predikci, na které jsou postaveny ZPP 201</w:t>
      </w:r>
      <w:r w:rsidR="00A959DF">
        <w:rPr>
          <w:rFonts w:ascii="Arial" w:eastAsia="Times New Roman" w:hAnsi="Arial" w:cs="Arial"/>
          <w:sz w:val="24"/>
          <w:szCs w:val="24"/>
          <w:lang w:eastAsia="cs-CZ"/>
        </w:rPr>
        <w:t>4, přináší lednová</w:t>
      </w:r>
      <w:r w:rsidR="00220F20">
        <w:rPr>
          <w:rFonts w:ascii="Arial" w:eastAsia="Times New Roman" w:hAnsi="Arial" w:cs="Arial"/>
          <w:sz w:val="24"/>
          <w:szCs w:val="24"/>
          <w:lang w:eastAsia="cs-CZ"/>
        </w:rPr>
        <w:t xml:space="preserve"> predikce 2014 snížení</w:t>
      </w:r>
      <w:r w:rsidR="00A959DF">
        <w:rPr>
          <w:rFonts w:ascii="Arial" w:eastAsia="Times New Roman" w:hAnsi="Arial" w:cs="Arial"/>
          <w:sz w:val="24"/>
          <w:szCs w:val="24"/>
          <w:lang w:eastAsia="cs-CZ"/>
        </w:rPr>
        <w:t xml:space="preserve"> odhadu</w:t>
      </w:r>
      <w:r w:rsidR="00220F20">
        <w:rPr>
          <w:rFonts w:ascii="Arial" w:eastAsia="Times New Roman" w:hAnsi="Arial" w:cs="Arial"/>
          <w:sz w:val="24"/>
          <w:szCs w:val="24"/>
          <w:lang w:eastAsia="cs-CZ"/>
        </w:rPr>
        <w:t xml:space="preserve"> příjmů z pojistného o 1,4 mld. Kč. Lze tedy očekávat</w:t>
      </w:r>
      <w:r w:rsidR="0010778A">
        <w:rPr>
          <w:rFonts w:ascii="Arial" w:eastAsia="Times New Roman" w:hAnsi="Arial" w:cs="Arial"/>
          <w:sz w:val="24"/>
          <w:szCs w:val="24"/>
          <w:lang w:eastAsia="cs-CZ"/>
        </w:rPr>
        <w:t xml:space="preserve"> saldo blížící se </w:t>
      </w:r>
      <w:r w:rsidR="000D64E7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10778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20F20">
        <w:rPr>
          <w:rFonts w:ascii="Arial" w:eastAsia="Times New Roman" w:hAnsi="Arial" w:cs="Arial"/>
          <w:sz w:val="24"/>
          <w:szCs w:val="24"/>
          <w:lang w:eastAsia="cs-CZ"/>
        </w:rPr>
        <w:t xml:space="preserve"> mld. Kč,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C0228">
        <w:rPr>
          <w:rFonts w:ascii="Arial" w:eastAsia="Times New Roman" w:hAnsi="Arial" w:cs="Arial"/>
          <w:sz w:val="24"/>
          <w:szCs w:val="24"/>
          <w:lang w:eastAsia="cs-CZ"/>
        </w:rPr>
        <w:t>bude se tak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 xml:space="preserve"> pohybovat kolem</w:t>
      </w:r>
      <w:r w:rsidR="00220F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64E7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220F20">
        <w:rPr>
          <w:rFonts w:ascii="Arial" w:eastAsia="Times New Roman" w:hAnsi="Arial" w:cs="Arial"/>
          <w:sz w:val="24"/>
          <w:szCs w:val="24"/>
          <w:lang w:eastAsia="cs-CZ"/>
        </w:rPr>
        <w:t>0,1 % HDP.</w:t>
      </w:r>
    </w:p>
    <w:p w:rsidR="000B6540" w:rsidRDefault="000B6540" w:rsidP="00A5572F">
      <w:pPr>
        <w:spacing w:before="60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5572F" w:rsidRPr="00EA0990" w:rsidRDefault="00A5572F" w:rsidP="00F92F9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B6540">
        <w:rPr>
          <w:rFonts w:ascii="Arial" w:eastAsia="Times New Roman" w:hAnsi="Arial" w:cs="Arial"/>
          <w:b/>
          <w:sz w:val="24"/>
          <w:szCs w:val="24"/>
          <w:lang w:eastAsia="cs-CZ"/>
        </w:rPr>
        <w:t>V roce 2012</w:t>
      </w:r>
      <w:r w:rsidRPr="00EA0990">
        <w:rPr>
          <w:rFonts w:ascii="Arial" w:eastAsia="Times New Roman" w:hAnsi="Arial" w:cs="Arial"/>
          <w:sz w:val="24"/>
          <w:szCs w:val="24"/>
          <w:lang w:eastAsia="cs-CZ"/>
        </w:rPr>
        <w:t xml:space="preserve"> mělo </w:t>
      </w:r>
      <w:r w:rsidR="00C15322" w:rsidRPr="00EA0990">
        <w:rPr>
          <w:rFonts w:ascii="Arial" w:eastAsia="Times New Roman" w:hAnsi="Arial" w:cs="Arial"/>
          <w:sz w:val="24"/>
          <w:szCs w:val="24"/>
          <w:lang w:eastAsia="cs-CZ"/>
        </w:rPr>
        <w:t xml:space="preserve">na saldo </w:t>
      </w:r>
      <w:r w:rsidRPr="00EA0990">
        <w:rPr>
          <w:rFonts w:ascii="Arial" w:eastAsia="Times New Roman" w:hAnsi="Arial" w:cs="Arial"/>
          <w:sz w:val="24"/>
          <w:szCs w:val="24"/>
          <w:lang w:eastAsia="cs-CZ"/>
        </w:rPr>
        <w:t>kladný vliv mimořádné přerozdělení (v celkové hodnotě 6,1 mld. Kč do systému v</w:t>
      </w:r>
      <w:r w:rsidR="000B654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A0990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0B6540">
        <w:rPr>
          <w:rFonts w:ascii="Arial" w:eastAsia="Times New Roman" w:hAnsi="Arial" w:cs="Arial"/>
          <w:sz w:val="24"/>
          <w:szCs w:val="24"/>
          <w:lang w:eastAsia="cs-CZ"/>
        </w:rPr>
        <w:t>. p.</w:t>
      </w:r>
      <w:r w:rsidRPr="00EA0990">
        <w:rPr>
          <w:rFonts w:ascii="Arial" w:eastAsia="Times New Roman" w:hAnsi="Arial" w:cs="Arial"/>
          <w:sz w:val="24"/>
          <w:szCs w:val="24"/>
          <w:lang w:eastAsia="cs-CZ"/>
        </w:rPr>
        <w:t xml:space="preserve"> a to na hospodaření VZP ČR (3,1 mld.), VoZP ČR (203 mil. Kč) a OZP (133 mil. Kč). </w:t>
      </w:r>
      <w:r w:rsidR="00711D16" w:rsidRPr="000B6540">
        <w:rPr>
          <w:rFonts w:ascii="Arial" w:eastAsia="Times New Roman" w:hAnsi="Arial" w:cs="Arial"/>
          <w:b/>
          <w:sz w:val="24"/>
          <w:szCs w:val="24"/>
          <w:lang w:eastAsia="cs-CZ"/>
        </w:rPr>
        <w:t>V roce 2013</w:t>
      </w:r>
      <w:r w:rsidR="00711D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7B45" w:rsidRPr="000B7C31">
        <w:rPr>
          <w:rFonts w:ascii="Arial" w:eastAsia="Times New Roman" w:hAnsi="Arial" w:cs="Arial"/>
          <w:b/>
          <w:sz w:val="24"/>
          <w:szCs w:val="24"/>
          <w:lang w:eastAsia="cs-CZ"/>
        </w:rPr>
        <w:t>byly VZP ČR poskytnuty dvě návratné finanční výpomoci v celkové hodnotě 1,7 mld. Kč</w:t>
      </w:r>
      <w:r w:rsidR="008D7B45">
        <w:rPr>
          <w:rFonts w:ascii="Arial" w:eastAsia="Times New Roman" w:hAnsi="Arial" w:cs="Arial"/>
          <w:sz w:val="24"/>
          <w:szCs w:val="24"/>
          <w:lang w:eastAsia="cs-CZ"/>
        </w:rPr>
        <w:t xml:space="preserve"> s tím, že v roce 2014 VZP ČR splatí 0,7 mld. Kč (zbývající 1 mld. v letech 2015 a 2016)</w:t>
      </w:r>
      <w:r w:rsidR="000B654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F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575B" w:rsidRPr="000F575B">
        <w:rPr>
          <w:rFonts w:ascii="Arial" w:eastAsia="Times New Roman" w:hAnsi="Arial" w:cs="Arial"/>
          <w:b/>
          <w:sz w:val="24"/>
          <w:szCs w:val="24"/>
          <w:lang w:eastAsia="cs-CZ"/>
        </w:rPr>
        <w:t>Ve ZPP 2014</w:t>
      </w:r>
      <w:r w:rsidR="0010778A">
        <w:rPr>
          <w:rFonts w:ascii="Arial" w:eastAsia="Times New Roman" w:hAnsi="Arial" w:cs="Arial"/>
          <w:sz w:val="24"/>
          <w:szCs w:val="24"/>
          <w:lang w:eastAsia="cs-CZ"/>
        </w:rPr>
        <w:t xml:space="preserve"> byly výdaje dvou</w:t>
      </w:r>
      <w:r w:rsidR="000F575B">
        <w:rPr>
          <w:rFonts w:ascii="Arial" w:eastAsia="Times New Roman" w:hAnsi="Arial" w:cs="Arial"/>
          <w:sz w:val="24"/>
          <w:szCs w:val="24"/>
          <w:lang w:eastAsia="cs-CZ"/>
        </w:rPr>
        <w:t xml:space="preserve"> zdravotních pojišťoven </w:t>
      </w:r>
      <w:r w:rsidR="0010778A">
        <w:rPr>
          <w:rFonts w:ascii="Arial" w:eastAsia="Times New Roman" w:hAnsi="Arial" w:cs="Arial"/>
          <w:sz w:val="24"/>
          <w:szCs w:val="24"/>
          <w:lang w:eastAsia="cs-CZ"/>
        </w:rPr>
        <w:t xml:space="preserve">výrazněji </w:t>
      </w:r>
      <w:r w:rsidR="000F575B">
        <w:rPr>
          <w:rFonts w:ascii="Arial" w:eastAsia="Times New Roman" w:hAnsi="Arial" w:cs="Arial"/>
          <w:sz w:val="24"/>
          <w:szCs w:val="24"/>
          <w:lang w:eastAsia="cs-CZ"/>
        </w:rPr>
        <w:t xml:space="preserve">upraveny podle modelací Ministerstva zdravotnictví na základě úhradové vyhlášky pro rok 2014 s tím, že záporná salda budou kryta </w:t>
      </w:r>
      <w:r w:rsidR="002D2D60">
        <w:rPr>
          <w:rFonts w:ascii="Arial" w:eastAsia="Times New Roman" w:hAnsi="Arial" w:cs="Arial"/>
          <w:sz w:val="24"/>
          <w:szCs w:val="24"/>
          <w:lang w:eastAsia="cs-CZ"/>
        </w:rPr>
        <w:t xml:space="preserve">ze zůstatků </w:t>
      </w:r>
      <w:r w:rsidR="000F575B">
        <w:rPr>
          <w:rFonts w:ascii="Arial" w:eastAsia="Times New Roman" w:hAnsi="Arial" w:cs="Arial"/>
          <w:sz w:val="24"/>
          <w:szCs w:val="24"/>
          <w:lang w:eastAsia="cs-CZ"/>
        </w:rPr>
        <w:t>finanční</w:t>
      </w:r>
      <w:r w:rsidR="002D2D60">
        <w:rPr>
          <w:rFonts w:ascii="Arial" w:eastAsia="Times New Roman" w:hAnsi="Arial" w:cs="Arial"/>
          <w:sz w:val="24"/>
          <w:szCs w:val="24"/>
          <w:lang w:eastAsia="cs-CZ"/>
        </w:rPr>
        <w:t>ch</w:t>
      </w:r>
      <w:r w:rsidR="000F575B">
        <w:rPr>
          <w:rFonts w:ascii="Arial" w:eastAsia="Times New Roman" w:hAnsi="Arial" w:cs="Arial"/>
          <w:sz w:val="24"/>
          <w:szCs w:val="24"/>
          <w:lang w:eastAsia="cs-CZ"/>
        </w:rPr>
        <w:t xml:space="preserve"> prostředk</w:t>
      </w:r>
      <w:r w:rsidR="002D2D60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0F575B">
        <w:rPr>
          <w:rFonts w:ascii="Arial" w:eastAsia="Times New Roman" w:hAnsi="Arial" w:cs="Arial"/>
          <w:sz w:val="24"/>
          <w:szCs w:val="24"/>
          <w:lang w:eastAsia="cs-CZ"/>
        </w:rPr>
        <w:t xml:space="preserve"> jednotlivých ZP</w:t>
      </w:r>
      <w:r w:rsidR="002D2D6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5572F" w:rsidRDefault="00A5572F" w:rsidP="00F92F9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560587" w:rsidRDefault="00560587" w:rsidP="00A5572F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Graf č. 5: Plánované saldo příjmů a výdajů 2014</w:t>
      </w:r>
    </w:p>
    <w:p w:rsidR="001C2590" w:rsidRPr="00476CB0" w:rsidRDefault="00A959DF" w:rsidP="00A5572F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772150" cy="48387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83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BE3" w:rsidRDefault="00D13BE3" w:rsidP="00D13BE3">
      <w:pPr>
        <w:spacing w:before="6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377D3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informace viz Tabulková příloha Tabulka č. 1 str. 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A5572F" w:rsidRPr="006D2E80" w:rsidRDefault="00A5572F" w:rsidP="00A5572F">
      <w:pPr>
        <w:spacing w:before="60"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6D2E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 xml:space="preserve">4. Pohledávky a závazky </w:t>
      </w:r>
    </w:p>
    <w:p w:rsidR="00A5572F" w:rsidRPr="00476CB0" w:rsidRDefault="00A5572F" w:rsidP="00A5572F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cs-CZ"/>
        </w:rPr>
      </w:pPr>
    </w:p>
    <w:p w:rsidR="00037FBF" w:rsidRDefault="00AF106B" w:rsidP="001E010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010D">
        <w:rPr>
          <w:rFonts w:ascii="Arial" w:eastAsia="Times New Roman" w:hAnsi="Arial" w:cs="Arial"/>
          <w:b/>
          <w:sz w:val="24"/>
          <w:szCs w:val="24"/>
          <w:lang w:eastAsia="cs-CZ"/>
        </w:rPr>
        <w:t>Plánovaný s</w:t>
      </w:r>
      <w:r w:rsidR="00A5572F" w:rsidRPr="001E01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tav pohledávek v. z. p. celkem </w:t>
      </w:r>
      <w:r w:rsidR="00A5572F" w:rsidRPr="00220F20">
        <w:rPr>
          <w:rFonts w:ascii="Arial" w:eastAsia="Times New Roman" w:hAnsi="Arial" w:cs="Arial"/>
          <w:sz w:val="24"/>
          <w:szCs w:val="24"/>
          <w:lang w:eastAsia="cs-CZ"/>
        </w:rPr>
        <w:t>(v čisté výši bez opravných položek)</w:t>
      </w:r>
      <w:r w:rsidR="00A5572F" w:rsidRPr="001E01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</w:t>
      </w:r>
      <w:r w:rsidR="001E010D" w:rsidRPr="001E010D">
        <w:rPr>
          <w:rFonts w:ascii="Arial" w:eastAsia="Times New Roman" w:hAnsi="Arial" w:cs="Arial"/>
          <w:b/>
          <w:sz w:val="24"/>
          <w:szCs w:val="24"/>
          <w:lang w:eastAsia="cs-CZ"/>
        </w:rPr>
        <w:t> 31. 12. 2014 je</w:t>
      </w:r>
      <w:r w:rsidR="00A5572F" w:rsidRPr="001E01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572F" w:rsidRPr="00F52252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1E010D" w:rsidRPr="00F52252">
        <w:rPr>
          <w:rFonts w:ascii="Arial" w:eastAsia="Times New Roman" w:hAnsi="Arial" w:cs="Arial"/>
          <w:b/>
          <w:sz w:val="24"/>
          <w:szCs w:val="24"/>
          <w:lang w:eastAsia="cs-CZ"/>
        </w:rPr>
        <w:t>6,2</w:t>
      </w:r>
      <w:r w:rsidR="00A5572F" w:rsidRPr="00F52252">
        <w:rPr>
          <w:rFonts w:ascii="Arial" w:eastAsia="Times New Roman" w:hAnsi="Arial" w:cs="Arial"/>
          <w:b/>
          <w:sz w:val="24"/>
          <w:szCs w:val="24"/>
          <w:lang w:eastAsia="cs-CZ"/>
        </w:rPr>
        <w:t> mld. Kč,</w:t>
      </w:r>
      <w:r w:rsidR="00A5572F" w:rsidRPr="00F522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572F" w:rsidRPr="001E010D">
        <w:rPr>
          <w:rFonts w:ascii="Arial" w:eastAsia="Times New Roman" w:hAnsi="Arial" w:cs="Arial"/>
          <w:sz w:val="24"/>
          <w:szCs w:val="24"/>
          <w:lang w:eastAsia="cs-CZ"/>
        </w:rPr>
        <w:t xml:space="preserve">z  toho pohledávky za plátci pojistného činí </w:t>
      </w:r>
      <w:r w:rsidR="00F52252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="00A5572F" w:rsidRPr="00F5225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F52252" w:rsidRPr="00F5225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5572F" w:rsidRPr="00F52252">
        <w:rPr>
          <w:rFonts w:ascii="Arial" w:eastAsia="Times New Roman" w:hAnsi="Arial" w:cs="Arial"/>
          <w:sz w:val="24"/>
          <w:szCs w:val="24"/>
          <w:lang w:eastAsia="cs-CZ"/>
        </w:rPr>
        <w:t xml:space="preserve"> mld. Kč, tj</w:t>
      </w:r>
      <w:r w:rsidR="00A5572F" w:rsidRPr="001645FC">
        <w:rPr>
          <w:rFonts w:ascii="Arial" w:eastAsia="Times New Roman" w:hAnsi="Arial" w:cs="Arial"/>
          <w:sz w:val="24"/>
          <w:szCs w:val="24"/>
          <w:lang w:eastAsia="cs-CZ"/>
        </w:rPr>
        <w:t>. 8</w:t>
      </w:r>
      <w:r w:rsidR="001645FC" w:rsidRPr="001645FC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A5572F" w:rsidRPr="001645F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645FC" w:rsidRPr="001645F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A5572F" w:rsidRPr="001645FC">
        <w:rPr>
          <w:rFonts w:ascii="Arial" w:eastAsia="Times New Roman" w:hAnsi="Arial" w:cs="Arial"/>
          <w:sz w:val="24"/>
          <w:szCs w:val="24"/>
          <w:lang w:eastAsia="cs-CZ"/>
        </w:rPr>
        <w:t xml:space="preserve">%. </w:t>
      </w:r>
    </w:p>
    <w:p w:rsidR="00037FBF" w:rsidRDefault="00037FBF" w:rsidP="001E010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5572F" w:rsidRPr="002D1EB5" w:rsidRDefault="00037FBF" w:rsidP="001E010D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37FBF">
        <w:rPr>
          <w:rFonts w:ascii="Arial" w:eastAsia="Times New Roman" w:hAnsi="Arial" w:cs="Arial"/>
          <w:b/>
          <w:sz w:val="24"/>
          <w:szCs w:val="24"/>
          <w:lang w:eastAsia="cs-CZ"/>
        </w:rPr>
        <w:t>Plánovaný s</w:t>
      </w:r>
      <w:r w:rsidR="00A5572F" w:rsidRPr="00037FBF">
        <w:rPr>
          <w:rFonts w:ascii="Arial" w:eastAsia="Times New Roman" w:hAnsi="Arial" w:cs="Arial"/>
          <w:b/>
          <w:sz w:val="24"/>
          <w:szCs w:val="24"/>
          <w:lang w:eastAsia="cs-CZ"/>
        </w:rPr>
        <w:t>tav závazků v. z. p. celkem k 3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A5572F" w:rsidRPr="00037FBF">
        <w:rPr>
          <w:rFonts w:ascii="Arial" w:eastAsia="Times New Roman" w:hAnsi="Arial" w:cs="Arial"/>
          <w:b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12</w:t>
      </w:r>
      <w:r w:rsidR="00A5572F" w:rsidRPr="00037FBF">
        <w:rPr>
          <w:rFonts w:ascii="Arial" w:eastAsia="Times New Roman" w:hAnsi="Arial" w:cs="Arial"/>
          <w:b/>
          <w:sz w:val="24"/>
          <w:szCs w:val="24"/>
          <w:lang w:eastAsia="cs-CZ"/>
        </w:rPr>
        <w:t>. 201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A5572F" w:rsidRPr="00037FB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B70D1" w:rsidRPr="00EB70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</w:t>
      </w:r>
      <w:r w:rsidR="00A5572F" w:rsidRPr="00EB70D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EB70D1" w:rsidRPr="00EB70D1">
        <w:rPr>
          <w:rFonts w:ascii="Arial" w:eastAsia="Times New Roman" w:hAnsi="Arial" w:cs="Arial"/>
          <w:b/>
          <w:sz w:val="24"/>
          <w:szCs w:val="24"/>
          <w:lang w:eastAsia="cs-CZ"/>
        </w:rPr>
        <w:t>6,6</w:t>
      </w:r>
      <w:r w:rsidR="00A5572F" w:rsidRPr="00EB70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mld. Kč</w:t>
      </w:r>
      <w:r w:rsidR="00EB70D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  <w:r w:rsidR="00A5572F" w:rsidRPr="00EB70D1">
        <w:rPr>
          <w:rFonts w:ascii="Arial" w:eastAsia="Times New Roman" w:hAnsi="Arial" w:cs="Arial"/>
          <w:sz w:val="24"/>
          <w:szCs w:val="24"/>
          <w:lang w:eastAsia="cs-CZ"/>
        </w:rPr>
        <w:t>V tom závazky vůči poskytovatelům zdravotních služeb</w:t>
      </w:r>
      <w:r w:rsidR="00A5572F"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EB70D1" w:rsidRPr="003F5ED5">
        <w:rPr>
          <w:rFonts w:ascii="Arial" w:eastAsia="Times New Roman" w:hAnsi="Arial" w:cs="Arial"/>
          <w:sz w:val="24"/>
          <w:szCs w:val="24"/>
          <w:lang w:eastAsia="cs-CZ"/>
        </w:rPr>
        <w:t>činí</w:t>
      </w:r>
      <w:r w:rsidR="00A5572F" w:rsidRPr="003F5E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70D1" w:rsidRPr="003F5ED5">
        <w:rPr>
          <w:rFonts w:ascii="Arial" w:eastAsia="Times New Roman" w:hAnsi="Arial" w:cs="Arial"/>
          <w:sz w:val="24"/>
          <w:szCs w:val="24"/>
          <w:lang w:eastAsia="cs-CZ"/>
        </w:rPr>
        <w:t>35,6</w:t>
      </w:r>
      <w:r w:rsidR="00A5572F" w:rsidRPr="003F5ED5">
        <w:rPr>
          <w:rFonts w:ascii="Arial" w:eastAsia="Times New Roman" w:hAnsi="Arial" w:cs="Arial"/>
          <w:sz w:val="24"/>
          <w:szCs w:val="24"/>
          <w:lang w:eastAsia="cs-CZ"/>
        </w:rPr>
        <w:t xml:space="preserve"> mld. Kč, tj. </w:t>
      </w:r>
      <w:r w:rsidR="003F5ED5">
        <w:rPr>
          <w:rFonts w:ascii="Arial" w:eastAsia="Times New Roman" w:hAnsi="Arial" w:cs="Arial"/>
          <w:sz w:val="24"/>
          <w:szCs w:val="24"/>
          <w:lang w:eastAsia="cs-CZ"/>
        </w:rPr>
        <w:t>97,3</w:t>
      </w:r>
      <w:r w:rsidR="00A5572F" w:rsidRPr="003F5ED5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="00652D15">
        <w:rPr>
          <w:rFonts w:ascii="Arial" w:eastAsia="Times New Roman" w:hAnsi="Arial" w:cs="Arial"/>
          <w:sz w:val="24"/>
          <w:szCs w:val="24"/>
          <w:lang w:eastAsia="cs-CZ"/>
        </w:rPr>
        <w:t>, z nichž</w:t>
      </w:r>
      <w:r w:rsidR="00A5572F" w:rsidRPr="003F5E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572F" w:rsidRPr="00652D15">
        <w:rPr>
          <w:rFonts w:ascii="Arial" w:eastAsia="Times New Roman" w:hAnsi="Arial" w:cs="Arial"/>
          <w:sz w:val="24"/>
          <w:szCs w:val="24"/>
          <w:lang w:eastAsia="cs-CZ"/>
        </w:rPr>
        <w:t xml:space="preserve">závazky </w:t>
      </w:r>
      <w:r w:rsidR="00A5572F" w:rsidRPr="002D1E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 lhůtě splatnosti </w:t>
      </w:r>
      <w:r w:rsidR="00652D15" w:rsidRPr="002D1EB5">
        <w:rPr>
          <w:rFonts w:ascii="Arial" w:eastAsia="Times New Roman" w:hAnsi="Arial" w:cs="Arial"/>
          <w:b/>
          <w:sz w:val="24"/>
          <w:szCs w:val="24"/>
          <w:lang w:eastAsia="cs-CZ"/>
        </w:rPr>
        <w:t>jsou pouze u VZP ČR ve výši 1,4 mld. Kč.</w:t>
      </w:r>
    </w:p>
    <w:p w:rsidR="00D043A2" w:rsidRPr="00652D15" w:rsidRDefault="00D043A2" w:rsidP="001E010D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5572F" w:rsidRPr="00381B32" w:rsidRDefault="00A5572F" w:rsidP="00A5572F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Ze statistických výkazů jednotlivých zdravotních pojišťoven vyplývá, že 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se počítá s nedokončeným 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 poskytnutých zdravotních služeb s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> jejich poskytovateli za rok 201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 ve výši </w:t>
      </w:r>
      <w:r w:rsidR="00F50940"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>4,6</w:t>
      </w:r>
      <w:r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mld. Kč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, což je evidováno v položce </w:t>
      </w:r>
      <w:r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>dohadných položek pasivních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>Dohadné položky aktivní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se plánují 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>k 3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381B32"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0940" w:rsidRPr="00381B32">
        <w:rPr>
          <w:rFonts w:ascii="Arial" w:eastAsia="Times New Roman" w:hAnsi="Arial" w:cs="Arial"/>
          <w:sz w:val="24"/>
          <w:szCs w:val="24"/>
          <w:lang w:eastAsia="cs-CZ"/>
        </w:rPr>
        <w:t>v celkové výši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81B32"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>1,1</w:t>
      </w:r>
      <w:r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mld. Kč</w:t>
      </w:r>
      <w:r w:rsidRPr="00381B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5572F" w:rsidRPr="00761C5E" w:rsidRDefault="00A5572F" w:rsidP="00A5572F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>Stav opravných položek</w:t>
      </w:r>
      <w:r w:rsidRPr="00761C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61C5E" w:rsidRPr="00761C5E">
        <w:rPr>
          <w:rFonts w:ascii="Arial" w:eastAsia="Times New Roman" w:hAnsi="Arial" w:cs="Arial"/>
          <w:sz w:val="24"/>
          <w:szCs w:val="24"/>
          <w:lang w:eastAsia="cs-CZ"/>
        </w:rPr>
        <w:t xml:space="preserve">dosáhne </w:t>
      </w:r>
      <w:r w:rsidRPr="00761C5E">
        <w:rPr>
          <w:rFonts w:ascii="Arial" w:eastAsia="Times New Roman" w:hAnsi="Arial" w:cs="Arial"/>
          <w:sz w:val="24"/>
          <w:szCs w:val="24"/>
          <w:lang w:eastAsia="cs-CZ"/>
        </w:rPr>
        <w:t>k 3</w:t>
      </w:r>
      <w:r w:rsidR="00761C5E" w:rsidRPr="00761C5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761C5E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761C5E" w:rsidRPr="00761C5E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761C5E">
        <w:rPr>
          <w:rFonts w:ascii="Arial" w:eastAsia="Times New Roman" w:hAnsi="Arial" w:cs="Arial"/>
          <w:sz w:val="24"/>
          <w:szCs w:val="24"/>
          <w:lang w:eastAsia="cs-CZ"/>
        </w:rPr>
        <w:t>. 201</w:t>
      </w:r>
      <w:r w:rsidR="00761C5E" w:rsidRPr="00761C5E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761C5E">
        <w:rPr>
          <w:rFonts w:ascii="Arial" w:eastAsia="Times New Roman" w:hAnsi="Arial" w:cs="Arial"/>
          <w:sz w:val="24"/>
          <w:szCs w:val="24"/>
          <w:lang w:eastAsia="cs-CZ"/>
        </w:rPr>
        <w:t xml:space="preserve"> celkem </w:t>
      </w:r>
      <w:r w:rsidR="00761C5E"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 </w:t>
      </w:r>
      <w:r w:rsidRPr="00E72DA3">
        <w:rPr>
          <w:rFonts w:ascii="Arial" w:eastAsia="Times New Roman" w:hAnsi="Arial" w:cs="Arial"/>
          <w:b/>
          <w:sz w:val="24"/>
          <w:szCs w:val="24"/>
          <w:lang w:eastAsia="cs-CZ"/>
        </w:rPr>
        <w:t>mld. Kč</w:t>
      </w:r>
      <w:r w:rsidRPr="00761C5E">
        <w:rPr>
          <w:rFonts w:ascii="Arial" w:eastAsia="Times New Roman" w:hAnsi="Arial" w:cs="Arial"/>
          <w:sz w:val="24"/>
          <w:szCs w:val="24"/>
          <w:lang w:eastAsia="cs-CZ"/>
        </w:rPr>
        <w:t>. Tato kategorie pohledávek (součást tzv. „hrubé“ výše pohledávek) je nadále vymáhána na plátcích pojistného. Pouze z hlediska účetního jsou tyto položky vyjmuty z „čistých“ pohledávek a čtvrtletně přehodnocovány v souladu s účetními standardy.</w:t>
      </w:r>
      <w:r w:rsidRPr="00761C5E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id="2"/>
      </w:r>
      <w:r w:rsidRPr="00761C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5572F" w:rsidRPr="00B662E7" w:rsidRDefault="00A5572F" w:rsidP="00B662E7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9D5">
        <w:rPr>
          <w:rFonts w:ascii="Arial" w:eastAsia="Times New Roman" w:hAnsi="Arial" w:cs="Arial"/>
          <w:sz w:val="24"/>
          <w:szCs w:val="24"/>
          <w:lang w:eastAsia="cs-CZ"/>
        </w:rPr>
        <w:t xml:space="preserve">Informace o stavu </w:t>
      </w:r>
      <w:r w:rsidR="008849D5">
        <w:rPr>
          <w:rFonts w:ascii="Arial" w:eastAsia="Times New Roman" w:hAnsi="Arial" w:cs="Arial"/>
          <w:sz w:val="24"/>
          <w:szCs w:val="24"/>
          <w:lang w:eastAsia="cs-CZ"/>
        </w:rPr>
        <w:t xml:space="preserve">závazků a </w:t>
      </w:r>
      <w:r w:rsidRPr="008849D5">
        <w:rPr>
          <w:rFonts w:ascii="Arial" w:eastAsia="Times New Roman" w:hAnsi="Arial" w:cs="Arial"/>
          <w:sz w:val="24"/>
          <w:szCs w:val="24"/>
          <w:lang w:eastAsia="cs-CZ"/>
        </w:rPr>
        <w:t xml:space="preserve">pohledávek jednotlivých zdravotních pojišťoven viz Tabulková příloha Tabulka č. 1 str. </w:t>
      </w:r>
      <w:r w:rsidR="008849D5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8849D5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8849D5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8849D5">
        <w:rPr>
          <w:rFonts w:ascii="Arial" w:eastAsia="Times New Roman" w:hAnsi="Arial" w:cs="Arial"/>
          <w:sz w:val="24"/>
          <w:szCs w:val="24"/>
          <w:lang w:eastAsia="cs-CZ"/>
        </w:rPr>
        <w:t xml:space="preserve"> 9. </w:t>
      </w:r>
    </w:p>
    <w:p w:rsidR="00A5572F" w:rsidRDefault="00A5572F" w:rsidP="00E72DA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A6344">
        <w:rPr>
          <w:rFonts w:ascii="Arial" w:eastAsia="Times New Roman" w:hAnsi="Arial" w:cs="Arial"/>
          <w:sz w:val="24"/>
          <w:szCs w:val="24"/>
          <w:lang w:eastAsia="cs-CZ"/>
        </w:rPr>
        <w:t xml:space="preserve">Tabulka č. 1 str. 7 zpracovaná na základě podkladů jednotlivých zdravotních pojišťoven dokládá </w:t>
      </w:r>
      <w:r w:rsidR="002D1EB5">
        <w:rPr>
          <w:rFonts w:ascii="Arial" w:eastAsia="Times New Roman" w:hAnsi="Arial" w:cs="Arial"/>
          <w:sz w:val="24"/>
          <w:szCs w:val="24"/>
          <w:lang w:eastAsia="cs-CZ"/>
        </w:rPr>
        <w:t xml:space="preserve">plánovaný </w:t>
      </w:r>
      <w:r w:rsidRPr="009A6344">
        <w:rPr>
          <w:rFonts w:ascii="Arial" w:eastAsia="Times New Roman" w:hAnsi="Arial" w:cs="Arial"/>
          <w:sz w:val="24"/>
          <w:szCs w:val="24"/>
          <w:lang w:eastAsia="cs-CZ"/>
        </w:rPr>
        <w:t>absolutní stav závazků vůči poskytovatelům zdravotních služeb k 3</w:t>
      </w:r>
      <w:r w:rsidR="009A6344" w:rsidRPr="009A634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9A6344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9A6344" w:rsidRPr="009A6344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9A6344">
        <w:rPr>
          <w:rFonts w:ascii="Arial" w:eastAsia="Times New Roman" w:hAnsi="Arial" w:cs="Arial"/>
          <w:sz w:val="24"/>
          <w:szCs w:val="24"/>
          <w:lang w:eastAsia="cs-CZ"/>
        </w:rPr>
        <w:t>. 201</w:t>
      </w:r>
      <w:r w:rsidR="009A6344" w:rsidRPr="009A6344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9A6344">
        <w:rPr>
          <w:rFonts w:ascii="Arial" w:eastAsia="Times New Roman" w:hAnsi="Arial" w:cs="Arial"/>
          <w:sz w:val="24"/>
          <w:szCs w:val="24"/>
          <w:lang w:eastAsia="cs-CZ"/>
        </w:rPr>
        <w:t>. Tento stav závazků je rovněž z důvodu srovnatelnosti vyjádřen i v </w:t>
      </w:r>
      <w:r w:rsidRPr="009A6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přepočtu na denní spotřebu výdajů na zdravotní služby </w:t>
      </w:r>
      <w:r w:rsidRPr="009A6344">
        <w:rPr>
          <w:rFonts w:ascii="Arial" w:eastAsia="Times New Roman" w:hAnsi="Arial" w:cs="Arial"/>
          <w:sz w:val="24"/>
          <w:szCs w:val="24"/>
          <w:lang w:eastAsia="cs-CZ"/>
        </w:rPr>
        <w:t>(Tabulka č. 1b).</w:t>
      </w:r>
      <w:r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2D1EB5">
        <w:rPr>
          <w:rFonts w:ascii="Arial" w:eastAsia="Times New Roman" w:hAnsi="Arial" w:cs="Arial"/>
          <w:sz w:val="24"/>
          <w:szCs w:val="24"/>
          <w:lang w:eastAsia="cs-CZ"/>
        </w:rPr>
        <w:t xml:space="preserve">Závazky ve lhůtě splatnosti vůči poskytovatelům zdravotních služeb se pohybují v rozmezí </w:t>
      </w:r>
      <w:r w:rsidR="00D762B4">
        <w:rPr>
          <w:rFonts w:ascii="Arial" w:eastAsia="Times New Roman" w:hAnsi="Arial" w:cs="Arial"/>
          <w:sz w:val="24"/>
          <w:szCs w:val="24"/>
          <w:lang w:eastAsia="cs-CZ"/>
        </w:rPr>
        <w:t>28</w:t>
      </w:r>
      <w:r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>– 6</w:t>
      </w:r>
      <w:r w:rsidR="00D762B4" w:rsidRPr="00D762B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 xml:space="preserve"> dnů. Zásoby na bankovních účtech základního fondu zdravotního pojištění (dále jen BÚ ZFZP) jednotlivých zdravotních pojišťoven vyjádřené ve dnech k</w:t>
      </w:r>
      <w:r w:rsidRPr="00476C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762B4" w:rsidRPr="00D762B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D762B4" w:rsidRPr="00D762B4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>. 201</w:t>
      </w:r>
      <w:r w:rsidR="00D762B4" w:rsidRPr="00D762B4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 xml:space="preserve"> jsou nerovnoměrné a dosahují </w:t>
      </w:r>
      <w:r w:rsidR="00D762B4" w:rsidRPr="00D762B4">
        <w:rPr>
          <w:rFonts w:ascii="Arial" w:eastAsia="Times New Roman" w:hAnsi="Arial" w:cs="Arial"/>
          <w:sz w:val="24"/>
          <w:szCs w:val="24"/>
          <w:lang w:eastAsia="cs-CZ"/>
        </w:rPr>
        <w:t>0,26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 w:rsidR="00D762B4" w:rsidRPr="00D762B4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Pr="00D762B4">
        <w:rPr>
          <w:rFonts w:ascii="Arial" w:eastAsia="Times New Roman" w:hAnsi="Arial" w:cs="Arial"/>
          <w:sz w:val="24"/>
          <w:szCs w:val="24"/>
          <w:lang w:eastAsia="cs-CZ"/>
        </w:rPr>
        <w:t xml:space="preserve"> dnů</w:t>
      </w:r>
      <w:r w:rsidR="00E72D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605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60587" w:rsidRPr="00D762B4" w:rsidRDefault="00560587" w:rsidP="00E72DA3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5572F" w:rsidRPr="00E72DA3" w:rsidRDefault="00560587" w:rsidP="00A557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72DA3">
        <w:rPr>
          <w:rFonts w:ascii="Arial" w:eastAsia="Times New Roman" w:hAnsi="Arial" w:cs="Arial"/>
          <w:sz w:val="24"/>
          <w:szCs w:val="24"/>
          <w:lang w:eastAsia="cs-CZ"/>
        </w:rPr>
        <w:t>Graf č. 6: Plánovaná finanční zásoba na bankovním účtu ZFZP v roce 2014 ve dnech</w:t>
      </w:r>
    </w:p>
    <w:p w:rsidR="00A5572F" w:rsidRDefault="00600603" w:rsidP="00E72DA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15000" cy="2571750"/>
            <wp:effectExtent l="0" t="0" r="19050" b="1905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72F" w:rsidRPr="00F47554" w:rsidRDefault="00A5572F" w:rsidP="00A55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4755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>5. Stavy peněžních prostředků zdravotních pojišťoven na BÚ</w:t>
      </w:r>
    </w:p>
    <w:p w:rsidR="00A5572F" w:rsidRPr="00F47554" w:rsidRDefault="00A5572F" w:rsidP="00A5572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</w:p>
    <w:p w:rsidR="00A5572F" w:rsidRDefault="00A5572F" w:rsidP="003F0C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3510A">
        <w:rPr>
          <w:rFonts w:ascii="Arial" w:eastAsia="Times New Roman" w:hAnsi="Arial" w:cs="Arial"/>
          <w:b/>
          <w:sz w:val="24"/>
          <w:szCs w:val="24"/>
          <w:lang w:eastAsia="cs-CZ"/>
        </w:rPr>
        <w:t>Stav peněžních zůstatků</w:t>
      </w:r>
      <w:r w:rsidRPr="00F475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47554">
        <w:rPr>
          <w:rFonts w:ascii="Arial" w:eastAsia="Times New Roman" w:hAnsi="Arial" w:cs="Arial"/>
          <w:sz w:val="24"/>
          <w:szCs w:val="24"/>
          <w:lang w:eastAsia="cs-CZ"/>
        </w:rPr>
        <w:t xml:space="preserve">(včetně hodnoty uložené v CP) na bankovních účtech zdravotních pojišťoven </w:t>
      </w:r>
      <w:r w:rsidR="00285474">
        <w:rPr>
          <w:rFonts w:ascii="Arial" w:eastAsia="Times New Roman" w:hAnsi="Arial" w:cs="Arial"/>
          <w:sz w:val="24"/>
          <w:szCs w:val="24"/>
          <w:lang w:eastAsia="cs-CZ"/>
        </w:rPr>
        <w:t xml:space="preserve">je plánován </w:t>
      </w:r>
      <w:r w:rsidRPr="00285474">
        <w:rPr>
          <w:rFonts w:ascii="Arial" w:eastAsia="Times New Roman" w:hAnsi="Arial" w:cs="Arial"/>
          <w:sz w:val="24"/>
          <w:szCs w:val="24"/>
          <w:lang w:eastAsia="cs-CZ"/>
        </w:rPr>
        <w:t>k 3</w:t>
      </w:r>
      <w:r w:rsidR="00285474" w:rsidRPr="0028547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285474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285474" w:rsidRPr="00285474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285474">
        <w:rPr>
          <w:rFonts w:ascii="Arial" w:eastAsia="Times New Roman" w:hAnsi="Arial" w:cs="Arial"/>
          <w:sz w:val="24"/>
          <w:szCs w:val="24"/>
          <w:lang w:eastAsia="cs-CZ"/>
        </w:rPr>
        <w:t>. 201</w:t>
      </w:r>
      <w:r w:rsidR="00285474" w:rsidRPr="00285474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2854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5474" w:rsidRPr="00285474">
        <w:rPr>
          <w:rFonts w:ascii="Arial" w:eastAsia="Times New Roman" w:hAnsi="Arial" w:cs="Arial"/>
          <w:sz w:val="24"/>
          <w:szCs w:val="24"/>
          <w:lang w:eastAsia="cs-CZ"/>
        </w:rPr>
        <w:t xml:space="preserve">v celkové výši </w:t>
      </w:r>
      <w:r w:rsidR="004F7106" w:rsidRPr="004F7106">
        <w:rPr>
          <w:rFonts w:ascii="Arial" w:eastAsia="Times New Roman" w:hAnsi="Arial" w:cs="Arial"/>
          <w:b/>
          <w:sz w:val="24"/>
          <w:szCs w:val="24"/>
          <w:lang w:eastAsia="cs-CZ"/>
        </w:rPr>
        <w:t>8,9</w:t>
      </w:r>
      <w:r w:rsidRPr="004F71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mld. Kč. </w:t>
      </w:r>
      <w:r w:rsidR="005735E1" w:rsidRPr="005735E1">
        <w:rPr>
          <w:rFonts w:ascii="Arial" w:eastAsia="Times New Roman" w:hAnsi="Arial" w:cs="Arial"/>
          <w:sz w:val="24"/>
          <w:szCs w:val="24"/>
          <w:lang w:eastAsia="cs-CZ"/>
        </w:rPr>
        <w:t xml:space="preserve">Oproti očekávané skutečnosti 2013 </w:t>
      </w:r>
      <w:r w:rsidR="005735E1">
        <w:rPr>
          <w:rFonts w:ascii="Arial" w:eastAsia="Times New Roman" w:hAnsi="Arial" w:cs="Arial"/>
          <w:sz w:val="24"/>
          <w:szCs w:val="24"/>
          <w:lang w:eastAsia="cs-CZ"/>
        </w:rPr>
        <w:t>došlo ke snížení o cca 3 mld. Kč vlivem promítnutí modelac</w:t>
      </w:r>
      <w:r w:rsidR="007F4C7E">
        <w:rPr>
          <w:rFonts w:ascii="Arial" w:eastAsia="Times New Roman" w:hAnsi="Arial" w:cs="Arial"/>
          <w:sz w:val="24"/>
          <w:szCs w:val="24"/>
          <w:lang w:eastAsia="cs-CZ"/>
        </w:rPr>
        <w:t xml:space="preserve">e úhradové vyhlášky </w:t>
      </w:r>
      <w:r w:rsidR="005735E1">
        <w:rPr>
          <w:rFonts w:ascii="Arial" w:eastAsia="Times New Roman" w:hAnsi="Arial" w:cs="Arial"/>
          <w:sz w:val="24"/>
          <w:szCs w:val="24"/>
          <w:lang w:eastAsia="cs-CZ"/>
        </w:rPr>
        <w:t>Ministerstva zdravotnictví do ZPP 2014. Záporná salda ZP budou krýt ze svých zdrojů na bankovních účtech.</w:t>
      </w:r>
      <w:r w:rsidR="00A34E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111E1" w:rsidRDefault="00E111E1" w:rsidP="00A5572F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cs-CZ"/>
        </w:rPr>
      </w:pPr>
    </w:p>
    <w:p w:rsidR="00E111E1" w:rsidRPr="00E72DA3" w:rsidRDefault="00E111E1" w:rsidP="00A5572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1B6580">
        <w:rPr>
          <w:rFonts w:ascii="Arial" w:eastAsia="Times New Roman" w:hAnsi="Arial" w:cs="Arial"/>
          <w:noProof/>
          <w:sz w:val="24"/>
          <w:szCs w:val="24"/>
          <w:lang w:eastAsia="cs-CZ"/>
        </w:rPr>
        <w:t>Graf č. 7: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Stav peněžních prostředků jednotlivých ZP k 31. 12. 2014</w:t>
      </w:r>
    </w:p>
    <w:p w:rsidR="00A5572F" w:rsidRDefault="00E111E1" w:rsidP="00A557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638800" cy="2524125"/>
            <wp:effectExtent l="0" t="0" r="19050" b="952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4DD6" w:rsidRDefault="00DB4DD6" w:rsidP="00A557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E111E1" w:rsidRPr="00E72DA3" w:rsidRDefault="00E111E1" w:rsidP="00A5572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1B6580">
        <w:rPr>
          <w:rFonts w:ascii="Arial" w:eastAsia="Times New Roman" w:hAnsi="Arial" w:cs="Arial"/>
          <w:noProof/>
          <w:sz w:val="24"/>
          <w:szCs w:val="24"/>
          <w:lang w:eastAsia="cs-CZ"/>
        </w:rPr>
        <w:t>Graf č. 8: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Stav peněžních prostředků jednotlivých ZP k 31. 12. 2014</w:t>
      </w:r>
    </w:p>
    <w:p w:rsidR="00DB4DD6" w:rsidRDefault="00B424BB" w:rsidP="00A557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676900" cy="3095625"/>
            <wp:effectExtent l="0" t="0" r="19050" b="9525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06D0" w:rsidRDefault="00E430AE" w:rsidP="00911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95773">
        <w:rPr>
          <w:rFonts w:ascii="Arial" w:eastAsia="Times New Roman" w:hAnsi="Arial" w:cs="Arial"/>
          <w:sz w:val="24"/>
          <w:szCs w:val="24"/>
          <w:lang w:eastAsia="cs-CZ"/>
        </w:rPr>
        <w:t>V Tabulkové příloze, Tabulka č. 1b, jsou uvedeny finanční zůstatky na bankovních účtech základních fondů zdravotn</w:t>
      </w:r>
      <w:r w:rsidR="007F4C7E">
        <w:rPr>
          <w:rFonts w:ascii="Arial" w:eastAsia="Times New Roman" w:hAnsi="Arial" w:cs="Arial"/>
          <w:sz w:val="24"/>
          <w:szCs w:val="24"/>
          <w:lang w:eastAsia="cs-CZ"/>
        </w:rPr>
        <w:t xml:space="preserve">ích pojišťoven k 31. 12. 2014. </w:t>
      </w:r>
      <w:r w:rsidRPr="00E95773">
        <w:rPr>
          <w:rFonts w:ascii="Arial" w:eastAsia="Times New Roman" w:hAnsi="Arial" w:cs="Arial"/>
          <w:sz w:val="24"/>
          <w:szCs w:val="24"/>
          <w:lang w:eastAsia="cs-CZ"/>
        </w:rPr>
        <w:t xml:space="preserve">Finanční zásobu na BÚ ZFZP u VZP ČR tvoří převedené prostředky z BÚ RF, jehož zásoba je od roku 2011 téměř nulová. Tento „vnitřní dluh“ VZP ČR v roce 2014 </w:t>
      </w:r>
      <w:r w:rsidR="007F4C7E">
        <w:rPr>
          <w:rFonts w:ascii="Arial" w:eastAsia="Times New Roman" w:hAnsi="Arial" w:cs="Arial"/>
          <w:sz w:val="24"/>
          <w:szCs w:val="24"/>
          <w:lang w:eastAsia="cs-CZ"/>
        </w:rPr>
        <w:t>dosáhne částky cca 2,2 mld. Kč.</w:t>
      </w:r>
    </w:p>
    <w:p w:rsidR="00E111E1" w:rsidRDefault="00E111E1" w:rsidP="00911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360E" w:rsidRDefault="00514CFF" w:rsidP="00707B70">
      <w:pPr>
        <w:spacing w:after="12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>6</w:t>
      </w:r>
      <w:r w:rsidR="004767E8" w:rsidRPr="0047557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. Vlivy na systém veřejného zdravotního pojištění</w:t>
      </w:r>
      <w:r w:rsidR="004767E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</w:p>
    <w:p w:rsidR="00F92F95" w:rsidRDefault="00F92F95" w:rsidP="00707B70">
      <w:pPr>
        <w:spacing w:after="120"/>
        <w:jc w:val="both"/>
        <w:rPr>
          <w:rFonts w:ascii="Arial" w:hAnsi="Arial" w:cs="Arial"/>
          <w:b/>
          <w:sz w:val="24"/>
        </w:rPr>
      </w:pP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b/>
          <w:sz w:val="24"/>
        </w:rPr>
        <w:t xml:space="preserve">Předsunutá platba státu </w:t>
      </w:r>
      <w:r w:rsidR="007F4C7E">
        <w:rPr>
          <w:rFonts w:ascii="Arial" w:hAnsi="Arial" w:cs="Arial"/>
          <w:b/>
          <w:sz w:val="24"/>
        </w:rPr>
        <w:t xml:space="preserve">ve výši 4,8 mld. Kč </w:t>
      </w:r>
      <w:r w:rsidRPr="00D31DBC">
        <w:rPr>
          <w:rFonts w:ascii="Arial" w:hAnsi="Arial" w:cs="Arial"/>
          <w:sz w:val="24"/>
        </w:rPr>
        <w:t>poskytnutá systému v. z. p. podle ustanovení § 12 odst. 2 zákona č. 592/1992 Sb., která byla součástí 1. přerozdělení, bude vrácena ještě v průběhu tohoto roku a nepředpokládá se proto její vliv na systém v. z. p.</w:t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b/>
          <w:sz w:val="24"/>
        </w:rPr>
        <w:t>Zdravotní politika</w:t>
      </w:r>
      <w:r w:rsidRPr="00D31DBC">
        <w:rPr>
          <w:rFonts w:ascii="Arial" w:hAnsi="Arial" w:cs="Arial"/>
          <w:sz w:val="24"/>
        </w:rPr>
        <w:t xml:space="preserve"> má stejně jako v předchozích letech za cíl zajistit pro pojištěnce kvalitní a dostupné zdravotní služby a minimalizovat dopady ekonomické</w:t>
      </w:r>
      <w:r w:rsidRPr="00D31DBC">
        <w:rPr>
          <w:rFonts w:ascii="Arial" w:hAnsi="Arial" w:cs="Arial"/>
        </w:rPr>
        <w:t xml:space="preserve"> </w:t>
      </w:r>
      <w:r w:rsidRPr="00D31DBC">
        <w:rPr>
          <w:rFonts w:ascii="Arial" w:hAnsi="Arial" w:cs="Arial"/>
          <w:sz w:val="24"/>
        </w:rPr>
        <w:t xml:space="preserve">recese. </w:t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sz w:val="24"/>
        </w:rPr>
        <w:t>Dohodovací řízení k úhradám na rok 2014 probíhalo v období od 20. 3. 2013 do 21. 8. 2013. Ve lhůtě předpokládané zákonem č. 48/1997 Sb. účastníci dohodovacího řízení nedospěli k dohodě v 7 z 11 segmentů zdravotních služeb (akutní lůžková péče; následná lůžková péče; mimoústavní ambulantní specializované služby; domácí zdravotní služby; fyzioterapie – nelékařské profese; ambulantní stomatologické služby, zdravotnická záchranná služba, zdravotní doprava a lékařská služba první pomoci). Ve čtyřech segmentech byla dohoda uzavřena (ambulantní gynekologické služby; lázeňská léčebně rehabilitační péče a zdravotní péče v ozdravovnách, praktičtí lékaři a praktičtí lékaři pro děti a dorost; mimoústavní laboratorní a radiodiagnostické služby – dohoda jen pro odbornost 809).</w:t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sz w:val="24"/>
        </w:rPr>
        <w:t>V době zpracování hodnocení návrhů ZPP 2014, na základě předložených výsledků uvedeného dohodovacího řízení, MZ vydalo vyhlášku č. 428/2013 Sb., kterou se v souladu s § 17 odst. 6 zákona č. 48/1997 Sb. stanovují hodnoty bodu, výše úhrad hrazených služeb a regulační omezení pro r. 2014, (dále jen „úhradová vyhláška 2014“) pro všechny segmenty zdravotní péče tak, aby nastavené parametry úhrad respektovaly předpokládané finanční možnosti systému v. z. p. v roce 2014. Vzhledem k tomu, že předložené zdravotně pojistné plány všech zdravotních pojišťoven jsou v souladu s předpoklady úhradové vyhlášky 2014, lze mít za to, že v souladu s ní bude rovněž celý systém v. z. p.</w:t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sz w:val="24"/>
        </w:rPr>
        <w:t xml:space="preserve">S účinností od 1. 1. 2014 došlo ke </w:t>
      </w:r>
      <w:r w:rsidRPr="00D31DBC">
        <w:rPr>
          <w:rFonts w:ascii="Arial" w:hAnsi="Arial" w:cs="Arial"/>
          <w:b/>
          <w:sz w:val="24"/>
        </w:rPr>
        <w:t>zrušení regulačních poplatků</w:t>
      </w:r>
      <w:r w:rsidRPr="00D31DBC">
        <w:rPr>
          <w:rFonts w:ascii="Arial" w:hAnsi="Arial" w:cs="Arial"/>
          <w:sz w:val="24"/>
        </w:rPr>
        <w:t xml:space="preserve"> za poskytování lůžkové péče, které byly přímým příjmem poskytovatelů zdravotních služeb. K tomu je třeba uvést, že potenciální vliv na systém v. z. p. mohou mít některá </w:t>
      </w:r>
      <w:r w:rsidRPr="00D31DBC">
        <w:rPr>
          <w:rFonts w:ascii="Arial" w:hAnsi="Arial" w:cs="Arial"/>
          <w:b/>
          <w:sz w:val="24"/>
        </w:rPr>
        <w:t>opatření</w:t>
      </w:r>
      <w:r w:rsidRPr="00D31DBC">
        <w:rPr>
          <w:rFonts w:ascii="Arial" w:hAnsi="Arial" w:cs="Arial"/>
          <w:sz w:val="24"/>
        </w:rPr>
        <w:t xml:space="preserve">, zejména </w:t>
      </w:r>
      <w:r w:rsidRPr="00D31DBC">
        <w:rPr>
          <w:rFonts w:ascii="Arial" w:hAnsi="Arial" w:cs="Arial"/>
          <w:b/>
          <w:sz w:val="24"/>
        </w:rPr>
        <w:t>legislativního charakteru</w:t>
      </w:r>
      <w:r w:rsidRPr="00D31DBC">
        <w:rPr>
          <w:rFonts w:ascii="Arial" w:hAnsi="Arial" w:cs="Arial"/>
          <w:sz w:val="24"/>
        </w:rPr>
        <w:t>, která připravuje Ministerstvo zdravotnictví za účelem pokrytí ztráty v důsledku výpadku regulačních poplatků a celkového posílení systému v. z. p.</w:t>
      </w:r>
    </w:p>
    <w:p w:rsidR="00D31DBC" w:rsidRPr="00D31DBC" w:rsidRDefault="00D31DBC" w:rsidP="00707B70">
      <w:pPr>
        <w:spacing w:after="12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31DBC">
        <w:rPr>
          <w:rFonts w:ascii="Arial" w:hAnsi="Arial" w:cs="Arial"/>
          <w:sz w:val="24"/>
        </w:rPr>
        <w:t>Dne 4. 3. 2014 předložilo Ministerstvo zdravotnictví do meziresortního připomínkového řízení materiál „</w:t>
      </w:r>
      <w:r w:rsidRPr="00D31DBC">
        <w:rPr>
          <w:rFonts w:ascii="Arial" w:hAnsi="Arial" w:cs="Arial"/>
          <w:bCs/>
          <w:sz w:val="24"/>
          <w:szCs w:val="24"/>
        </w:rPr>
        <w:t>Stav</w:t>
      </w:r>
      <w:r w:rsidRPr="00D31DBC">
        <w:rPr>
          <w:rFonts w:ascii="Arial" w:hAnsi="Arial" w:cs="Arial"/>
          <w:sz w:val="24"/>
          <w:szCs w:val="24"/>
        </w:rPr>
        <w:t xml:space="preserve"> systému veřejného zdravotního pojištění a návrhy opatření k jeho stabilizaci“, jehož obsahem je právě seznámení členů vlády s aktuální situací systému v. z. p. a zároveň s navrhovanými opatřeními k jeho stabilizaci. Jedním z těchto opatření je navýšení vyměřovacího základu pro platbu za tzv. státní pojištěnce v takové míře, aby z dodatečně získaných prostředků mohla být kompenzována ztráta poskytovatelů lůžkové péče v roce 2014 prostřednictvím systému v. z. p. Při předpokládaném nabytí účinnosti k 1. 7. 2014 je přitom nutné </w:t>
      </w:r>
      <w:r w:rsidRPr="00D31DBC">
        <w:rPr>
          <w:rFonts w:ascii="Arial" w:hAnsi="Arial" w:cs="Arial"/>
          <w:b/>
          <w:sz w:val="24"/>
          <w:szCs w:val="24"/>
        </w:rPr>
        <w:t>za účelem výpadku regulačních poplatků ve výši cca 2,1 mld. Kč zvýšit platbu za státní pojištěnce o 58 Kč</w:t>
      </w:r>
      <w:r w:rsidRPr="00D31DBC">
        <w:rPr>
          <w:rFonts w:ascii="Arial" w:hAnsi="Arial" w:cs="Arial"/>
          <w:sz w:val="24"/>
          <w:szCs w:val="24"/>
        </w:rPr>
        <w:t xml:space="preserve"> ze stávajících 787 Kč za osobu a kalendářní měsíc na 845 Kč za osobu a kalendářní měsíc.</w:t>
      </w:r>
    </w:p>
    <w:p w:rsidR="0070360E" w:rsidRDefault="00514CFF" w:rsidP="00C66462">
      <w:pPr>
        <w:spacing w:after="12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>7</w:t>
      </w:r>
      <w:r w:rsidR="00D31DBC" w:rsidRPr="00D31DB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. Celkové náklady na zdravotní služby</w:t>
      </w:r>
    </w:p>
    <w:p w:rsidR="003A4EAB" w:rsidRPr="00D31DBC" w:rsidRDefault="003A4EAB" w:rsidP="00C66462">
      <w:pPr>
        <w:spacing w:after="12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cs="Arial"/>
          <w:sz w:val="24"/>
        </w:rPr>
      </w:pPr>
      <w:r w:rsidRPr="00D31DB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Celkové náklady na zdravotní služby čerpané z oddílu A základního fondu zdravotního pojištění </w:t>
      </w:r>
      <w:r w:rsidRPr="00D31DBC">
        <w:rPr>
          <w:rFonts w:ascii="Arial" w:eastAsia="Times New Roman" w:hAnsi="Arial" w:cs="Arial"/>
          <w:sz w:val="24"/>
          <w:szCs w:val="24"/>
          <w:lang w:eastAsia="cs-CZ"/>
        </w:rPr>
        <w:t xml:space="preserve">ve výši 228,88 mld. Kč </w:t>
      </w:r>
      <w:r w:rsidR="00E111E1">
        <w:rPr>
          <w:rFonts w:ascii="Arial" w:eastAsia="Times New Roman" w:hAnsi="Arial" w:cs="Arial"/>
          <w:sz w:val="24"/>
          <w:szCs w:val="24"/>
          <w:lang w:eastAsia="cs-CZ"/>
        </w:rPr>
        <w:t xml:space="preserve">(Tabulka č. 3 a Graf č. 9) </w:t>
      </w:r>
      <w:r w:rsidRPr="00D31DBC">
        <w:rPr>
          <w:rFonts w:ascii="Arial" w:eastAsia="Times New Roman" w:hAnsi="Arial" w:cs="Arial"/>
          <w:sz w:val="24"/>
          <w:szCs w:val="24"/>
          <w:lang w:eastAsia="cs-CZ"/>
        </w:rPr>
        <w:t>představují plánovanou výši nároků PZS za poskytnuté zdravotní služby</w:t>
      </w:r>
      <w:r w:rsidRPr="00D31DB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  <w:r w:rsidRPr="00D31DBC">
        <w:rPr>
          <w:rFonts w:ascii="Arial" w:hAnsi="Arial" w:cs="Arial"/>
          <w:sz w:val="24"/>
        </w:rPr>
        <w:t>Jak vyplývá z celkového salda příjmů a nákladů ZFZP za systém v. z. p. jako celek, překračují plánované nároky PZS plánované finanční příjmy ZFZP v systému v. z. p. ve ZPP 2014 o 2,83 mld. Kč.</w:t>
      </w:r>
      <w:r w:rsidRPr="00D31DBC">
        <w:rPr>
          <w:rFonts w:cs="Arial"/>
          <w:sz w:val="24"/>
        </w:rPr>
        <w:t xml:space="preserve"> </w:t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31DBC">
        <w:rPr>
          <w:rFonts w:ascii="Arial" w:hAnsi="Arial" w:cs="Arial"/>
          <w:sz w:val="24"/>
          <w:szCs w:val="24"/>
        </w:rPr>
        <w:t>Závazky VZP ČR vůči PZS po lhůtě splatnosti jsou odhadovány v roce 2014 ve výši zhruba 1,4 mld. Kč. U ZZP se závazky po lhůtě splatnosti nepředpokládají. U všech ZP se projevuje snaha o regulační omezení objemu poskytovaných zdravotních služeb v rámci dohodovacích řízení a účinných právních předpisů.</w:t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sz w:val="24"/>
        </w:rPr>
        <w:t>Z pohledu meziročního srovnání plánují ZP jako celek meziroční zvýšení objemu nákladů hrazených ze ZFZP celkem o 3,6 % tj. o 7,99 mld. Kč. Výsledné čerpání finančních prostředků v jednotlivých segmentech zdravotní péče však bude závislé na uplatňovaném způsobu úhrady a podílu individuálních dohod a na realizaci všech legislativních změn v oblasti v. z. p. Z detailních podkladů jednotlivých ZP vyplývá, že všechny plánují meziroční zvýšení nákladů na zdravotní služby. M</w:t>
      </w:r>
      <w:r w:rsidRPr="00D31DBC">
        <w:rPr>
          <w:rFonts w:ascii="Arial" w:hAnsi="Arial" w:cs="Arial"/>
          <w:spacing w:val="-10"/>
          <w:sz w:val="24"/>
        </w:rPr>
        <w:t xml:space="preserve">eziroční růst nákladů na zdravotní služby očekává </w:t>
      </w:r>
      <w:r w:rsidRPr="00D31DBC">
        <w:rPr>
          <w:rFonts w:ascii="Arial" w:hAnsi="Arial" w:cs="Arial"/>
          <w:sz w:val="24"/>
        </w:rPr>
        <w:t xml:space="preserve">VZP ČR o 2,2 %, </w:t>
      </w:r>
      <w:r w:rsidRPr="00D31DBC">
        <w:rPr>
          <w:rFonts w:ascii="Arial" w:hAnsi="Arial" w:cs="Arial"/>
          <w:spacing w:val="-10"/>
          <w:sz w:val="24"/>
        </w:rPr>
        <w:t>VoZP ČR o 8,6 %, ČPZP o 4,8 %, OZP o 8,6 %, ZPŠ o 4,0 %, ZP MV ČR o 5,7 % a RBP o 3,5 %</w:t>
      </w:r>
      <w:r w:rsidRPr="00D31DBC">
        <w:rPr>
          <w:rFonts w:ascii="Arial" w:hAnsi="Arial" w:cs="Arial"/>
          <w:sz w:val="24"/>
        </w:rPr>
        <w:t>.</w:t>
      </w:r>
    </w:p>
    <w:p w:rsidR="00D31DBC" w:rsidRPr="00D31DBC" w:rsidRDefault="00D31DBC" w:rsidP="00D31DBC">
      <w:pPr>
        <w:spacing w:after="24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D31DBC">
        <w:rPr>
          <w:rFonts w:ascii="Arial" w:hAnsi="Arial" w:cs="Arial"/>
          <w:sz w:val="24"/>
          <w:szCs w:val="24"/>
        </w:rPr>
        <w:t xml:space="preserve">V objemově největším segmentu </w:t>
      </w:r>
      <w:r w:rsidRPr="00D31DBC">
        <w:rPr>
          <w:rFonts w:ascii="Arial" w:hAnsi="Arial" w:cs="Arial"/>
          <w:b/>
          <w:sz w:val="24"/>
          <w:szCs w:val="24"/>
        </w:rPr>
        <w:t>lůžkové zdravotní péče</w:t>
      </w:r>
      <w:r w:rsidRPr="00D31DBC">
        <w:rPr>
          <w:rFonts w:ascii="Arial" w:hAnsi="Arial" w:cs="Arial"/>
          <w:sz w:val="24"/>
          <w:szCs w:val="24"/>
        </w:rPr>
        <w:t xml:space="preserve"> je předpokládán výraznější nárůst nákladů, zvýšení o 6,3 % (tj. o 7,06 mld. Kč) oproti očekávané skutečnosti roku 2013. U </w:t>
      </w:r>
      <w:r w:rsidRPr="00D31DBC">
        <w:rPr>
          <w:rFonts w:ascii="Arial" w:hAnsi="Arial" w:cs="Arial"/>
          <w:b/>
          <w:sz w:val="24"/>
          <w:szCs w:val="24"/>
        </w:rPr>
        <w:t>ambulantní péče</w:t>
      </w:r>
      <w:r w:rsidR="002806E6">
        <w:rPr>
          <w:rFonts w:ascii="Arial" w:hAnsi="Arial" w:cs="Arial"/>
          <w:sz w:val="24"/>
          <w:szCs w:val="24"/>
        </w:rPr>
        <w:t xml:space="preserve"> se</w:t>
      </w:r>
      <w:r w:rsidRPr="00D31DBC">
        <w:rPr>
          <w:rFonts w:ascii="Arial" w:hAnsi="Arial" w:cs="Arial"/>
          <w:sz w:val="24"/>
          <w:szCs w:val="24"/>
        </w:rPr>
        <w:t xml:space="preserve"> plánuje mírné navýšení nákladů celkem o 1,5 % (tj. o 0,89 mld. Kč)</w:t>
      </w:r>
      <w:r w:rsidR="000D64E7">
        <w:rPr>
          <w:rFonts w:ascii="Arial" w:hAnsi="Arial" w:cs="Arial"/>
          <w:sz w:val="24"/>
          <w:szCs w:val="24"/>
        </w:rPr>
        <w:t>,</w:t>
      </w:r>
      <w:r w:rsidR="00A9658D">
        <w:rPr>
          <w:rFonts w:ascii="Arial" w:hAnsi="Arial" w:cs="Arial"/>
          <w:sz w:val="24"/>
          <w:szCs w:val="24"/>
        </w:rPr>
        <w:t xml:space="preserve"> (Tabulka č. 3 a Graf č. 10)</w:t>
      </w:r>
      <w:r w:rsidRPr="00D31DBC">
        <w:rPr>
          <w:rFonts w:ascii="Arial" w:hAnsi="Arial" w:cs="Arial"/>
          <w:sz w:val="24"/>
          <w:szCs w:val="24"/>
        </w:rPr>
        <w:t>.</w:t>
      </w:r>
    </w:p>
    <w:p w:rsidR="0070360E" w:rsidRDefault="0070360E" w:rsidP="00D31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1DBC" w:rsidRPr="00D31DBC" w:rsidRDefault="00D31DBC" w:rsidP="00D31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1DBC">
        <w:rPr>
          <w:rFonts w:ascii="Arial" w:hAnsi="Arial" w:cs="Arial"/>
          <w:sz w:val="24"/>
          <w:szCs w:val="24"/>
        </w:rPr>
        <w:t xml:space="preserve">Tabulka č. </w:t>
      </w:r>
      <w:r w:rsidR="00A9658D">
        <w:rPr>
          <w:rFonts w:ascii="Arial" w:hAnsi="Arial" w:cs="Arial"/>
          <w:sz w:val="24"/>
          <w:szCs w:val="24"/>
        </w:rPr>
        <w:t>3</w:t>
      </w:r>
      <w:r w:rsidRPr="00D31DBC">
        <w:rPr>
          <w:rFonts w:ascii="Arial" w:hAnsi="Arial" w:cs="Arial"/>
          <w:sz w:val="24"/>
          <w:szCs w:val="24"/>
        </w:rPr>
        <w:t>: Struktura nákladů na zdravotní služby podle jednotlivých segmentů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0"/>
        <w:gridCol w:w="1240"/>
        <w:gridCol w:w="1240"/>
        <w:gridCol w:w="1240"/>
        <w:gridCol w:w="1240"/>
        <w:gridCol w:w="1240"/>
        <w:gridCol w:w="1240"/>
      </w:tblGrid>
      <w:tr w:rsidR="00D31DBC" w:rsidRPr="00D31DBC" w:rsidTr="00847808">
        <w:trPr>
          <w:trHeight w:val="315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2014</w:t>
            </w:r>
          </w:p>
        </w:tc>
      </w:tr>
      <w:tr w:rsidR="00D31DBC" w:rsidRPr="00D31DBC" w:rsidTr="00847808">
        <w:trPr>
          <w:trHeight w:val="375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(v mil.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(v mil.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(v mil.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(v mil.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(v mil.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 (v mil. Kč)</w:t>
            </w:r>
          </w:p>
        </w:tc>
      </w:tr>
      <w:tr w:rsidR="00D31DBC" w:rsidRPr="00D31DBC" w:rsidTr="00847808">
        <w:trPr>
          <w:trHeight w:val="405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(oč. skut.)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(ZZP)</w:t>
            </w:r>
          </w:p>
        </w:tc>
      </w:tr>
      <w:tr w:rsidR="00D31DBC" w:rsidRPr="00D31DBC" w:rsidTr="00F92F95">
        <w:trPr>
          <w:trHeight w:val="7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na ambulantní péči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54 379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58 761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59 512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60 401</w:t>
            </w:r>
          </w:p>
        </w:tc>
      </w:tr>
      <w:tr w:rsidR="00D31DBC" w:rsidRPr="00D31DBC" w:rsidTr="00F92F95">
        <w:trPr>
          <w:trHeight w:val="69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na lůžkovou péči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107 992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111 816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113 051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113 766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111 880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118 939</w:t>
            </w:r>
          </w:p>
        </w:tc>
      </w:tr>
      <w:tr w:rsidR="00D31DBC" w:rsidRPr="00D31DBC" w:rsidTr="00F92F95">
        <w:trPr>
          <w:trHeight w:val="53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50 473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49 539</w:t>
            </w:r>
          </w:p>
        </w:tc>
      </w:tr>
      <w:tr w:rsidR="00D31DBC" w:rsidRPr="00D31DBC" w:rsidTr="00F92F95">
        <w:trPr>
          <w:trHeight w:val="55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212 019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215 213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219 165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223 000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220 893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228 879</w:t>
            </w:r>
          </w:p>
        </w:tc>
      </w:tr>
    </w:tbl>
    <w:p w:rsidR="00D31DBC" w:rsidRDefault="00D31DBC" w:rsidP="00D31DBC">
      <w:pPr>
        <w:spacing w:line="240" w:lineRule="auto"/>
        <w:ind w:firstLine="540"/>
        <w:jc w:val="both"/>
        <w:rPr>
          <w:rFonts w:ascii="Arial" w:hAnsi="Arial" w:cs="Arial"/>
          <w:sz w:val="24"/>
        </w:rPr>
      </w:pPr>
    </w:p>
    <w:p w:rsidR="00A9658D" w:rsidRDefault="00A9658D" w:rsidP="00D31DBC">
      <w:pPr>
        <w:spacing w:line="240" w:lineRule="auto"/>
        <w:ind w:firstLine="540"/>
        <w:jc w:val="both"/>
        <w:rPr>
          <w:rFonts w:ascii="Arial" w:hAnsi="Arial" w:cs="Arial"/>
          <w:sz w:val="24"/>
        </w:rPr>
      </w:pPr>
    </w:p>
    <w:p w:rsidR="00F92F95" w:rsidRDefault="00F92F95" w:rsidP="00D31DBC">
      <w:pPr>
        <w:spacing w:line="240" w:lineRule="auto"/>
        <w:ind w:firstLine="540"/>
        <w:jc w:val="both"/>
        <w:rPr>
          <w:rFonts w:ascii="Arial" w:hAnsi="Arial" w:cs="Arial"/>
          <w:sz w:val="24"/>
        </w:rPr>
      </w:pPr>
    </w:p>
    <w:p w:rsidR="00F92F95" w:rsidRDefault="00F92F95" w:rsidP="00D31DBC">
      <w:pPr>
        <w:spacing w:line="240" w:lineRule="auto"/>
        <w:ind w:firstLine="540"/>
        <w:jc w:val="both"/>
        <w:rPr>
          <w:rFonts w:ascii="Arial" w:hAnsi="Arial" w:cs="Arial"/>
          <w:sz w:val="24"/>
        </w:rPr>
      </w:pPr>
    </w:p>
    <w:p w:rsidR="00A9658D" w:rsidRPr="00D31DBC" w:rsidRDefault="00A9658D" w:rsidP="00E72DA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Graf č. 9: Celkové náklady na zdravotní služby</w:t>
      </w:r>
    </w:p>
    <w:p w:rsidR="00D31DBC" w:rsidRDefault="00D31DBC" w:rsidP="00D31DBC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D31DBC">
        <w:rPr>
          <w:noProof/>
          <w:lang w:eastAsia="cs-CZ"/>
        </w:rPr>
        <w:drawing>
          <wp:inline distT="0" distB="0" distL="0" distR="0">
            <wp:extent cx="5715000" cy="2714625"/>
            <wp:effectExtent l="0" t="0" r="1905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658D" w:rsidRPr="00E72DA3" w:rsidRDefault="00A9658D" w:rsidP="00E72DA3">
      <w:pPr>
        <w:spacing w:after="0"/>
        <w:jc w:val="both"/>
        <w:rPr>
          <w:rFonts w:ascii="Arial" w:hAnsi="Arial" w:cs="Arial"/>
          <w:sz w:val="24"/>
        </w:rPr>
      </w:pPr>
      <w:r w:rsidRPr="001B6580">
        <w:rPr>
          <w:rFonts w:ascii="Arial" w:hAnsi="Arial" w:cs="Arial"/>
          <w:sz w:val="24"/>
        </w:rPr>
        <w:t>Graf č. 10:</w:t>
      </w:r>
      <w:r>
        <w:rPr>
          <w:rFonts w:ascii="Arial" w:hAnsi="Arial" w:cs="Arial"/>
          <w:sz w:val="24"/>
        </w:rPr>
        <w:t xml:space="preserve"> Náklady na zdravotní služby podle segmentů</w:t>
      </w:r>
    </w:p>
    <w:p w:rsidR="00D31DBC" w:rsidRPr="00D31DBC" w:rsidRDefault="00D31DBC" w:rsidP="00D31DBC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D31DBC">
        <w:rPr>
          <w:noProof/>
          <w:lang w:eastAsia="cs-CZ"/>
        </w:rPr>
        <w:drawing>
          <wp:inline distT="0" distB="0" distL="0" distR="0">
            <wp:extent cx="5759450" cy="2571115"/>
            <wp:effectExtent l="0" t="0" r="12700" b="1968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b/>
          <w:sz w:val="24"/>
        </w:rPr>
      </w:pP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b/>
          <w:sz w:val="24"/>
        </w:rPr>
        <w:t>Přesnější údaj o meziročním vývoji jednoznačně představuje odhad nákladů na jednoho pojištěnce</w:t>
      </w:r>
      <w:r w:rsidR="00A9658D">
        <w:rPr>
          <w:rFonts w:ascii="Arial" w:hAnsi="Arial" w:cs="Arial"/>
          <w:b/>
          <w:sz w:val="24"/>
        </w:rPr>
        <w:t xml:space="preserve"> </w:t>
      </w:r>
      <w:r w:rsidR="00A9658D">
        <w:rPr>
          <w:rFonts w:ascii="Arial" w:hAnsi="Arial" w:cs="Arial"/>
          <w:sz w:val="24"/>
        </w:rPr>
        <w:t>(Tabulka č. 4 a Graf č. 11)</w:t>
      </w:r>
      <w:r w:rsidRPr="00D31DBC">
        <w:rPr>
          <w:rFonts w:ascii="Arial" w:hAnsi="Arial" w:cs="Arial"/>
          <w:b/>
          <w:sz w:val="24"/>
        </w:rPr>
        <w:t xml:space="preserve">. </w:t>
      </w:r>
      <w:r w:rsidRPr="00D31DBC">
        <w:rPr>
          <w:rFonts w:ascii="Arial" w:hAnsi="Arial" w:cs="Arial"/>
          <w:sz w:val="24"/>
        </w:rPr>
        <w:t xml:space="preserve">Za celý systém v. z. p. v r. 2014 mají dosáhnout průměrné náklady na zdravotní služby </w:t>
      </w:r>
      <w:r w:rsidRPr="00D31DBC">
        <w:rPr>
          <w:rFonts w:ascii="Arial" w:hAnsi="Arial" w:cs="Arial"/>
          <w:spacing w:val="-4"/>
          <w:sz w:val="24"/>
        </w:rPr>
        <w:t>všech ZP v přepočtu na 1 pojištěnce v průměru částky 22 030</w:t>
      </w:r>
      <w:r w:rsidRPr="00D31DBC">
        <w:rPr>
          <w:rFonts w:ascii="Arial" w:hAnsi="Arial" w:cs="Arial"/>
          <w:sz w:val="24"/>
        </w:rPr>
        <w:t xml:space="preserve"> Kč, což představuje meziroční zvýšení o 3,8 % (v absolutním vyjádření nárůst o 799 Kč na 1 pojištěnce). VZP ČR predikuje tyto náklady v průměru ve výši 23 842 Kč, tedy s  meziročním nárůstem o 957 Kč na 1 pojištěnce, tj. o 4,2 %). Z hlediska absolutní výše těchto nákladů na 1 pojištěnce dále zůstává na 1. místě. Ze srovnání jednotlivých ZZP vyplývá, že růst těchto nákladů plánují všechny ZP (VoZP ČR o 4,3%, ČPZP o 3,5%, OZP o 5,0%, ZPŠ o 2,6%, ZP MV ČR o 3,5 % a RBP o 1,2%).</w:t>
      </w:r>
    </w:p>
    <w:p w:rsidR="00D31DBC" w:rsidRPr="00D31DBC" w:rsidRDefault="00D31DBC" w:rsidP="00D31DBC">
      <w:pPr>
        <w:spacing w:after="24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D31DBC">
        <w:rPr>
          <w:rFonts w:ascii="Arial" w:hAnsi="Arial" w:cs="Arial"/>
          <w:sz w:val="24"/>
          <w:szCs w:val="24"/>
        </w:rPr>
        <w:t xml:space="preserve">V objemově největším segmentu </w:t>
      </w:r>
      <w:r w:rsidRPr="00D31DBC">
        <w:rPr>
          <w:rFonts w:ascii="Arial" w:hAnsi="Arial" w:cs="Arial"/>
          <w:b/>
          <w:sz w:val="24"/>
          <w:szCs w:val="24"/>
        </w:rPr>
        <w:t>lůžkové zdravotní péče</w:t>
      </w:r>
      <w:r w:rsidRPr="00D31DBC">
        <w:rPr>
          <w:rFonts w:ascii="Arial" w:hAnsi="Arial" w:cs="Arial"/>
          <w:sz w:val="24"/>
          <w:szCs w:val="24"/>
        </w:rPr>
        <w:t xml:space="preserve"> je předpokládán nárůst nákladů o 6,5 % (tj. o 695 Kč) oproti očekávané skutečnosti roku 2013. U </w:t>
      </w:r>
      <w:r w:rsidRPr="00D31DBC">
        <w:rPr>
          <w:rFonts w:ascii="Arial" w:hAnsi="Arial" w:cs="Arial"/>
          <w:b/>
          <w:sz w:val="24"/>
          <w:szCs w:val="24"/>
        </w:rPr>
        <w:t>ambulantní péče</w:t>
      </w:r>
      <w:r w:rsidR="002806E6">
        <w:rPr>
          <w:rFonts w:ascii="Arial" w:hAnsi="Arial" w:cs="Arial"/>
          <w:sz w:val="24"/>
          <w:szCs w:val="24"/>
        </w:rPr>
        <w:t xml:space="preserve"> se</w:t>
      </w:r>
      <w:r w:rsidRPr="00D31DBC">
        <w:rPr>
          <w:rFonts w:ascii="Arial" w:hAnsi="Arial" w:cs="Arial"/>
          <w:sz w:val="24"/>
          <w:szCs w:val="24"/>
        </w:rPr>
        <w:t xml:space="preserve"> plánuje mírné navýšení nákladů celkem o 1,6 % (tj. o 94 Kč)</w:t>
      </w:r>
      <w:r w:rsidR="000D64E7">
        <w:rPr>
          <w:rFonts w:ascii="Arial" w:hAnsi="Arial" w:cs="Arial"/>
          <w:sz w:val="24"/>
          <w:szCs w:val="24"/>
        </w:rPr>
        <w:t>,</w:t>
      </w:r>
      <w:r w:rsidR="0000672D">
        <w:rPr>
          <w:rFonts w:ascii="Arial" w:hAnsi="Arial" w:cs="Arial"/>
          <w:sz w:val="24"/>
          <w:szCs w:val="24"/>
        </w:rPr>
        <w:t xml:space="preserve"> </w:t>
      </w:r>
      <w:r w:rsidR="00A9658D">
        <w:rPr>
          <w:rFonts w:ascii="Arial" w:hAnsi="Arial" w:cs="Arial"/>
          <w:sz w:val="24"/>
          <w:szCs w:val="24"/>
        </w:rPr>
        <w:t>(Tabulka č. 4 a Graf č. 12)</w:t>
      </w:r>
      <w:r w:rsidRPr="00D31DBC">
        <w:rPr>
          <w:rFonts w:ascii="Arial" w:hAnsi="Arial" w:cs="Arial"/>
          <w:sz w:val="24"/>
          <w:szCs w:val="24"/>
        </w:rPr>
        <w:t>.</w:t>
      </w:r>
    </w:p>
    <w:p w:rsidR="00D31DBC" w:rsidRPr="00CA119E" w:rsidRDefault="00D31DBC" w:rsidP="00E72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B70">
        <w:rPr>
          <w:rFonts w:ascii="Arial" w:hAnsi="Arial" w:cs="Arial"/>
          <w:sz w:val="24"/>
          <w:szCs w:val="24"/>
        </w:rPr>
        <w:lastRenderedPageBreak/>
        <w:t xml:space="preserve">Tabulka č. </w:t>
      </w:r>
      <w:r w:rsidR="00A9658D">
        <w:rPr>
          <w:rFonts w:ascii="Arial" w:hAnsi="Arial" w:cs="Arial"/>
          <w:sz w:val="24"/>
          <w:szCs w:val="24"/>
        </w:rPr>
        <w:t>4</w:t>
      </w:r>
      <w:r w:rsidRPr="00707B70">
        <w:rPr>
          <w:rFonts w:ascii="Arial" w:hAnsi="Arial" w:cs="Arial"/>
          <w:sz w:val="24"/>
          <w:szCs w:val="24"/>
        </w:rPr>
        <w:t>: Struktura nákladů na zdravotní služby v přepočtu na 1 pojištěnce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0"/>
        <w:gridCol w:w="1240"/>
        <w:gridCol w:w="1240"/>
        <w:gridCol w:w="1240"/>
        <w:gridCol w:w="1240"/>
        <w:gridCol w:w="1240"/>
        <w:gridCol w:w="1240"/>
      </w:tblGrid>
      <w:tr w:rsidR="00A9658D" w:rsidRPr="003A062C" w:rsidTr="001B6580">
        <w:trPr>
          <w:trHeight w:val="242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Ukazatel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2009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2014</w:t>
            </w:r>
          </w:p>
        </w:tc>
      </w:tr>
      <w:tr w:rsidR="00A9658D" w:rsidRPr="003A062C" w:rsidTr="001B6580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80"/>
            </w:tcBorders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(v Kč)</w:t>
            </w:r>
          </w:p>
        </w:tc>
      </w:tr>
      <w:tr w:rsidR="00A9658D" w:rsidRPr="003A062C" w:rsidTr="001B6580">
        <w:trPr>
          <w:trHeight w:val="315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80"/>
            </w:tcBorders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(oč. skut.)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658D" w:rsidRPr="003A062C" w:rsidRDefault="00A9658D" w:rsidP="001B6580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(ZPP)</w:t>
            </w:r>
          </w:p>
        </w:tc>
      </w:tr>
      <w:tr w:rsidR="00A9658D" w:rsidRPr="003A062C" w:rsidTr="001B6580">
        <w:trPr>
          <w:trHeight w:val="6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na ambulantní péči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5 241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5 344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5 563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5 589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5 720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5 814</w:t>
            </w:r>
          </w:p>
        </w:tc>
      </w:tr>
      <w:tr w:rsidR="00A9658D" w:rsidRPr="003A062C" w:rsidTr="001B6580">
        <w:trPr>
          <w:trHeight w:val="6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na lůžkovou péči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10 408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10 765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10 843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10 822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10 753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11 448</w:t>
            </w:r>
          </w:p>
        </w:tc>
      </w:tr>
      <w:tr w:rsidR="00A9658D" w:rsidRPr="003A062C" w:rsidTr="001B6580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4 785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4 610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4 616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4 801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4 758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color w:val="000000"/>
                <w:lang w:eastAsia="cs-CZ"/>
              </w:rPr>
              <w:t>4 768</w:t>
            </w:r>
          </w:p>
        </w:tc>
      </w:tr>
      <w:tr w:rsidR="00A9658D" w:rsidRPr="003A062C" w:rsidTr="001B6580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Celkové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20 434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20 719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21 022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21 231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58D" w:rsidRPr="003A062C" w:rsidRDefault="00A9658D" w:rsidP="001B6580">
            <w:pPr>
              <w:spacing w:after="120"/>
              <w:ind w:firstLine="426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06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22 030</w:t>
            </w:r>
          </w:p>
        </w:tc>
      </w:tr>
    </w:tbl>
    <w:p w:rsidR="002C3D05" w:rsidRDefault="002C3D05" w:rsidP="00D31DBC">
      <w:pPr>
        <w:spacing w:line="240" w:lineRule="auto"/>
        <w:jc w:val="both"/>
        <w:rPr>
          <w:rFonts w:ascii="Arial" w:hAnsi="Arial" w:cs="Arial"/>
          <w:sz w:val="24"/>
        </w:rPr>
      </w:pPr>
    </w:p>
    <w:p w:rsidR="00A9658D" w:rsidRPr="00D31DBC" w:rsidRDefault="00A9658D" w:rsidP="00E72DA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Graf č. 11: Celkové náklady na zdravotní služby v přepočtu na 1 pojištěnce</w:t>
      </w:r>
    </w:p>
    <w:p w:rsidR="002C3D05" w:rsidRDefault="00D31DBC" w:rsidP="00707B70">
      <w:pPr>
        <w:spacing w:line="240" w:lineRule="auto"/>
        <w:jc w:val="center"/>
        <w:rPr>
          <w:rFonts w:ascii="Arial" w:hAnsi="Arial" w:cs="Arial"/>
          <w:sz w:val="24"/>
        </w:rPr>
      </w:pPr>
      <w:r w:rsidRPr="00D31DBC">
        <w:rPr>
          <w:noProof/>
          <w:lang w:eastAsia="cs-CZ"/>
        </w:rPr>
        <w:drawing>
          <wp:inline distT="0" distB="0" distL="0" distR="0">
            <wp:extent cx="5581650" cy="2419350"/>
            <wp:effectExtent l="0" t="0" r="19050" b="190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9658D" w:rsidRPr="00D31DBC" w:rsidRDefault="00A9658D" w:rsidP="00E72DA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Graf č. 12: Náklady na zdravotní služby podle segmentů v přepočtu na 1 pojištěnce</w:t>
      </w:r>
    </w:p>
    <w:p w:rsidR="00D31DBC" w:rsidRDefault="00D31DBC" w:rsidP="00707B7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D31DBC">
        <w:rPr>
          <w:noProof/>
          <w:lang w:eastAsia="cs-CZ"/>
        </w:rPr>
        <w:drawing>
          <wp:inline distT="0" distB="0" distL="0" distR="0">
            <wp:extent cx="5581650" cy="2295525"/>
            <wp:effectExtent l="0" t="0" r="1905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2F95" w:rsidRPr="00D31DBC" w:rsidRDefault="00F92F95" w:rsidP="00707B70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D31DBC" w:rsidRPr="00D31DBC" w:rsidRDefault="00D31DBC" w:rsidP="00D31DBC">
      <w:pPr>
        <w:spacing w:line="240" w:lineRule="auto"/>
        <w:ind w:firstLine="540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b/>
          <w:sz w:val="24"/>
        </w:rPr>
        <w:lastRenderedPageBreak/>
        <w:t>Náklady na léčení cizinců</w:t>
      </w:r>
      <w:r w:rsidRPr="00D31DBC">
        <w:rPr>
          <w:rFonts w:ascii="Arial" w:hAnsi="Arial" w:cs="Arial"/>
          <w:sz w:val="24"/>
        </w:rPr>
        <w:t xml:space="preserve"> plánují ZP ve výši 592 474 tis. Kč s meziročním poklesem 1,3 % a s průměrným nákladem na jednoho ošetřeného cizince ve výši 5 362 Kč. Jednotlivé ZP uhradí závazky za cizince z BÚ ZFZP a částky za poskytnutou zdravotní péči si nárokují prostřednictvím CMÚ u zahraničních zdravotních pojišťoven, které provedou příslušnou úhradu. Výše těchto úhrad jsou uvedeny v tabulkách č. 2 ZFZP jednotlivých ZP. </w:t>
      </w:r>
    </w:p>
    <w:p w:rsidR="00D31DBC" w:rsidRPr="00D31DBC" w:rsidRDefault="00D31DBC" w:rsidP="00D31DBC">
      <w:pPr>
        <w:spacing w:line="240" w:lineRule="auto"/>
        <w:ind w:firstLine="540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sz w:val="24"/>
        </w:rPr>
        <w:t>Celkové příjmy od zahraničních pojišťoven plánují ZP v r. 2014 ve výši 489 819 tis. Kč, výdaje dosáhnou 586 934 tis. Kč. Záporné saldo příjmů a výdajů se očekává 97 115 tis. Kč. Časové převisy plánovaných</w:t>
      </w:r>
      <w:r w:rsidRPr="00D31DBC" w:rsidDel="008D3ED4">
        <w:rPr>
          <w:rFonts w:ascii="Arial" w:hAnsi="Arial" w:cs="Arial"/>
          <w:sz w:val="24"/>
        </w:rPr>
        <w:t xml:space="preserve"> </w:t>
      </w:r>
      <w:r w:rsidRPr="00D31DBC">
        <w:rPr>
          <w:rFonts w:ascii="Arial" w:hAnsi="Arial" w:cs="Arial"/>
          <w:sz w:val="24"/>
        </w:rPr>
        <w:t xml:space="preserve">výdajů za ošetření cizinců nad příjmy od zahraničních pojišťoven budou opět krýt jednotlivé ZP z prostředků na BÚ ZFZP. </w:t>
      </w:r>
    </w:p>
    <w:p w:rsidR="00D31DBC" w:rsidRPr="00D31DBC" w:rsidRDefault="00D31DBC" w:rsidP="00D31DBC">
      <w:pPr>
        <w:spacing w:after="0" w:line="240" w:lineRule="auto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sz w:val="24"/>
        </w:rPr>
        <w:t xml:space="preserve">Tabulka č. </w:t>
      </w:r>
      <w:r w:rsidR="00A9658D">
        <w:rPr>
          <w:rFonts w:ascii="Arial" w:hAnsi="Arial" w:cs="Arial"/>
        </w:rPr>
        <w:t>5</w:t>
      </w:r>
      <w:r w:rsidRPr="00D31DBC">
        <w:rPr>
          <w:rFonts w:ascii="Arial" w:hAnsi="Arial" w:cs="Arial"/>
          <w:sz w:val="24"/>
        </w:rPr>
        <w:t>: Vývoj nákladů na léčení cizinců v České republice</w:t>
      </w:r>
    </w:p>
    <w:tbl>
      <w:tblPr>
        <w:tblW w:w="916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43"/>
        <w:gridCol w:w="1122"/>
        <w:gridCol w:w="1240"/>
        <w:gridCol w:w="1240"/>
        <w:gridCol w:w="1240"/>
        <w:gridCol w:w="1240"/>
        <w:gridCol w:w="1240"/>
      </w:tblGrid>
      <w:tr w:rsidR="00D31DBC" w:rsidRPr="00D31DBC" w:rsidTr="00847808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Ukazatel</w:t>
            </w:r>
          </w:p>
        </w:tc>
        <w:tc>
          <w:tcPr>
            <w:tcW w:w="1122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2009</w:t>
            </w:r>
          </w:p>
        </w:tc>
        <w:tc>
          <w:tcPr>
            <w:tcW w:w="124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2010</w:t>
            </w:r>
          </w:p>
        </w:tc>
        <w:tc>
          <w:tcPr>
            <w:tcW w:w="124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2011</w:t>
            </w:r>
          </w:p>
        </w:tc>
        <w:tc>
          <w:tcPr>
            <w:tcW w:w="124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2012</w:t>
            </w:r>
          </w:p>
        </w:tc>
        <w:tc>
          <w:tcPr>
            <w:tcW w:w="124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2013</w:t>
            </w:r>
          </w:p>
        </w:tc>
        <w:tc>
          <w:tcPr>
            <w:tcW w:w="124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2014</w:t>
            </w:r>
          </w:p>
        </w:tc>
      </w:tr>
      <w:tr w:rsidR="00D31DBC" w:rsidRPr="00D31DBC" w:rsidTr="00847808">
        <w:trPr>
          <w:trHeight w:val="315"/>
        </w:trPr>
        <w:tc>
          <w:tcPr>
            <w:tcW w:w="1843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(oč. skut.)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(ZPP)</w:t>
            </w:r>
          </w:p>
        </w:tc>
      </w:tr>
      <w:tr w:rsidR="00D31DBC" w:rsidRPr="00D31DBC" w:rsidTr="00847808">
        <w:trPr>
          <w:trHeight w:val="613"/>
        </w:trPr>
        <w:tc>
          <w:tcPr>
            <w:tcW w:w="18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na léčení cizinců (tis. Kč)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366 991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410 737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560 937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635 438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600 515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592 474</w:t>
            </w:r>
          </w:p>
        </w:tc>
      </w:tr>
      <w:tr w:rsidR="00D31DBC" w:rsidRPr="00D31DBC" w:rsidTr="00847808">
        <w:trPr>
          <w:trHeight w:val="615"/>
        </w:trPr>
        <w:tc>
          <w:tcPr>
            <w:tcW w:w="18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ošetřených cizinců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61 776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64 888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77 622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95 863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112 869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110 505</w:t>
            </w:r>
          </w:p>
        </w:tc>
      </w:tr>
      <w:tr w:rsidR="00D31DBC" w:rsidRPr="00D31DBC" w:rsidTr="00847808">
        <w:trPr>
          <w:trHeight w:val="890"/>
        </w:trPr>
        <w:tc>
          <w:tcPr>
            <w:tcW w:w="184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Průměrné náklady na 1 ošetřeného cizince (tis. Kč)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5,94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1DBC">
              <w:rPr>
                <w:rFonts w:ascii="Calibri" w:eastAsia="Times New Roman" w:hAnsi="Calibri" w:cs="Times New Roman"/>
                <w:color w:val="000000"/>
                <w:lang w:eastAsia="cs-CZ"/>
              </w:rPr>
              <w:t>5,36</w:t>
            </w:r>
          </w:p>
        </w:tc>
      </w:tr>
    </w:tbl>
    <w:p w:rsidR="00D31DBC" w:rsidRPr="00D31DBC" w:rsidRDefault="00D31DBC" w:rsidP="00D31DBC">
      <w:pPr>
        <w:tabs>
          <w:tab w:val="left" w:pos="360"/>
        </w:tabs>
        <w:spacing w:after="120" w:line="240" w:lineRule="auto"/>
        <w:ind w:firstLine="426"/>
        <w:jc w:val="both"/>
        <w:rPr>
          <w:rFonts w:ascii="Arial" w:hAnsi="Arial" w:cs="Arial"/>
          <w:b/>
          <w:sz w:val="24"/>
        </w:rPr>
      </w:pPr>
    </w:p>
    <w:p w:rsidR="00D31DBC" w:rsidRPr="00D31DBC" w:rsidRDefault="00D31DBC" w:rsidP="00D31DBC">
      <w:pPr>
        <w:tabs>
          <w:tab w:val="left" w:pos="360"/>
        </w:tabs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b/>
          <w:sz w:val="24"/>
        </w:rPr>
        <w:t xml:space="preserve">V oblasti zdravotní péče hrazené nad rámec v. z. p. čerpané z Fprev </w:t>
      </w:r>
      <w:r w:rsidRPr="00D31DBC">
        <w:rPr>
          <w:rFonts w:ascii="Arial" w:hAnsi="Arial" w:cs="Arial"/>
          <w:sz w:val="24"/>
        </w:rPr>
        <w:t>a dalších specifických fondů plánují ZP objem finančních prostředků ve výši 1 084 895 tis. Kč (ze zdrojů Fprev 1 072 695 tis. Kč a 12 200 tis. Kč ze zdro</w:t>
      </w:r>
      <w:r w:rsidR="002806E6">
        <w:rPr>
          <w:rFonts w:ascii="Arial" w:hAnsi="Arial" w:cs="Arial"/>
          <w:sz w:val="24"/>
        </w:rPr>
        <w:t>jů MO). Oproti oč. skut. r. 2013</w:t>
      </w:r>
      <w:r w:rsidRPr="00D31DBC">
        <w:rPr>
          <w:rFonts w:ascii="Arial" w:hAnsi="Arial" w:cs="Arial"/>
          <w:sz w:val="24"/>
        </w:rPr>
        <w:t xml:space="preserve"> plánují ZP celkové snížení finančních prostředků o 9,6 % (v absolutním vyjádření o 115 183 tis. Kč). </w:t>
      </w:r>
    </w:p>
    <w:p w:rsidR="00D31DBC" w:rsidRPr="00D31DBC" w:rsidRDefault="00D31DBC" w:rsidP="002C3D05">
      <w:pPr>
        <w:spacing w:after="120" w:line="240" w:lineRule="auto"/>
        <w:ind w:firstLine="426"/>
        <w:jc w:val="both"/>
        <w:rPr>
          <w:rFonts w:ascii="Arial" w:hAnsi="Arial" w:cs="Arial"/>
          <w:sz w:val="24"/>
        </w:rPr>
      </w:pPr>
      <w:r w:rsidRPr="00D31DBC">
        <w:rPr>
          <w:rFonts w:ascii="Arial" w:hAnsi="Arial" w:cs="Arial"/>
          <w:sz w:val="24"/>
        </w:rPr>
        <w:t>Nabídku zdravotně preventivních programů v r. 2014 směřují ZP k realizaci preventivních programů sloužících k odhalování závažných onemocnění, na podporu rehabilitačně rekondičních aktivit vedoucích k prokazatelnému zlepšení zdravotního stavu účastníků zařazených do těchto programů a dále na projekty podporující zvýšení kvality zdravotní péče, zdravý způsob života a zdraví pojištěnců.</w:t>
      </w:r>
    </w:p>
    <w:p w:rsidR="00D31DBC" w:rsidRPr="00D31DBC" w:rsidRDefault="00D31DBC" w:rsidP="00D31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1DBC">
        <w:rPr>
          <w:rFonts w:ascii="Arial" w:hAnsi="Arial" w:cs="Arial"/>
          <w:sz w:val="24"/>
          <w:szCs w:val="24"/>
        </w:rPr>
        <w:t xml:space="preserve">Tabulka č. </w:t>
      </w:r>
      <w:r w:rsidR="00A9658D">
        <w:rPr>
          <w:rFonts w:ascii="Arial" w:hAnsi="Arial" w:cs="Arial"/>
          <w:sz w:val="24"/>
          <w:szCs w:val="24"/>
        </w:rPr>
        <w:t>6</w:t>
      </w:r>
      <w:r w:rsidRPr="00D31DBC">
        <w:rPr>
          <w:rFonts w:ascii="Arial" w:hAnsi="Arial" w:cs="Arial"/>
          <w:sz w:val="24"/>
          <w:szCs w:val="24"/>
        </w:rPr>
        <w:t>: Náklady na preventivní zdravotní péči čerpané z fondu prevence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110"/>
        <w:gridCol w:w="1110"/>
        <w:gridCol w:w="1111"/>
        <w:gridCol w:w="1110"/>
        <w:gridCol w:w="1110"/>
        <w:gridCol w:w="1111"/>
      </w:tblGrid>
      <w:tr w:rsidR="00D31DBC" w:rsidRPr="00D31DBC" w:rsidTr="00E72DA3">
        <w:trPr>
          <w:trHeight w:val="300"/>
        </w:trPr>
        <w:tc>
          <w:tcPr>
            <w:tcW w:w="2567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Účelová položka</w:t>
            </w:r>
          </w:p>
        </w:tc>
        <w:tc>
          <w:tcPr>
            <w:tcW w:w="111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11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111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11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11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111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2014</w:t>
            </w:r>
          </w:p>
        </w:tc>
      </w:tr>
      <w:tr w:rsidR="00D31DBC" w:rsidRPr="00D31DBC" w:rsidTr="00E72DA3">
        <w:trPr>
          <w:trHeight w:val="300"/>
        </w:trPr>
        <w:tc>
          <w:tcPr>
            <w:tcW w:w="25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(tis. Kč)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(tis. Kč)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(tis. Kč)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(tis. Kč)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(tis. Kč)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(tis. Kč)</w:t>
            </w:r>
          </w:p>
        </w:tc>
      </w:tr>
      <w:tr w:rsidR="00D31DBC" w:rsidRPr="00D31DBC" w:rsidTr="00E72DA3">
        <w:trPr>
          <w:trHeight w:val="315"/>
        </w:trPr>
        <w:tc>
          <w:tcPr>
            <w:tcW w:w="25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(oč. skut.)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8DB4E2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(ZPP)</w:t>
            </w:r>
          </w:p>
        </w:tc>
      </w:tr>
      <w:tr w:rsidR="00D31DBC" w:rsidRPr="00D31DBC" w:rsidTr="00E72DA3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na zdravotní programy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846 874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264 459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391 860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620 970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841 397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733 661</w:t>
            </w:r>
          </w:p>
        </w:tc>
      </w:tr>
      <w:tr w:rsidR="00D31DBC" w:rsidRPr="00D31DBC" w:rsidTr="00E72DA3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na ozdravné pobyty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219 900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160 052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144 051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151 463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174 994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174 384</w:t>
            </w:r>
          </w:p>
        </w:tc>
      </w:tr>
      <w:tr w:rsidR="00D31DBC" w:rsidRPr="00D31DBC" w:rsidTr="00E72DA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činnosti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255 331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153 872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197 502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141 276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171 867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164 650</w:t>
            </w:r>
          </w:p>
        </w:tc>
      </w:tr>
      <w:tr w:rsidR="00D31DBC" w:rsidRPr="00D31DBC" w:rsidTr="00E72DA3">
        <w:trPr>
          <w:trHeight w:val="7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BC" w:rsidRPr="00D31DBC" w:rsidRDefault="00D31DBC" w:rsidP="00D3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náklady na preventivní zdravotní péči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1 335 321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591 422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744 897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922 304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1 200 078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D31DBC" w:rsidRPr="00D31DBC" w:rsidRDefault="00D31DBC" w:rsidP="00D3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1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1 084 895</w:t>
            </w:r>
          </w:p>
        </w:tc>
      </w:tr>
    </w:tbl>
    <w:p w:rsidR="00D31DBC" w:rsidRDefault="00514CFF" w:rsidP="00C66462">
      <w:pPr>
        <w:spacing w:after="12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lastRenderedPageBreak/>
        <w:t>8</w:t>
      </w:r>
      <w:r w:rsidR="00D31DBC" w:rsidRPr="00D31DB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. Závěr </w:t>
      </w:r>
    </w:p>
    <w:p w:rsidR="00F92F95" w:rsidRPr="00D31DBC" w:rsidRDefault="00F92F95" w:rsidP="00C66462">
      <w:pPr>
        <w:spacing w:after="12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</w:p>
    <w:p w:rsidR="00C15322" w:rsidRDefault="00D31DBC" w:rsidP="00D31DBC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1DBC">
        <w:rPr>
          <w:rFonts w:ascii="Arial" w:eastAsia="Times New Roman" w:hAnsi="Arial" w:cs="Arial"/>
          <w:sz w:val="24"/>
          <w:szCs w:val="24"/>
          <w:lang w:eastAsia="cs-CZ"/>
        </w:rPr>
        <w:t xml:space="preserve">Při předpokladu celkového vývoje systému v. z. p. v roce 2014 nelze vycházet pouze ze zdravotně pojistných plánů jednotlivých pojišťoven, neboť v průběhu kalendářního roku mohou mít vliv rovněž další skutečnosti. Lze nicméně předpokládat, že i v roce 2014 bude </w:t>
      </w:r>
      <w:r w:rsidR="002806E6">
        <w:rPr>
          <w:rFonts w:ascii="Arial" w:eastAsia="Times New Roman" w:hAnsi="Arial" w:cs="Arial"/>
          <w:sz w:val="24"/>
          <w:szCs w:val="24"/>
          <w:lang w:eastAsia="cs-CZ"/>
        </w:rPr>
        <w:t xml:space="preserve">hotovostní </w:t>
      </w:r>
      <w:r w:rsidRPr="00D31DBC">
        <w:rPr>
          <w:rFonts w:ascii="Arial" w:eastAsia="Times New Roman" w:hAnsi="Arial" w:cs="Arial"/>
          <w:sz w:val="24"/>
          <w:szCs w:val="24"/>
          <w:lang w:eastAsia="cs-CZ"/>
        </w:rPr>
        <w:t xml:space="preserve">saldo v. z. p. záporné, a to v hodnotě dosahující cca </w:t>
      </w:r>
      <w:r w:rsidR="001731B0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10778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31DBC">
        <w:rPr>
          <w:rFonts w:ascii="Arial" w:eastAsia="Times New Roman" w:hAnsi="Arial" w:cs="Arial"/>
          <w:sz w:val="24"/>
          <w:szCs w:val="24"/>
          <w:lang w:eastAsia="cs-CZ"/>
        </w:rPr>
        <w:t xml:space="preserve"> mld. Kč.</w:t>
      </w:r>
      <w:r w:rsidR="009C40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>V ak</w:t>
      </w:r>
      <w:r w:rsidR="00E72DA3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>uální metodice ESA 95, ve které se počítá tzv. maastrichtské kritérium vládn</w:t>
      </w:r>
      <w:r w:rsidR="001731B0">
        <w:rPr>
          <w:rFonts w:ascii="Arial" w:eastAsia="Times New Roman" w:hAnsi="Arial" w:cs="Arial"/>
          <w:sz w:val="24"/>
          <w:szCs w:val="24"/>
          <w:lang w:eastAsia="cs-CZ"/>
        </w:rPr>
        <w:t>ího deficitu, činí odhad salda -3,07</w:t>
      </w:r>
      <w:r w:rsidR="00B926F9">
        <w:rPr>
          <w:rFonts w:ascii="Arial" w:eastAsia="Times New Roman" w:hAnsi="Arial" w:cs="Arial"/>
          <w:sz w:val="24"/>
          <w:szCs w:val="24"/>
          <w:lang w:eastAsia="cs-CZ"/>
        </w:rPr>
        <w:t xml:space="preserve"> mld. Kč, což je asi 0,08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 xml:space="preserve"> % HDP. </w:t>
      </w:r>
    </w:p>
    <w:p w:rsidR="00D407B8" w:rsidRPr="00D31DBC" w:rsidRDefault="009C401C" w:rsidP="00C15322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Výše salda v této výši nepředstavuje výrazné riziko pro dosažení fiskálního cíle vlády za celý veřejný sektor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 xml:space="preserve"> (3 % HDP), pokud nedojde ke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zhoršení výběru pojistného oproti očekávané skutečnosti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 xml:space="preserve"> ve velkém rozsahu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15322">
        <w:rPr>
          <w:rFonts w:ascii="Arial" w:eastAsia="Times New Roman" w:hAnsi="Arial" w:cs="Arial"/>
          <w:sz w:val="24"/>
          <w:szCs w:val="24"/>
          <w:lang w:eastAsia="cs-CZ"/>
        </w:rPr>
        <w:t xml:space="preserve"> Poměr salda k příjmům i výdajům systému </w:t>
      </w:r>
      <w:r w:rsidR="0010778A">
        <w:rPr>
          <w:rFonts w:ascii="Arial" w:eastAsia="Times New Roman" w:hAnsi="Arial" w:cs="Arial"/>
          <w:sz w:val="24"/>
          <w:szCs w:val="24"/>
          <w:lang w:eastAsia="cs-CZ"/>
        </w:rPr>
        <w:t>v. z. p. je i nadále nízký v porovnání s jinými segmenty veřejných rozpočtů.</w:t>
      </w:r>
      <w:bookmarkStart w:id="0" w:name="_GoBack"/>
      <w:bookmarkEnd w:id="0"/>
    </w:p>
    <w:p w:rsidR="00D31DBC" w:rsidRPr="00D31DBC" w:rsidRDefault="009C401C" w:rsidP="00D31DBC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D31DBC" w:rsidRPr="00D31DBC">
        <w:rPr>
          <w:rFonts w:ascii="Arial" w:eastAsia="Times New Roman" w:hAnsi="Arial" w:cs="Arial"/>
          <w:sz w:val="24"/>
          <w:szCs w:val="24"/>
          <w:lang w:eastAsia="cs-CZ"/>
        </w:rPr>
        <w:t>ývoj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salda</w:t>
      </w:r>
      <w:r w:rsidR="00D31DBC" w:rsidRPr="00D31DBC">
        <w:rPr>
          <w:rFonts w:ascii="Arial" w:eastAsia="Times New Roman" w:hAnsi="Arial" w:cs="Arial"/>
          <w:sz w:val="24"/>
          <w:szCs w:val="24"/>
          <w:lang w:eastAsia="cs-CZ"/>
        </w:rPr>
        <w:t xml:space="preserve"> může být zmírněn např. zvýšením platby za tzv. státní pojištěnce ještě v průběhu roku 2014. Dodatečně získané prostředky budou ovšem primárně využity na kompenzaci výpadku platby regulačních poplatků u poskytovatelů lůžkové péče.</w:t>
      </w:r>
    </w:p>
    <w:p w:rsidR="00D31DBC" w:rsidRPr="00D31DBC" w:rsidRDefault="00D31DBC" w:rsidP="00D31DBC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1DBC">
        <w:rPr>
          <w:rFonts w:ascii="Arial" w:eastAsia="Times New Roman" w:hAnsi="Arial" w:cs="Arial"/>
          <w:sz w:val="24"/>
          <w:szCs w:val="24"/>
          <w:lang w:eastAsia="cs-CZ"/>
        </w:rPr>
        <w:t>Na základě poskytnutí návratné finanční výpomoci VZP ČR ve výši 1,7 mld. Kč v posledním čtvrtletí roku 2013 došlo k částečnému zlepšení situace této zdravotní pojišťovny ve vztahu ke splatnosti závazků vůči poskytovatelům zdravotních služeb. Zhoršení situace lze opět očekávat ke</w:t>
      </w:r>
      <w:r w:rsidR="00C0765D">
        <w:rPr>
          <w:rFonts w:ascii="Arial" w:eastAsia="Times New Roman" w:hAnsi="Arial" w:cs="Arial"/>
          <w:sz w:val="24"/>
          <w:szCs w:val="24"/>
          <w:lang w:eastAsia="cs-CZ"/>
        </w:rPr>
        <w:t xml:space="preserve"> konci roku 2014, kdy bude </w:t>
      </w:r>
      <w:r w:rsidRPr="00D31DBC">
        <w:rPr>
          <w:rFonts w:ascii="Arial" w:eastAsia="Times New Roman" w:hAnsi="Arial" w:cs="Arial"/>
          <w:sz w:val="24"/>
          <w:szCs w:val="24"/>
          <w:lang w:eastAsia="cs-CZ"/>
        </w:rPr>
        <w:t>VZP ČR vracet předsunutou platbu a zároveň část návratné finanční výpomoci ve výši 700 000 tis. Kč.</w:t>
      </w:r>
      <w:r w:rsidR="009C401C">
        <w:rPr>
          <w:rFonts w:ascii="Arial" w:eastAsia="Times New Roman" w:hAnsi="Arial" w:cs="Arial"/>
          <w:sz w:val="24"/>
          <w:szCs w:val="24"/>
          <w:lang w:eastAsia="cs-CZ"/>
        </w:rPr>
        <w:t xml:space="preserve"> Situaci VZP ČR bude nutno řešit dalšími systémovými kroky.</w:t>
      </w:r>
    </w:p>
    <w:sectPr w:rsidR="00D31DBC" w:rsidRPr="00D31DBC" w:rsidSect="00B22EF4">
      <w:footerReference w:type="even" r:id="rId20"/>
      <w:footerReference w:type="default" r:id="rId21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6B" w:rsidRDefault="00B6396B" w:rsidP="00A5572F">
      <w:pPr>
        <w:spacing w:after="0" w:line="240" w:lineRule="auto"/>
      </w:pPr>
      <w:r>
        <w:separator/>
      </w:r>
    </w:p>
  </w:endnote>
  <w:endnote w:type="continuationSeparator" w:id="0">
    <w:p w:rsidR="00B6396B" w:rsidRDefault="00B6396B" w:rsidP="00A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92" w:rsidRDefault="00252F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05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05EB">
      <w:rPr>
        <w:rStyle w:val="slostrnky"/>
        <w:noProof/>
      </w:rPr>
      <w:t>5</w:t>
    </w:r>
    <w:r>
      <w:rPr>
        <w:rStyle w:val="slostrnky"/>
      </w:rPr>
      <w:fldChar w:fldCharType="end"/>
    </w:r>
  </w:p>
  <w:p w:rsidR="00D71992" w:rsidRDefault="00B639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92" w:rsidRDefault="00252F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05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7839">
      <w:rPr>
        <w:rStyle w:val="slostrnky"/>
        <w:noProof/>
      </w:rPr>
      <w:t>14</w:t>
    </w:r>
    <w:r>
      <w:rPr>
        <w:rStyle w:val="slostrnky"/>
      </w:rPr>
      <w:fldChar w:fldCharType="end"/>
    </w:r>
  </w:p>
  <w:p w:rsidR="00D71992" w:rsidRDefault="00B639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6B" w:rsidRDefault="00B6396B" w:rsidP="00A5572F">
      <w:pPr>
        <w:spacing w:after="0" w:line="240" w:lineRule="auto"/>
      </w:pPr>
      <w:r>
        <w:separator/>
      </w:r>
    </w:p>
  </w:footnote>
  <w:footnote w:type="continuationSeparator" w:id="0">
    <w:p w:rsidR="00B6396B" w:rsidRDefault="00B6396B" w:rsidP="00A5572F">
      <w:pPr>
        <w:spacing w:after="0" w:line="240" w:lineRule="auto"/>
      </w:pPr>
      <w:r>
        <w:continuationSeparator/>
      </w:r>
    </w:p>
  </w:footnote>
  <w:footnote w:id="1">
    <w:p w:rsidR="00A5572F" w:rsidRDefault="009100D6" w:rsidP="00A5572F">
      <w:pPr>
        <w:pStyle w:val="Textpoznpodarou"/>
        <w:jc w:val="both"/>
      </w:pPr>
      <w:r>
        <w:rPr>
          <w:rStyle w:val="Znakapoznpodarou"/>
        </w:rPr>
        <w:t>1</w:t>
      </w:r>
      <w:r w:rsidR="00A5572F">
        <w:t xml:space="preserve"> Snížení maximálního koeficientu z 3,71 % na 3,41 % se promít</w:t>
      </w:r>
      <w:r w:rsidR="00D863A7">
        <w:t>lo v roce 2013</w:t>
      </w:r>
      <w:r w:rsidR="00A5572F">
        <w:t xml:space="preserve"> do hospodaření nejmenší ZP. U ostatních ZP poklesnou </w:t>
      </w:r>
      <w:r w:rsidR="00A5572F" w:rsidRPr="00644346">
        <w:t>maximálně možná % ze skutečně dosažené</w:t>
      </w:r>
      <w:r w:rsidR="00A5572F">
        <w:t xml:space="preserve"> rozvrhové základy pod hranici 3,41 %, v závislosti na počtu pojištěnců. </w:t>
      </w:r>
    </w:p>
  </w:footnote>
  <w:footnote w:id="2">
    <w:p w:rsidR="00A5572F" w:rsidRPr="001C1357" w:rsidRDefault="00A5572F" w:rsidP="00A5572F">
      <w:pPr>
        <w:pStyle w:val="Textpoznpodarou"/>
        <w:rPr>
          <w:rFonts w:ascii="Arial" w:hAnsi="Arial" w:cs="Arial"/>
          <w:sz w:val="16"/>
          <w:szCs w:val="16"/>
          <w:highlight w:val="cyan"/>
        </w:rPr>
      </w:pPr>
      <w:r w:rsidRPr="00733F4A">
        <w:rPr>
          <w:rStyle w:val="Znakapoznpodarou"/>
          <w:rFonts w:ascii="Arial" w:hAnsi="Arial" w:cs="Arial"/>
        </w:rPr>
        <w:footnoteRef/>
      </w:r>
      <w:r w:rsidRPr="001C1357">
        <w:rPr>
          <w:rFonts w:ascii="Arial" w:hAnsi="Arial" w:cs="Arial"/>
          <w:sz w:val="16"/>
          <w:szCs w:val="16"/>
        </w:rPr>
        <w:t xml:space="preserve"> V</w:t>
      </w:r>
      <w:r>
        <w:rPr>
          <w:rFonts w:ascii="Arial" w:hAnsi="Arial" w:cs="Arial"/>
          <w:sz w:val="16"/>
          <w:szCs w:val="16"/>
        </w:rPr>
        <w:t xml:space="preserve"> Tabulkové </w:t>
      </w:r>
      <w:r w:rsidRPr="001C1357">
        <w:rPr>
          <w:rFonts w:ascii="Arial" w:hAnsi="Arial" w:cs="Arial"/>
          <w:sz w:val="16"/>
          <w:szCs w:val="16"/>
        </w:rPr>
        <w:t>příloze</w:t>
      </w:r>
      <w:r>
        <w:rPr>
          <w:rFonts w:ascii="Arial" w:hAnsi="Arial" w:cs="Arial"/>
          <w:sz w:val="16"/>
          <w:szCs w:val="16"/>
        </w:rPr>
        <w:t xml:space="preserve"> Tabulka</w:t>
      </w:r>
      <w:r w:rsidRPr="001C1357">
        <w:rPr>
          <w:rFonts w:ascii="Arial" w:hAnsi="Arial" w:cs="Arial"/>
          <w:sz w:val="16"/>
          <w:szCs w:val="16"/>
        </w:rPr>
        <w:t xml:space="preserve"> č. 1 nejsou tyto údaje uvedeny, neboť nejsou součástí „čisté výše“ pohledávek.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63C"/>
    <w:multiLevelType w:val="hybridMultilevel"/>
    <w:tmpl w:val="A21469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8202E"/>
    <w:multiLevelType w:val="hybridMultilevel"/>
    <w:tmpl w:val="620008AC"/>
    <w:lvl w:ilvl="0" w:tplc="7664737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281D"/>
    <w:multiLevelType w:val="hybridMultilevel"/>
    <w:tmpl w:val="3744B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71534"/>
    <w:multiLevelType w:val="hybridMultilevel"/>
    <w:tmpl w:val="637AA804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EAF2F00"/>
    <w:multiLevelType w:val="hybridMultilevel"/>
    <w:tmpl w:val="B8AAEFF6"/>
    <w:lvl w:ilvl="0" w:tplc="7664737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E577C"/>
    <w:multiLevelType w:val="hybridMultilevel"/>
    <w:tmpl w:val="FD7876E4"/>
    <w:lvl w:ilvl="0" w:tplc="76647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812E6"/>
    <w:multiLevelType w:val="hybridMultilevel"/>
    <w:tmpl w:val="7674E1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CD5FFF"/>
    <w:multiLevelType w:val="hybridMultilevel"/>
    <w:tmpl w:val="0C5EF88A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8DD4357"/>
    <w:multiLevelType w:val="hybridMultilevel"/>
    <w:tmpl w:val="2D824D84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757E36BC"/>
    <w:multiLevelType w:val="hybridMultilevel"/>
    <w:tmpl w:val="998AF13E"/>
    <w:lvl w:ilvl="0" w:tplc="7664737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60301"/>
    <w:multiLevelType w:val="hybridMultilevel"/>
    <w:tmpl w:val="22E86E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72F"/>
    <w:rsid w:val="00002D29"/>
    <w:rsid w:val="000052E8"/>
    <w:rsid w:val="0000672D"/>
    <w:rsid w:val="0002139D"/>
    <w:rsid w:val="00021C6A"/>
    <w:rsid w:val="00030C1C"/>
    <w:rsid w:val="00030D97"/>
    <w:rsid w:val="00034813"/>
    <w:rsid w:val="00037FBF"/>
    <w:rsid w:val="000B6540"/>
    <w:rsid w:val="000B7C31"/>
    <w:rsid w:val="000C0228"/>
    <w:rsid w:val="000C40E7"/>
    <w:rsid w:val="000D64E7"/>
    <w:rsid w:val="000D72E1"/>
    <w:rsid w:val="000E2A6A"/>
    <w:rsid w:val="000F2BE1"/>
    <w:rsid w:val="000F4333"/>
    <w:rsid w:val="000F575B"/>
    <w:rsid w:val="0010585C"/>
    <w:rsid w:val="0010778A"/>
    <w:rsid w:val="00121054"/>
    <w:rsid w:val="00143BD8"/>
    <w:rsid w:val="001645FC"/>
    <w:rsid w:val="001731B0"/>
    <w:rsid w:val="00194496"/>
    <w:rsid w:val="001A19F9"/>
    <w:rsid w:val="001B58F2"/>
    <w:rsid w:val="001C2590"/>
    <w:rsid w:val="001D3C8A"/>
    <w:rsid w:val="001E010D"/>
    <w:rsid w:val="001E2ADA"/>
    <w:rsid w:val="001E5622"/>
    <w:rsid w:val="001F7A44"/>
    <w:rsid w:val="001F7DB2"/>
    <w:rsid w:val="00220F20"/>
    <w:rsid w:val="002422FB"/>
    <w:rsid w:val="00252F01"/>
    <w:rsid w:val="00253823"/>
    <w:rsid w:val="00254313"/>
    <w:rsid w:val="002553E0"/>
    <w:rsid w:val="002806E6"/>
    <w:rsid w:val="00285474"/>
    <w:rsid w:val="00290683"/>
    <w:rsid w:val="002A76D6"/>
    <w:rsid w:val="002A7BC9"/>
    <w:rsid w:val="002C136C"/>
    <w:rsid w:val="002C3D05"/>
    <w:rsid w:val="002D1EB5"/>
    <w:rsid w:val="002D2D60"/>
    <w:rsid w:val="00346E49"/>
    <w:rsid w:val="00356FF0"/>
    <w:rsid w:val="00364004"/>
    <w:rsid w:val="00376611"/>
    <w:rsid w:val="00381B32"/>
    <w:rsid w:val="003A4EAB"/>
    <w:rsid w:val="003E02FF"/>
    <w:rsid w:val="003F0C41"/>
    <w:rsid w:val="003F5ED5"/>
    <w:rsid w:val="00402A5B"/>
    <w:rsid w:val="00405464"/>
    <w:rsid w:val="004119C9"/>
    <w:rsid w:val="00425DFF"/>
    <w:rsid w:val="00437D54"/>
    <w:rsid w:val="00440152"/>
    <w:rsid w:val="004561DE"/>
    <w:rsid w:val="0047557E"/>
    <w:rsid w:val="004767E8"/>
    <w:rsid w:val="00476CB0"/>
    <w:rsid w:val="00492E62"/>
    <w:rsid w:val="004A1295"/>
    <w:rsid w:val="004B0B76"/>
    <w:rsid w:val="004B1E2C"/>
    <w:rsid w:val="004B31DD"/>
    <w:rsid w:val="004B5D0A"/>
    <w:rsid w:val="004B6573"/>
    <w:rsid w:val="004C58C9"/>
    <w:rsid w:val="004D69EC"/>
    <w:rsid w:val="004F0544"/>
    <w:rsid w:val="004F7106"/>
    <w:rsid w:val="005017C8"/>
    <w:rsid w:val="00505AFD"/>
    <w:rsid w:val="00507C0B"/>
    <w:rsid w:val="00514CFF"/>
    <w:rsid w:val="0052161B"/>
    <w:rsid w:val="00524A21"/>
    <w:rsid w:val="005305EB"/>
    <w:rsid w:val="0053559B"/>
    <w:rsid w:val="00544E22"/>
    <w:rsid w:val="00560587"/>
    <w:rsid w:val="00567836"/>
    <w:rsid w:val="005735E1"/>
    <w:rsid w:val="005A5CBC"/>
    <w:rsid w:val="005C43D5"/>
    <w:rsid w:val="005C6260"/>
    <w:rsid w:val="005E3F3C"/>
    <w:rsid w:val="00600603"/>
    <w:rsid w:val="006105E7"/>
    <w:rsid w:val="00624A5A"/>
    <w:rsid w:val="006275DE"/>
    <w:rsid w:val="0063104E"/>
    <w:rsid w:val="00632099"/>
    <w:rsid w:val="00632F84"/>
    <w:rsid w:val="0063461D"/>
    <w:rsid w:val="006430B0"/>
    <w:rsid w:val="00650BAC"/>
    <w:rsid w:val="00652D15"/>
    <w:rsid w:val="00655D89"/>
    <w:rsid w:val="0067328A"/>
    <w:rsid w:val="00673475"/>
    <w:rsid w:val="006A0DD5"/>
    <w:rsid w:val="006D0869"/>
    <w:rsid w:val="006D2A51"/>
    <w:rsid w:val="006D2E80"/>
    <w:rsid w:val="006E68CF"/>
    <w:rsid w:val="0070360E"/>
    <w:rsid w:val="00707B70"/>
    <w:rsid w:val="00711D16"/>
    <w:rsid w:val="007235EC"/>
    <w:rsid w:val="00731319"/>
    <w:rsid w:val="00737722"/>
    <w:rsid w:val="00761C5E"/>
    <w:rsid w:val="00763FD1"/>
    <w:rsid w:val="007721D4"/>
    <w:rsid w:val="00775FF2"/>
    <w:rsid w:val="007F4C7E"/>
    <w:rsid w:val="0082048D"/>
    <w:rsid w:val="00822A5C"/>
    <w:rsid w:val="00837A5C"/>
    <w:rsid w:val="008410E4"/>
    <w:rsid w:val="00846370"/>
    <w:rsid w:val="008758E8"/>
    <w:rsid w:val="008849D5"/>
    <w:rsid w:val="008925E1"/>
    <w:rsid w:val="008A1ABE"/>
    <w:rsid w:val="008B06D0"/>
    <w:rsid w:val="008D383D"/>
    <w:rsid w:val="008D7B45"/>
    <w:rsid w:val="008E152D"/>
    <w:rsid w:val="008E1823"/>
    <w:rsid w:val="008E7FFC"/>
    <w:rsid w:val="008F377B"/>
    <w:rsid w:val="009100D6"/>
    <w:rsid w:val="00911A13"/>
    <w:rsid w:val="00915D88"/>
    <w:rsid w:val="009213ED"/>
    <w:rsid w:val="009246D3"/>
    <w:rsid w:val="0093691F"/>
    <w:rsid w:val="00945271"/>
    <w:rsid w:val="009841AB"/>
    <w:rsid w:val="0099070B"/>
    <w:rsid w:val="009A6344"/>
    <w:rsid w:val="009C401C"/>
    <w:rsid w:val="009C47C6"/>
    <w:rsid w:val="009D63FC"/>
    <w:rsid w:val="00A16FE8"/>
    <w:rsid w:val="00A316E8"/>
    <w:rsid w:val="00A34E0B"/>
    <w:rsid w:val="00A3510A"/>
    <w:rsid w:val="00A434EC"/>
    <w:rsid w:val="00A47A06"/>
    <w:rsid w:val="00A5572F"/>
    <w:rsid w:val="00A879FC"/>
    <w:rsid w:val="00A959DF"/>
    <w:rsid w:val="00A9658D"/>
    <w:rsid w:val="00AC6065"/>
    <w:rsid w:val="00AD21BD"/>
    <w:rsid w:val="00AD3C29"/>
    <w:rsid w:val="00AD4215"/>
    <w:rsid w:val="00AE5A1A"/>
    <w:rsid w:val="00AF106B"/>
    <w:rsid w:val="00AF1ACF"/>
    <w:rsid w:val="00B00A9D"/>
    <w:rsid w:val="00B00D34"/>
    <w:rsid w:val="00B070EC"/>
    <w:rsid w:val="00B16F4A"/>
    <w:rsid w:val="00B21CDF"/>
    <w:rsid w:val="00B250C8"/>
    <w:rsid w:val="00B36C43"/>
    <w:rsid w:val="00B424BB"/>
    <w:rsid w:val="00B4419C"/>
    <w:rsid w:val="00B50A32"/>
    <w:rsid w:val="00B6396B"/>
    <w:rsid w:val="00B662E7"/>
    <w:rsid w:val="00B7325A"/>
    <w:rsid w:val="00B926F9"/>
    <w:rsid w:val="00BB115A"/>
    <w:rsid w:val="00BB6221"/>
    <w:rsid w:val="00C0765D"/>
    <w:rsid w:val="00C15322"/>
    <w:rsid w:val="00C34CCA"/>
    <w:rsid w:val="00C40FE2"/>
    <w:rsid w:val="00C5653B"/>
    <w:rsid w:val="00C634EF"/>
    <w:rsid w:val="00C66462"/>
    <w:rsid w:val="00C72302"/>
    <w:rsid w:val="00C92206"/>
    <w:rsid w:val="00C96463"/>
    <w:rsid w:val="00C97420"/>
    <w:rsid w:val="00CA119E"/>
    <w:rsid w:val="00CA630C"/>
    <w:rsid w:val="00CB5E1A"/>
    <w:rsid w:val="00CC62BD"/>
    <w:rsid w:val="00CE507B"/>
    <w:rsid w:val="00CE6300"/>
    <w:rsid w:val="00CF16A9"/>
    <w:rsid w:val="00D043A2"/>
    <w:rsid w:val="00D13BE3"/>
    <w:rsid w:val="00D234CF"/>
    <w:rsid w:val="00D31DBC"/>
    <w:rsid w:val="00D377D3"/>
    <w:rsid w:val="00D407B8"/>
    <w:rsid w:val="00D5591B"/>
    <w:rsid w:val="00D62FC4"/>
    <w:rsid w:val="00D65A9E"/>
    <w:rsid w:val="00D762B4"/>
    <w:rsid w:val="00D77E1C"/>
    <w:rsid w:val="00D863A7"/>
    <w:rsid w:val="00D95123"/>
    <w:rsid w:val="00DB080B"/>
    <w:rsid w:val="00DB4AB4"/>
    <w:rsid w:val="00DB4DD6"/>
    <w:rsid w:val="00DB50FA"/>
    <w:rsid w:val="00DB6DA1"/>
    <w:rsid w:val="00DC014D"/>
    <w:rsid w:val="00DD6DA6"/>
    <w:rsid w:val="00DF0635"/>
    <w:rsid w:val="00DF104A"/>
    <w:rsid w:val="00E0610C"/>
    <w:rsid w:val="00E111E1"/>
    <w:rsid w:val="00E1502C"/>
    <w:rsid w:val="00E36F91"/>
    <w:rsid w:val="00E37839"/>
    <w:rsid w:val="00E37845"/>
    <w:rsid w:val="00E430AE"/>
    <w:rsid w:val="00E47B7C"/>
    <w:rsid w:val="00E515CA"/>
    <w:rsid w:val="00E57929"/>
    <w:rsid w:val="00E72DA3"/>
    <w:rsid w:val="00E91815"/>
    <w:rsid w:val="00E91D19"/>
    <w:rsid w:val="00E95773"/>
    <w:rsid w:val="00EA0990"/>
    <w:rsid w:val="00EB70D1"/>
    <w:rsid w:val="00EC3123"/>
    <w:rsid w:val="00EC3C98"/>
    <w:rsid w:val="00ED0F24"/>
    <w:rsid w:val="00EE760D"/>
    <w:rsid w:val="00EE78A9"/>
    <w:rsid w:val="00EF2515"/>
    <w:rsid w:val="00F034CB"/>
    <w:rsid w:val="00F2383D"/>
    <w:rsid w:val="00F2416E"/>
    <w:rsid w:val="00F33CB3"/>
    <w:rsid w:val="00F47554"/>
    <w:rsid w:val="00F50940"/>
    <w:rsid w:val="00F52252"/>
    <w:rsid w:val="00F80CD0"/>
    <w:rsid w:val="00F92F95"/>
    <w:rsid w:val="00FA0ACE"/>
    <w:rsid w:val="00FA6127"/>
    <w:rsid w:val="00FC3A12"/>
    <w:rsid w:val="00FD1162"/>
    <w:rsid w:val="00FD3E84"/>
    <w:rsid w:val="00F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F01"/>
  </w:style>
  <w:style w:type="paragraph" w:styleId="Nadpis2">
    <w:name w:val="heading 2"/>
    <w:basedOn w:val="Normln"/>
    <w:next w:val="Normln"/>
    <w:link w:val="Nadpis2Char"/>
    <w:qFormat/>
    <w:rsid w:val="00A5572F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Arial Unicode MS" w:hAnsi="Arial" w:cs="Times New Roman"/>
      <w:b/>
      <w:sz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557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572F"/>
    <w:rPr>
      <w:rFonts w:ascii="Arial" w:eastAsia="Arial Unicode MS" w:hAnsi="Arial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572F"/>
    <w:rPr>
      <w:rFonts w:ascii="Arial" w:eastAsia="Times New Roman" w:hAnsi="Arial" w:cs="Times New Roman"/>
      <w:b/>
      <w:sz w:val="28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5572F"/>
  </w:style>
  <w:style w:type="paragraph" w:styleId="Nzev">
    <w:name w:val="Title"/>
    <w:basedOn w:val="Normln"/>
    <w:link w:val="NzevChar"/>
    <w:qFormat/>
    <w:rsid w:val="00A5572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5572F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A557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57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A55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557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5572F"/>
  </w:style>
  <w:style w:type="paragraph" w:styleId="Textpoznpodarou">
    <w:name w:val="footnote text"/>
    <w:basedOn w:val="Normln"/>
    <w:link w:val="TextpoznpodarouChar"/>
    <w:semiHidden/>
    <w:rsid w:val="00A5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57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557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72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72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55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5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7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557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jemn">
    <w:name w:val="Subtle Emphasis"/>
    <w:uiPriority w:val="19"/>
    <w:qFormat/>
    <w:rsid w:val="00A5572F"/>
    <w:rPr>
      <w:i/>
      <w:iCs/>
      <w:color w:val="808080"/>
    </w:rPr>
  </w:style>
  <w:style w:type="character" w:styleId="Odkaznakoment">
    <w:name w:val="annotation reference"/>
    <w:uiPriority w:val="99"/>
    <w:semiHidden/>
    <w:unhideWhenUsed/>
    <w:rsid w:val="00A557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7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7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7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054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5572F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Arial Unicode MS" w:hAnsi="Arial" w:cs="Times New Roman"/>
      <w:b/>
      <w:sz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557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572F"/>
    <w:rPr>
      <w:rFonts w:ascii="Arial" w:eastAsia="Arial Unicode MS" w:hAnsi="Arial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572F"/>
    <w:rPr>
      <w:rFonts w:ascii="Arial" w:eastAsia="Times New Roman" w:hAnsi="Arial" w:cs="Times New Roman"/>
      <w:b/>
      <w:sz w:val="28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5572F"/>
  </w:style>
  <w:style w:type="paragraph" w:styleId="Nzev">
    <w:name w:val="Title"/>
    <w:basedOn w:val="Normln"/>
    <w:link w:val="NzevChar"/>
    <w:qFormat/>
    <w:rsid w:val="00A5572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5572F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A557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57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A55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557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5572F"/>
  </w:style>
  <w:style w:type="paragraph" w:styleId="Textpoznpodarou">
    <w:name w:val="footnote text"/>
    <w:basedOn w:val="Normln"/>
    <w:link w:val="TextpoznpodarouChar"/>
    <w:semiHidden/>
    <w:rsid w:val="00A5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57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557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72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72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55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5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7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557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jemn">
    <w:name w:val="Subtle Emphasis"/>
    <w:uiPriority w:val="19"/>
    <w:qFormat/>
    <w:rsid w:val="00A5572F"/>
    <w:rPr>
      <w:i/>
      <w:iCs/>
      <w:color w:val="808080"/>
    </w:rPr>
  </w:style>
  <w:style w:type="character" w:styleId="Odkaznakoment">
    <w:name w:val="annotation reference"/>
    <w:uiPriority w:val="99"/>
    <w:semiHidden/>
    <w:unhideWhenUsed/>
    <w:rsid w:val="00A557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7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7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7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054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mzsfps01\odbory\dzp\szp\Szp1\ZPP-2014\Se&#353;it1.xlsx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mzsfps01\odbory\dzp\szp\Szp1\ZPP-2014\Se&#353;it1.xlsx" TargetMode="External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mzsfps01\odbory\dzp\szp\Szp1\ZPP-2014\Se&#353;it1.xlsx" TargetMode="External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mzsfps01\odbory\dzp\szp\Szp1\ZPP-2014\Se&#353;it1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"/>
          <c:y val="0.18772289057088212"/>
          <c:w val="0.92160607583626497"/>
          <c:h val="0.80943657905849542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0.34526123064404191"/>
                  <c:y val="9.8271909205397731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28261055134065705"/>
                  <c:y val="6.3418372304208284E-2"/>
                </c:manualLayout>
              </c:layout>
              <c:showCatName val="1"/>
              <c:showPercent val="1"/>
            </c:dLbl>
            <c:numFmt formatCode="0.00%" sourceLinked="0"/>
            <c:showCatName val="1"/>
            <c:showPercent val="1"/>
            <c:showLeaderLines val="1"/>
          </c:dLbls>
          <c:cat>
            <c:strRef>
              <c:f>List1!$K$6:$K$10</c:f>
              <c:strCache>
                <c:ptCount val="5"/>
                <c:pt idx="0">
                  <c:v>Příjmy z vlastního výběru </c:v>
                </c:pt>
                <c:pt idx="1">
                  <c:v>Příjmy ze státního rozpočtu </c:v>
                </c:pt>
                <c:pt idx="2">
                  <c:v>Ostatní příjmy systému v. z. p. </c:v>
                </c:pt>
                <c:pt idx="3">
                  <c:v>Příjmy od zahraničních pojišťoven a MO</c:v>
                </c:pt>
                <c:pt idx="4">
                  <c:v>Příjmy ze zdaňované činnosti</c:v>
                </c:pt>
              </c:strCache>
            </c:strRef>
          </c:cat>
          <c:val>
            <c:numRef>
              <c:f>List1!$P$6:$P$10</c:f>
              <c:numCache>
                <c:formatCode>0.00</c:formatCode>
                <c:ptCount val="5"/>
                <c:pt idx="0">
                  <c:v>175</c:v>
                </c:pt>
                <c:pt idx="1">
                  <c:v>59.28</c:v>
                </c:pt>
                <c:pt idx="2">
                  <c:v>2.3099999999999992</c:v>
                </c:pt>
                <c:pt idx="3">
                  <c:v>0.5</c:v>
                </c:pt>
                <c:pt idx="4">
                  <c:v>8.0000000000000029E-2</c:v>
                </c:pt>
              </c:numCache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strRef>
              <c:f>List1!$K$6:$K$10</c:f>
              <c:strCache>
                <c:ptCount val="5"/>
                <c:pt idx="0">
                  <c:v>Příjmy z vlastního výběru </c:v>
                </c:pt>
                <c:pt idx="1">
                  <c:v>Příjmy ze státního rozpočtu </c:v>
                </c:pt>
                <c:pt idx="2">
                  <c:v>Ostatní příjmy systému v. z. p. </c:v>
                </c:pt>
                <c:pt idx="3">
                  <c:v>Příjmy od zahraničních pojišťoven a MO</c:v>
                </c:pt>
                <c:pt idx="4">
                  <c:v>Příjmy ze zdaňované činnosti</c:v>
                </c:pt>
              </c:strCache>
            </c:strRef>
          </c:cat>
          <c:val>
            <c:numRef>
              <c:f>List1!$M$6:$M$10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explosion val="25"/>
          <c:dLbls>
            <c:showCatName val="1"/>
            <c:showPercent val="1"/>
            <c:showLeaderLines val="1"/>
          </c:dLbls>
          <c:cat>
            <c:strRef>
              <c:f>List1!$K$6:$K$10</c:f>
              <c:strCache>
                <c:ptCount val="5"/>
                <c:pt idx="0">
                  <c:v>Příjmy z vlastního výběru </c:v>
                </c:pt>
                <c:pt idx="1">
                  <c:v>Příjmy ze státního rozpočtu </c:v>
                </c:pt>
                <c:pt idx="2">
                  <c:v>Ostatní příjmy systému v. z. p. </c:v>
                </c:pt>
                <c:pt idx="3">
                  <c:v>Příjmy od zahraničních pojišťoven a MO</c:v>
                </c:pt>
                <c:pt idx="4">
                  <c:v>Příjmy ze zdaňované činnosti</c:v>
                </c:pt>
              </c:strCache>
            </c:strRef>
          </c:cat>
          <c:val>
            <c:numRef>
              <c:f>List1!$N$6:$N$10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explosion val="25"/>
          <c:dLbls>
            <c:showCatName val="1"/>
            <c:showPercent val="1"/>
            <c:showLeaderLines val="1"/>
          </c:dLbls>
          <c:cat>
            <c:strRef>
              <c:f>List1!$K$6:$K$10</c:f>
              <c:strCache>
                <c:ptCount val="5"/>
                <c:pt idx="0">
                  <c:v>Příjmy z vlastního výběru </c:v>
                </c:pt>
                <c:pt idx="1">
                  <c:v>Příjmy ze státního rozpočtu </c:v>
                </c:pt>
                <c:pt idx="2">
                  <c:v>Ostatní příjmy systému v. z. p. </c:v>
                </c:pt>
                <c:pt idx="3">
                  <c:v>Příjmy od zahraničních pojišťoven a MO</c:v>
                </c:pt>
                <c:pt idx="4">
                  <c:v>Příjmy ze zdaňované činnosti</c:v>
                </c:pt>
              </c:strCache>
            </c:strRef>
          </c:cat>
          <c:val>
            <c:numRef>
              <c:f>List1!$O$6:$O$10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explosion val="25"/>
          <c:dLbls>
            <c:showCatName val="1"/>
            <c:showPercent val="1"/>
            <c:showLeaderLines val="1"/>
          </c:dLbls>
          <c:cat>
            <c:strRef>
              <c:f>List1!$K$6:$K$10</c:f>
              <c:strCache>
                <c:ptCount val="5"/>
                <c:pt idx="0">
                  <c:v>Příjmy z vlastního výběru </c:v>
                </c:pt>
                <c:pt idx="1">
                  <c:v>Příjmy ze státního rozpočtu </c:v>
                </c:pt>
                <c:pt idx="2">
                  <c:v>Ostatní příjmy systému v. z. p. </c:v>
                </c:pt>
                <c:pt idx="3">
                  <c:v>Příjmy od zahraničních pojišťoven a MO</c:v>
                </c:pt>
                <c:pt idx="4">
                  <c:v>Příjmy ze zdaňované činnosti</c:v>
                </c:pt>
              </c:strCache>
            </c:strRef>
          </c:cat>
          <c:val>
            <c:numRef>
              <c:f>List1!$P$6:$P$10</c:f>
              <c:numCache>
                <c:formatCode>0.00</c:formatCode>
                <c:ptCount val="5"/>
                <c:pt idx="0">
                  <c:v>175</c:v>
                </c:pt>
                <c:pt idx="1">
                  <c:v>59.28</c:v>
                </c:pt>
                <c:pt idx="2">
                  <c:v>2.3099999999999992</c:v>
                </c:pt>
                <c:pt idx="3">
                  <c:v>0.5</c:v>
                </c:pt>
                <c:pt idx="4">
                  <c:v>8.0000000000000029E-2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6764321815145045E-2"/>
          <c:y val="0.17317286288581019"/>
          <c:w val="0.83680555555555591"/>
          <c:h val="0.64767096821230674"/>
        </c:manualLayout>
      </c:layout>
      <c:pie3DChart>
        <c:varyColors val="1"/>
        <c:ser>
          <c:idx val="0"/>
          <c:order val="0"/>
          <c:explosion val="50"/>
          <c:dPt>
            <c:idx val="0"/>
            <c:explosion val="67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cs-CZ"/>
                      <a:t>Výdaje na zdravotní služby </a:t>
                    </a:r>
                    <a:r>
                      <a:rPr lang="en-US"/>
                      <a:t> 96,54%</a:t>
                    </a:r>
                  </a:p>
                </c:rich>
              </c:tx>
              <c:showLegendKey val="1"/>
              <c:showCatName val="1"/>
              <c:showSerName val="1"/>
              <c:showPercent val="1"/>
            </c:dLbl>
            <c:dLbl>
              <c:idx val="1"/>
              <c:layout>
                <c:manualLayout>
                  <c:x val="-3.8339876213777012E-2"/>
                  <c:y val="0.11089262959299268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Provozní výdaje</a:t>
                    </a:r>
                    <a:r>
                      <a:rPr lang="en-US"/>
                      <a:t> 2,96%</a:t>
                    </a:r>
                  </a:p>
                </c:rich>
              </c:tx>
              <c:showLegendKey val="1"/>
              <c:showCatName val="1"/>
              <c:showSerName val="1"/>
              <c:showPercent val="1"/>
            </c:dLbl>
            <c:dLbl>
              <c:idx val="2"/>
              <c:layout>
                <c:manualLayout>
                  <c:x val="-0.17112259405074365"/>
                  <c:y val="-3.7424905220180812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Výdaje na investice</a:t>
                    </a:r>
                    <a:r>
                      <a:rPr lang="en-US"/>
                      <a:t> 0,48%</a:t>
                    </a:r>
                  </a:p>
                </c:rich>
              </c:tx>
              <c:showLegendKey val="1"/>
              <c:showCatName val="1"/>
              <c:showSerName val="1"/>
              <c:showPercent val="1"/>
            </c:dLbl>
            <c:dLbl>
              <c:idx val="3"/>
              <c:layout>
                <c:manualLayout>
                  <c:x val="0.23936570428696419"/>
                  <c:y val="-2.680008748906388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Výdaje na zdaňovanou činnost</a:t>
                    </a:r>
                    <a:r>
                      <a:rPr lang="en-US"/>
                      <a:t> 0,02%</a:t>
                    </a:r>
                  </a:p>
                </c:rich>
              </c:tx>
              <c:showLegendKey val="1"/>
              <c:showCatName val="1"/>
              <c:showSerName val="1"/>
              <c:showPercent val="1"/>
            </c:dLbl>
            <c:numFmt formatCode="0.00%" sourceLinked="0"/>
            <c:showLegendKey val="1"/>
            <c:showCatName val="1"/>
            <c:showSerName val="1"/>
            <c:showPercent val="1"/>
            <c:showLeaderLines val="1"/>
          </c:dLbls>
          <c:val>
            <c:numRef>
              <c:f>List4!$F$16:$F$19</c:f>
              <c:numCache>
                <c:formatCode>0.00</c:formatCode>
                <c:ptCount val="4"/>
                <c:pt idx="0">
                  <c:v>231.14</c:v>
                </c:pt>
                <c:pt idx="1">
                  <c:v>7.08</c:v>
                </c:pt>
                <c:pt idx="2">
                  <c:v>1.1499999999999995</c:v>
                </c:pt>
                <c:pt idx="3">
                  <c:v>0.05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2.7777777777777801E-2"/>
                </c:manualLayout>
              </c:layout>
              <c:showVal val="1"/>
            </c:dLbl>
            <c:showVal val="1"/>
          </c:dLbls>
          <c:cat>
            <c:strRef>
              <c:f>List6!$D$3:$J$3</c:f>
              <c:strCache>
                <c:ptCount val="7"/>
                <c:pt idx="0">
                  <c:v>VZP ČR</c:v>
                </c:pt>
                <c:pt idx="1">
                  <c:v>VoZP ČR</c:v>
                </c:pt>
                <c:pt idx="2">
                  <c:v>ČPZP </c:v>
                </c:pt>
                <c:pt idx="3">
                  <c:v>OZP</c:v>
                </c:pt>
                <c:pt idx="4">
                  <c:v>ZPŠ</c:v>
                </c:pt>
                <c:pt idx="5">
                  <c:v>ZP MV ČR</c:v>
                </c:pt>
                <c:pt idx="6">
                  <c:v>RBP</c:v>
                </c:pt>
              </c:strCache>
            </c:strRef>
          </c:cat>
          <c:val>
            <c:numRef>
              <c:f>List6!$D$4:$J$4</c:f>
              <c:numCache>
                <c:formatCode>#,##0</c:formatCode>
                <c:ptCount val="7"/>
                <c:pt idx="0" formatCode="#,##0.00">
                  <c:v>0.2571998337009293</c:v>
                </c:pt>
                <c:pt idx="1">
                  <c:v>9.024615320201649</c:v>
                </c:pt>
                <c:pt idx="2">
                  <c:v>21.831194176930754</c:v>
                </c:pt>
                <c:pt idx="3">
                  <c:v>13.205029873039052</c:v>
                </c:pt>
                <c:pt idx="4">
                  <c:v>25.84531818181819</c:v>
                </c:pt>
                <c:pt idx="5">
                  <c:v>5.0160670388817481</c:v>
                </c:pt>
                <c:pt idx="6">
                  <c:v>54.319894402035594</c:v>
                </c:pt>
              </c:numCache>
            </c:numRef>
          </c:val>
        </c:ser>
        <c:dLbls>
          <c:showVal val="1"/>
        </c:dLbls>
        <c:shape val="box"/>
        <c:axId val="98744192"/>
        <c:axId val="98745728"/>
        <c:axId val="0"/>
      </c:bar3DChart>
      <c:catAx>
        <c:axId val="98744192"/>
        <c:scaling>
          <c:orientation val="minMax"/>
        </c:scaling>
        <c:axPos val="b"/>
        <c:majorTickMark val="none"/>
        <c:tickLblPos val="nextTo"/>
        <c:crossAx val="98745728"/>
        <c:crosses val="autoZero"/>
        <c:auto val="1"/>
        <c:lblAlgn val="ctr"/>
        <c:lblOffset val="100"/>
      </c:catAx>
      <c:valAx>
        <c:axId val="98745728"/>
        <c:scaling>
          <c:orientation val="minMax"/>
        </c:scaling>
        <c:delete val="1"/>
        <c:axPos val="l"/>
        <c:numFmt formatCode="#,##0.00" sourceLinked="1"/>
        <c:tickLblPos val="none"/>
        <c:crossAx val="9874419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8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Pt>
            <c:idx val="3"/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accent4">
                    <a:lumMod val="75000"/>
                  </a:schemeClr>
                </a:solidFill>
              </a:ln>
            </c:spPr>
          </c:dPt>
          <c:dPt>
            <c:idx val="4"/>
            <c:spPr>
              <a:solidFill>
                <a:schemeClr val="accent5"/>
              </a:solidFill>
            </c:spPr>
          </c:dPt>
          <c:dPt>
            <c:idx val="6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2.7777777777777809E-3"/>
                  <c:y val="-0.10648148148148154"/>
                </c:manualLayout>
              </c:layout>
              <c:showVal val="1"/>
            </c:dLbl>
            <c:dLbl>
              <c:idx val="1"/>
              <c:layout>
                <c:manualLayout>
                  <c:x val="8.7562340510283585E-3"/>
                  <c:y val="-0.18633441702842046"/>
                </c:manualLayout>
              </c:layout>
              <c:showVal val="1"/>
            </c:dLbl>
            <c:dLbl>
              <c:idx val="2"/>
              <c:layout>
                <c:manualLayout>
                  <c:x val="5.084417274594721E-3"/>
                  <c:y val="-0.44442222765113776"/>
                </c:manualLayout>
              </c:layout>
              <c:showVal val="1"/>
            </c:dLbl>
            <c:dLbl>
              <c:idx val="3"/>
              <c:layout>
                <c:manualLayout>
                  <c:x val="2.4999959131398727E-2"/>
                  <c:y val="-0.30091493933186786"/>
                </c:manualLayout>
              </c:layout>
              <c:showVal val="1"/>
            </c:dLbl>
            <c:dLbl>
              <c:idx val="4"/>
              <c:layout>
                <c:manualLayout>
                  <c:x val="1.3888888888888897E-2"/>
                  <c:y val="-0.12962962962962943"/>
                </c:manualLayout>
              </c:layout>
              <c:showVal val="1"/>
            </c:dLbl>
            <c:dLbl>
              <c:idx val="5"/>
              <c:layout>
                <c:manualLayout>
                  <c:x val="1.0640185750517362E-2"/>
                  <c:y val="-0.44876477552477789"/>
                </c:manualLayout>
              </c:layout>
              <c:showVal val="1"/>
            </c:dLbl>
            <c:dLbl>
              <c:idx val="6"/>
              <c:layout>
                <c:manualLayout>
                  <c:x val="2.7777752550246147E-2"/>
                  <c:y val="-0.3257978313569993"/>
                </c:manualLayout>
              </c:layout>
              <c:showVal val="1"/>
            </c:dLbl>
            <c:showVal val="1"/>
          </c:dLbls>
          <c:cat>
            <c:strRef>
              <c:f>List8!$E$5:$K$5</c:f>
              <c:strCache>
                <c:ptCount val="7"/>
                <c:pt idx="0">
                  <c:v>VZP ČR </c:v>
                </c:pt>
                <c:pt idx="1">
                  <c:v>VoZP ČR </c:v>
                </c:pt>
                <c:pt idx="2">
                  <c:v>ČPZP</c:v>
                </c:pt>
                <c:pt idx="3">
                  <c:v>OZP</c:v>
                </c:pt>
                <c:pt idx="4">
                  <c:v>ZPŠ</c:v>
                </c:pt>
                <c:pt idx="5">
                  <c:v>ZPMV ČR</c:v>
                </c:pt>
                <c:pt idx="6">
                  <c:v>RBP </c:v>
                </c:pt>
              </c:strCache>
            </c:strRef>
          </c:cat>
          <c:val>
            <c:numRef>
              <c:f>List8!$E$6:$K$6</c:f>
              <c:numCache>
                <c:formatCode>#,##0</c:formatCode>
                <c:ptCount val="7"/>
                <c:pt idx="0">
                  <c:v>158012</c:v>
                </c:pt>
                <c:pt idx="1">
                  <c:v>686887</c:v>
                </c:pt>
                <c:pt idx="2">
                  <c:v>2289379</c:v>
                </c:pt>
                <c:pt idx="3">
                  <c:v>1370988</c:v>
                </c:pt>
                <c:pt idx="4">
                  <c:v>426315</c:v>
                </c:pt>
                <c:pt idx="5">
                  <c:v>2432295</c:v>
                </c:pt>
                <c:pt idx="6">
                  <c:v>1564033</c:v>
                </c:pt>
              </c:numCache>
            </c:numRef>
          </c:val>
        </c:ser>
        <c:dLbls>
          <c:showVal val="1"/>
        </c:dLbls>
        <c:gapWidth val="75"/>
        <c:shape val="box"/>
        <c:axId val="100361728"/>
        <c:axId val="100363264"/>
        <c:axId val="0"/>
      </c:bar3DChart>
      <c:catAx>
        <c:axId val="100361728"/>
        <c:scaling>
          <c:orientation val="minMax"/>
        </c:scaling>
        <c:axPos val="b"/>
        <c:majorTickMark val="none"/>
        <c:tickLblPos val="nextTo"/>
        <c:crossAx val="100363264"/>
        <c:crosses val="autoZero"/>
        <c:auto val="1"/>
        <c:lblAlgn val="ctr"/>
        <c:lblOffset val="100"/>
      </c:catAx>
      <c:valAx>
        <c:axId val="100363264"/>
        <c:scaling>
          <c:orientation val="minMax"/>
        </c:scaling>
        <c:delete val="1"/>
        <c:axPos val="l"/>
        <c:numFmt formatCode="#,##0" sourceLinked="1"/>
        <c:majorTickMark val="none"/>
        <c:tickLblPos val="none"/>
        <c:crossAx val="10036172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Ref>
              <c:f>List8!$E$5:$K$5</c:f>
              <c:strCache>
                <c:ptCount val="7"/>
                <c:pt idx="0">
                  <c:v>VZP ČR </c:v>
                </c:pt>
                <c:pt idx="1">
                  <c:v>VoZP ČR </c:v>
                </c:pt>
                <c:pt idx="2">
                  <c:v>ČPZP</c:v>
                </c:pt>
                <c:pt idx="3">
                  <c:v>OZP</c:v>
                </c:pt>
                <c:pt idx="4">
                  <c:v>ZPŠ</c:v>
                </c:pt>
                <c:pt idx="5">
                  <c:v>ZPMV ČR</c:v>
                </c:pt>
                <c:pt idx="6">
                  <c:v>RBP </c:v>
                </c:pt>
              </c:strCache>
            </c:strRef>
          </c:cat>
          <c:val>
            <c:numRef>
              <c:f>List8!$E$6:$K$6</c:f>
              <c:numCache>
                <c:formatCode>#,##0</c:formatCode>
                <c:ptCount val="7"/>
                <c:pt idx="0">
                  <c:v>158012</c:v>
                </c:pt>
                <c:pt idx="1">
                  <c:v>686887</c:v>
                </c:pt>
                <c:pt idx="2">
                  <c:v>2289379</c:v>
                </c:pt>
                <c:pt idx="3">
                  <c:v>1370988</c:v>
                </c:pt>
                <c:pt idx="4">
                  <c:v>426315</c:v>
                </c:pt>
                <c:pt idx="5">
                  <c:v>2432295</c:v>
                </c:pt>
                <c:pt idx="6">
                  <c:v>1564033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3"/>
          <c:order val="0"/>
          <c:tx>
            <c:strRef>
              <c:f>List1!$B$8</c:f>
              <c:strCache>
                <c:ptCount val="1"/>
                <c:pt idx="0">
                  <c:v>Celkové náklady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List1!$C$8:$H$8</c:f>
              <c:numCache>
                <c:formatCode>#,##0</c:formatCode>
                <c:ptCount val="6"/>
                <c:pt idx="0">
                  <c:v>212019</c:v>
                </c:pt>
                <c:pt idx="1">
                  <c:v>215213</c:v>
                </c:pt>
                <c:pt idx="2">
                  <c:v>219165</c:v>
                </c:pt>
                <c:pt idx="3">
                  <c:v>223000</c:v>
                </c:pt>
                <c:pt idx="4">
                  <c:v>220893</c:v>
                </c:pt>
                <c:pt idx="5">
                  <c:v>228879</c:v>
                </c:pt>
              </c:numCache>
            </c:numRef>
          </c:val>
          <c:smooth val="1"/>
        </c:ser>
        <c:marker val="1"/>
        <c:axId val="102195200"/>
        <c:axId val="102196736"/>
      </c:lineChart>
      <c:catAx>
        <c:axId val="102195200"/>
        <c:scaling>
          <c:orientation val="minMax"/>
        </c:scaling>
        <c:axPos val="b"/>
        <c:numFmt formatCode="General" sourceLinked="1"/>
        <c:majorTickMark val="none"/>
        <c:tickLblPos val="nextTo"/>
        <c:crossAx val="102196736"/>
        <c:crosses val="autoZero"/>
        <c:auto val="1"/>
        <c:lblAlgn val="ctr"/>
        <c:lblOffset val="100"/>
      </c:catAx>
      <c:valAx>
        <c:axId val="1021967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mil. Kč</a:t>
                </a:r>
              </a:p>
            </c:rich>
          </c:tx>
        </c:title>
        <c:numFmt formatCode="#,##0" sourceLinked="1"/>
        <c:majorTickMark val="none"/>
        <c:tickLblPos val="nextTo"/>
        <c:crossAx val="1021952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List1!$B$5</c:f>
              <c:strCache>
                <c:ptCount val="1"/>
                <c:pt idx="0">
                  <c:v>Náklady na ambulantní péči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List1!$C$5:$H$5</c:f>
              <c:numCache>
                <c:formatCode>#,##0</c:formatCode>
                <c:ptCount val="6"/>
                <c:pt idx="0">
                  <c:v>54379</c:v>
                </c:pt>
                <c:pt idx="1">
                  <c:v>55511</c:v>
                </c:pt>
                <c:pt idx="2">
                  <c:v>58000</c:v>
                </c:pt>
                <c:pt idx="3">
                  <c:v>58761</c:v>
                </c:pt>
                <c:pt idx="4">
                  <c:v>59512</c:v>
                </c:pt>
                <c:pt idx="5">
                  <c:v>60401</c:v>
                </c:pt>
              </c:numCache>
            </c:numRef>
          </c:val>
        </c:ser>
        <c:ser>
          <c:idx val="1"/>
          <c:order val="1"/>
          <c:tx>
            <c:strRef>
              <c:f>List1!$B$6</c:f>
              <c:strCache>
                <c:ptCount val="1"/>
                <c:pt idx="0">
                  <c:v>Náklady na lůžkovou péči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List1!$C$6:$H$6</c:f>
              <c:numCache>
                <c:formatCode>#,##0</c:formatCode>
                <c:ptCount val="6"/>
                <c:pt idx="0">
                  <c:v>107992</c:v>
                </c:pt>
                <c:pt idx="1">
                  <c:v>111816</c:v>
                </c:pt>
                <c:pt idx="2">
                  <c:v>113051</c:v>
                </c:pt>
                <c:pt idx="3">
                  <c:v>113766</c:v>
                </c:pt>
                <c:pt idx="4" formatCode="General">
                  <c:v>111880</c:v>
                </c:pt>
                <c:pt idx="5">
                  <c:v>118939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List1!$B$7</c:f>
              <c:strCache>
                <c:ptCount val="1"/>
                <c:pt idx="0">
                  <c:v>Ostatní náklady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List1!$C$7:$H$7</c:f>
              <c:numCache>
                <c:formatCode>#,##0</c:formatCode>
                <c:ptCount val="6"/>
                <c:pt idx="0">
                  <c:v>49648</c:v>
                </c:pt>
                <c:pt idx="1">
                  <c:v>47886</c:v>
                </c:pt>
                <c:pt idx="2">
                  <c:v>48114</c:v>
                </c:pt>
                <c:pt idx="3">
                  <c:v>50473</c:v>
                </c:pt>
                <c:pt idx="4">
                  <c:v>49501</c:v>
                </c:pt>
                <c:pt idx="5">
                  <c:v>49539</c:v>
                </c:pt>
              </c:numCache>
            </c:numRef>
          </c:val>
        </c:ser>
        <c:ser>
          <c:idx val="3"/>
          <c:order val="3"/>
          <c:tx>
            <c:strRef>
              <c:f>List1!$B$8</c:f>
              <c:strCache>
                <c:ptCount val="1"/>
                <c:pt idx="0">
                  <c:v>Celkové náklady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List1!$C$8:$H$8</c:f>
              <c:numCache>
                <c:formatCode>#,##0</c:formatCode>
                <c:ptCount val="6"/>
                <c:pt idx="0">
                  <c:v>212019</c:v>
                </c:pt>
                <c:pt idx="1">
                  <c:v>215213</c:v>
                </c:pt>
                <c:pt idx="2">
                  <c:v>219165</c:v>
                </c:pt>
                <c:pt idx="3">
                  <c:v>223000</c:v>
                </c:pt>
                <c:pt idx="4">
                  <c:v>220893</c:v>
                </c:pt>
                <c:pt idx="5">
                  <c:v>228879</c:v>
                </c:pt>
              </c:numCache>
            </c:numRef>
          </c:val>
          <c:smooth val="1"/>
        </c:ser>
        <c:marker val="1"/>
        <c:axId val="102585472"/>
        <c:axId val="102587008"/>
      </c:lineChart>
      <c:catAx>
        <c:axId val="102585472"/>
        <c:scaling>
          <c:orientation val="minMax"/>
        </c:scaling>
        <c:axPos val="b"/>
        <c:numFmt formatCode="General" sourceLinked="1"/>
        <c:majorTickMark val="none"/>
        <c:tickLblPos val="nextTo"/>
        <c:crossAx val="102587008"/>
        <c:crosses val="autoZero"/>
        <c:auto val="1"/>
        <c:lblAlgn val="ctr"/>
        <c:lblOffset val="100"/>
      </c:catAx>
      <c:valAx>
        <c:axId val="1025870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mil. Kč</a:t>
                </a:r>
              </a:p>
            </c:rich>
          </c:tx>
        </c:title>
        <c:numFmt formatCode="#,##0" sourceLinked="1"/>
        <c:majorTickMark val="none"/>
        <c:tickLblPos val="nextTo"/>
        <c:crossAx val="1025854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3"/>
          <c:order val="0"/>
          <c:tx>
            <c:strRef>
              <c:f>List1!$B$19</c:f>
              <c:strCache>
                <c:ptCount val="1"/>
                <c:pt idx="0">
                  <c:v>Celkové náklady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List1!$C$19:$H$19</c:f>
              <c:numCache>
                <c:formatCode>#,##0</c:formatCode>
                <c:ptCount val="6"/>
                <c:pt idx="0">
                  <c:v>20434</c:v>
                </c:pt>
                <c:pt idx="1">
                  <c:v>20719</c:v>
                </c:pt>
                <c:pt idx="2">
                  <c:v>21022</c:v>
                </c:pt>
                <c:pt idx="3">
                  <c:v>21212</c:v>
                </c:pt>
                <c:pt idx="4">
                  <c:v>21231</c:v>
                </c:pt>
                <c:pt idx="5">
                  <c:v>22030</c:v>
                </c:pt>
              </c:numCache>
            </c:numRef>
          </c:val>
          <c:smooth val="1"/>
        </c:ser>
        <c:marker val="1"/>
        <c:axId val="102713984"/>
        <c:axId val="102723968"/>
      </c:lineChart>
      <c:catAx>
        <c:axId val="102713984"/>
        <c:scaling>
          <c:orientation val="minMax"/>
        </c:scaling>
        <c:axPos val="b"/>
        <c:numFmt formatCode="General" sourceLinked="1"/>
        <c:majorTickMark val="none"/>
        <c:tickLblPos val="nextTo"/>
        <c:crossAx val="102723968"/>
        <c:crosses val="autoZero"/>
        <c:auto val="1"/>
        <c:lblAlgn val="ctr"/>
        <c:lblOffset val="100"/>
      </c:catAx>
      <c:valAx>
        <c:axId val="1027239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Kč</a:t>
                </a:r>
              </a:p>
            </c:rich>
          </c:tx>
        </c:title>
        <c:numFmt formatCode="#,##0" sourceLinked="1"/>
        <c:majorTickMark val="none"/>
        <c:tickLblPos val="nextTo"/>
        <c:crossAx val="1027139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List1!$B$16</c:f>
              <c:strCache>
                <c:ptCount val="1"/>
                <c:pt idx="0">
                  <c:v>Náklady na ambulantní péči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List1!$C$16:$H$16</c:f>
              <c:numCache>
                <c:formatCode>#,##0</c:formatCode>
                <c:ptCount val="6"/>
                <c:pt idx="0">
                  <c:v>5241</c:v>
                </c:pt>
                <c:pt idx="1">
                  <c:v>5344</c:v>
                </c:pt>
                <c:pt idx="2">
                  <c:v>5563</c:v>
                </c:pt>
                <c:pt idx="3">
                  <c:v>5589</c:v>
                </c:pt>
                <c:pt idx="4">
                  <c:v>5720</c:v>
                </c:pt>
                <c:pt idx="5">
                  <c:v>5814</c:v>
                </c:pt>
              </c:numCache>
            </c:numRef>
          </c:val>
        </c:ser>
        <c:ser>
          <c:idx val="1"/>
          <c:order val="1"/>
          <c:tx>
            <c:strRef>
              <c:f>List1!$B$17</c:f>
              <c:strCache>
                <c:ptCount val="1"/>
                <c:pt idx="0">
                  <c:v>Náklady na lůžkovou péči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List1!$C$17:$H$17</c:f>
              <c:numCache>
                <c:formatCode>#,##0</c:formatCode>
                <c:ptCount val="6"/>
                <c:pt idx="0">
                  <c:v>10408</c:v>
                </c:pt>
                <c:pt idx="1">
                  <c:v>10765</c:v>
                </c:pt>
                <c:pt idx="2">
                  <c:v>10843</c:v>
                </c:pt>
                <c:pt idx="3">
                  <c:v>10822</c:v>
                </c:pt>
                <c:pt idx="4">
                  <c:v>10753</c:v>
                </c:pt>
                <c:pt idx="5">
                  <c:v>11448</c:v>
                </c:pt>
              </c:numCache>
            </c:numRef>
          </c:val>
        </c:ser>
        <c:ser>
          <c:idx val="2"/>
          <c:order val="2"/>
          <c:tx>
            <c:strRef>
              <c:f>List1!$B$18</c:f>
              <c:strCache>
                <c:ptCount val="1"/>
                <c:pt idx="0">
                  <c:v>Ostatní náklady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List1!$C$18:$H$18</c:f>
              <c:numCache>
                <c:formatCode>#,##0</c:formatCode>
                <c:ptCount val="6"/>
                <c:pt idx="0">
                  <c:v>4785</c:v>
                </c:pt>
                <c:pt idx="1">
                  <c:v>4610</c:v>
                </c:pt>
                <c:pt idx="2">
                  <c:v>4616</c:v>
                </c:pt>
                <c:pt idx="3">
                  <c:v>4801</c:v>
                </c:pt>
                <c:pt idx="4">
                  <c:v>4758</c:v>
                </c:pt>
                <c:pt idx="5">
                  <c:v>4768</c:v>
                </c:pt>
              </c:numCache>
            </c:numRef>
          </c:val>
        </c:ser>
        <c:ser>
          <c:idx val="3"/>
          <c:order val="3"/>
          <c:tx>
            <c:strRef>
              <c:f>List1!$B$19</c:f>
              <c:strCache>
                <c:ptCount val="1"/>
                <c:pt idx="0">
                  <c:v>Celkové náklady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6"/>
              <c:pt idx="0">
                <c:v>2009</c:v>
              </c:pt>
              <c:pt idx="1">
                <c:v>2010</c:v>
              </c:pt>
              <c:pt idx="2">
                <c:v>2011</c:v>
              </c:pt>
              <c:pt idx="3">
                <c:v>2012</c:v>
              </c:pt>
              <c:pt idx="4">
                <c:v>2013</c:v>
              </c:pt>
              <c:pt idx="5">
                <c:v>2014</c:v>
              </c:pt>
            </c:numLit>
          </c:cat>
          <c:val>
            <c:numRef>
              <c:f>List1!$C$19:$H$19</c:f>
              <c:numCache>
                <c:formatCode>#,##0</c:formatCode>
                <c:ptCount val="6"/>
                <c:pt idx="0">
                  <c:v>20434</c:v>
                </c:pt>
                <c:pt idx="1">
                  <c:v>20719</c:v>
                </c:pt>
                <c:pt idx="2">
                  <c:v>21022</c:v>
                </c:pt>
                <c:pt idx="3">
                  <c:v>21212</c:v>
                </c:pt>
                <c:pt idx="4">
                  <c:v>21231</c:v>
                </c:pt>
                <c:pt idx="5">
                  <c:v>22030</c:v>
                </c:pt>
              </c:numCache>
            </c:numRef>
          </c:val>
          <c:smooth val="1"/>
        </c:ser>
        <c:marker val="1"/>
        <c:axId val="102641664"/>
        <c:axId val="102643200"/>
      </c:lineChart>
      <c:catAx>
        <c:axId val="102641664"/>
        <c:scaling>
          <c:orientation val="minMax"/>
        </c:scaling>
        <c:axPos val="b"/>
        <c:numFmt formatCode="General" sourceLinked="1"/>
        <c:majorTickMark val="none"/>
        <c:tickLblPos val="nextTo"/>
        <c:crossAx val="102643200"/>
        <c:crosses val="autoZero"/>
        <c:auto val="1"/>
        <c:lblAlgn val="ctr"/>
        <c:lblOffset val="100"/>
      </c:catAx>
      <c:valAx>
        <c:axId val="1026432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Kč</a:t>
                </a:r>
              </a:p>
            </c:rich>
          </c:tx>
        </c:title>
        <c:numFmt formatCode="#,##0" sourceLinked="1"/>
        <c:majorTickMark val="none"/>
        <c:tickLblPos val="nextTo"/>
        <c:crossAx val="1026416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D2BF-C0D9-4FE4-84F1-EE88088F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2990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Bergerová Sybila Ing.</dc:creator>
  <cp:lastModifiedBy>Martina</cp:lastModifiedBy>
  <cp:revision>2</cp:revision>
  <cp:lastPrinted>2014-03-10T13:00:00Z</cp:lastPrinted>
  <dcterms:created xsi:type="dcterms:W3CDTF">2014-04-09T11:03:00Z</dcterms:created>
  <dcterms:modified xsi:type="dcterms:W3CDTF">2014-04-09T11:03:00Z</dcterms:modified>
</cp:coreProperties>
</file>