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Default Extension="wmf" ContentType="image/x-wmf"/>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E1" w:rsidRPr="005F1629" w:rsidRDefault="002934E1" w:rsidP="002934E1">
      <w:pPr>
        <w:jc w:val="right"/>
        <w:rPr>
          <w:rFonts w:asciiTheme="minorHAnsi" w:hAnsiTheme="minorHAnsi" w:cs="Arial"/>
          <w:b/>
          <w:sz w:val="28"/>
          <w:szCs w:val="28"/>
        </w:rPr>
      </w:pPr>
      <w:r w:rsidRPr="005F1629">
        <w:rPr>
          <w:rFonts w:asciiTheme="minorHAnsi" w:hAnsiTheme="minorHAnsi" w:cs="Arial"/>
          <w:b/>
          <w:sz w:val="28"/>
          <w:szCs w:val="28"/>
        </w:rPr>
        <w:t>I</w:t>
      </w:r>
      <w:r w:rsidR="004627AB">
        <w:rPr>
          <w:rFonts w:asciiTheme="minorHAnsi" w:hAnsiTheme="minorHAnsi" w:cs="Arial"/>
          <w:b/>
          <w:sz w:val="28"/>
          <w:szCs w:val="28"/>
        </w:rPr>
        <w:t>V</w:t>
      </w:r>
      <w:r w:rsidRPr="005F1629">
        <w:rPr>
          <w:rFonts w:asciiTheme="minorHAnsi" w:hAnsiTheme="minorHAnsi" w:cs="Arial"/>
          <w:b/>
          <w:sz w:val="28"/>
          <w:szCs w:val="28"/>
        </w:rPr>
        <w:t>.</w:t>
      </w:r>
    </w:p>
    <w:p w:rsidR="002934E1" w:rsidRPr="005F1629" w:rsidRDefault="002934E1" w:rsidP="002934E1">
      <w:pPr>
        <w:jc w:val="center"/>
        <w:rPr>
          <w:rFonts w:asciiTheme="minorHAnsi" w:hAnsiTheme="minorHAnsi" w:cs="Arial"/>
          <w:b/>
          <w:sz w:val="28"/>
          <w:szCs w:val="28"/>
        </w:rPr>
      </w:pPr>
    </w:p>
    <w:p w:rsidR="002934E1" w:rsidRPr="005F1629" w:rsidRDefault="002934E1" w:rsidP="002934E1">
      <w:pPr>
        <w:jc w:val="center"/>
        <w:rPr>
          <w:rFonts w:asciiTheme="minorHAnsi" w:hAnsiTheme="minorHAnsi" w:cs="Arial"/>
          <w:b/>
          <w:sz w:val="28"/>
          <w:szCs w:val="28"/>
        </w:rPr>
      </w:pPr>
      <w:r w:rsidRPr="005F1629">
        <w:rPr>
          <w:rFonts w:asciiTheme="minorHAnsi" w:hAnsiTheme="minorHAnsi" w:cs="Arial"/>
          <w:b/>
          <w:sz w:val="28"/>
          <w:szCs w:val="28"/>
        </w:rPr>
        <w:t xml:space="preserve">Hodnocení zdravotně pojistných plánů </w:t>
      </w:r>
    </w:p>
    <w:p w:rsidR="002934E1" w:rsidRPr="005F1629" w:rsidRDefault="002934E1" w:rsidP="002934E1">
      <w:pPr>
        <w:jc w:val="center"/>
        <w:rPr>
          <w:rFonts w:asciiTheme="minorHAnsi" w:hAnsiTheme="minorHAnsi" w:cs="Arial"/>
          <w:b/>
          <w:sz w:val="28"/>
          <w:szCs w:val="28"/>
        </w:rPr>
      </w:pPr>
      <w:r w:rsidRPr="005F1629">
        <w:rPr>
          <w:rFonts w:asciiTheme="minorHAnsi" w:hAnsiTheme="minorHAnsi" w:cs="Arial"/>
          <w:b/>
          <w:sz w:val="28"/>
          <w:szCs w:val="28"/>
        </w:rPr>
        <w:t xml:space="preserve">jednotlivých </w:t>
      </w:r>
      <w:r w:rsidR="00B8106E" w:rsidRPr="005F1629">
        <w:rPr>
          <w:rFonts w:asciiTheme="minorHAnsi" w:hAnsiTheme="minorHAnsi" w:cs="Arial"/>
          <w:b/>
          <w:sz w:val="28"/>
          <w:szCs w:val="28"/>
        </w:rPr>
        <w:t xml:space="preserve">činných </w:t>
      </w:r>
      <w:r w:rsidRPr="005F1629">
        <w:rPr>
          <w:rFonts w:asciiTheme="minorHAnsi" w:hAnsiTheme="minorHAnsi" w:cs="Arial"/>
          <w:b/>
          <w:sz w:val="28"/>
          <w:szCs w:val="28"/>
        </w:rPr>
        <w:t xml:space="preserve">zdravotních pojišťoven </w:t>
      </w:r>
    </w:p>
    <w:p w:rsidR="002934E1" w:rsidRDefault="002934E1" w:rsidP="002934E1">
      <w:pPr>
        <w:jc w:val="center"/>
        <w:rPr>
          <w:rFonts w:asciiTheme="minorHAnsi" w:hAnsiTheme="minorHAnsi" w:cs="Arial"/>
          <w:b/>
          <w:sz w:val="28"/>
          <w:szCs w:val="28"/>
        </w:rPr>
      </w:pPr>
      <w:r w:rsidRPr="005F1629">
        <w:rPr>
          <w:rFonts w:asciiTheme="minorHAnsi" w:hAnsiTheme="minorHAnsi" w:cs="Arial"/>
          <w:b/>
          <w:sz w:val="28"/>
          <w:szCs w:val="28"/>
        </w:rPr>
        <w:t>na rok 201</w:t>
      </w:r>
      <w:r w:rsidR="00381DF0" w:rsidRPr="005F1629">
        <w:rPr>
          <w:rFonts w:asciiTheme="minorHAnsi" w:hAnsiTheme="minorHAnsi" w:cs="Arial"/>
          <w:b/>
          <w:sz w:val="28"/>
          <w:szCs w:val="28"/>
        </w:rPr>
        <w:t>4</w:t>
      </w:r>
    </w:p>
    <w:p w:rsidR="000350AC" w:rsidRDefault="000350AC" w:rsidP="002934E1">
      <w:pPr>
        <w:jc w:val="center"/>
        <w:rPr>
          <w:rFonts w:asciiTheme="minorHAnsi" w:hAnsiTheme="minorHAnsi" w:cs="Arial"/>
          <w:b/>
          <w:sz w:val="28"/>
          <w:szCs w:val="28"/>
        </w:rPr>
      </w:pPr>
    </w:p>
    <w:p w:rsidR="000350AC" w:rsidRPr="0074722E" w:rsidRDefault="000350AC" w:rsidP="000350AC">
      <w:pPr>
        <w:keepNext/>
        <w:spacing w:before="240" w:after="60"/>
        <w:ind w:left="720" w:hanging="720"/>
        <w:jc w:val="center"/>
        <w:outlineLvl w:val="0"/>
        <w:rPr>
          <w:rFonts w:asciiTheme="minorHAnsi" w:hAnsiTheme="minorHAnsi" w:cs="Arial"/>
          <w:b/>
          <w:bCs/>
          <w:kern w:val="32"/>
          <w:sz w:val="28"/>
          <w:szCs w:val="28"/>
          <w:u w:val="single"/>
        </w:rPr>
      </w:pPr>
      <w:r w:rsidRPr="0074722E">
        <w:rPr>
          <w:rFonts w:asciiTheme="minorHAnsi" w:hAnsiTheme="minorHAnsi" w:cs="Arial"/>
          <w:b/>
          <w:bCs/>
          <w:kern w:val="32"/>
          <w:sz w:val="28"/>
          <w:szCs w:val="28"/>
        </w:rPr>
        <w:t>Úvod</w:t>
      </w:r>
    </w:p>
    <w:p w:rsidR="000350AC" w:rsidRPr="0074722E" w:rsidRDefault="000350AC" w:rsidP="000350AC">
      <w:pPr>
        <w:tabs>
          <w:tab w:val="left" w:pos="360"/>
        </w:tabs>
        <w:jc w:val="both"/>
        <w:rPr>
          <w:rFonts w:asciiTheme="minorHAnsi" w:hAnsiTheme="minorHAnsi" w:cs="Arial"/>
        </w:rPr>
      </w:pPr>
    </w:p>
    <w:p w:rsidR="000350AC" w:rsidRPr="0074722E" w:rsidRDefault="000350AC" w:rsidP="007C5D12">
      <w:pPr>
        <w:spacing w:after="240"/>
        <w:ind w:firstLine="426"/>
        <w:jc w:val="both"/>
        <w:rPr>
          <w:rFonts w:asciiTheme="minorHAnsi" w:hAnsiTheme="minorHAnsi" w:cs="Arial"/>
        </w:rPr>
      </w:pPr>
      <w:r w:rsidRPr="0074722E">
        <w:rPr>
          <w:rFonts w:asciiTheme="minorHAnsi" w:hAnsiTheme="minorHAnsi" w:cs="Arial"/>
        </w:rPr>
        <w:t xml:space="preserve">Předkládané návrhy zdravotně pojistných plánů na rok 2014 (ZPP 2014) jsou ze strany VZP ČR, </w:t>
      </w:r>
      <w:r w:rsidR="00061231">
        <w:rPr>
          <w:rFonts w:asciiTheme="minorHAnsi" w:hAnsiTheme="minorHAnsi" w:cs="Arial"/>
        </w:rPr>
        <w:t xml:space="preserve">VoZP ČR, ČPZP, </w:t>
      </w:r>
      <w:r w:rsidRPr="0074722E">
        <w:rPr>
          <w:rFonts w:asciiTheme="minorHAnsi" w:hAnsiTheme="minorHAnsi" w:cs="Arial"/>
        </w:rPr>
        <w:t>OZP, ZPŠ, ZPMV a RBP zpracovány v souladu s platnými právními předpisy (včetně metodiky MZ) a veřejným zájmem. Ačkoliv zdravotní pojišťovny vykazují plánované záporné saldo příjmů a výdajů celkem včetně zdaňovaných, jejich hospodaření je hodnoceno jako vyrovnané, neboť je plánují kompenzovat kladnými zůstatky svých bankovních účtů. Saldo však nedosahuje takových rozměrů, aby představovalo významné riziko pro dodržení fiskálního cíle vládního sektoru.</w:t>
      </w:r>
    </w:p>
    <w:p w:rsidR="000350AC" w:rsidRPr="0074722E" w:rsidRDefault="000350AC" w:rsidP="007C5D12">
      <w:pPr>
        <w:spacing w:after="240"/>
        <w:ind w:firstLine="426"/>
        <w:jc w:val="both"/>
        <w:rPr>
          <w:rFonts w:asciiTheme="minorHAnsi" w:hAnsiTheme="minorHAnsi" w:cs="Arial"/>
        </w:rPr>
      </w:pPr>
      <w:r w:rsidRPr="0074722E">
        <w:rPr>
          <w:rFonts w:asciiTheme="minorHAnsi" w:hAnsiTheme="minorHAnsi" w:cs="Arial"/>
        </w:rPr>
        <w:t xml:space="preserve">Při tvorbě návrhů ZPP 2014 zdravotní pojišťovny vycházely z predikovaných makroekonomických ukazatelů, regionálních specifik a vlastního výchozího stavu, především finančního. </w:t>
      </w:r>
    </w:p>
    <w:p w:rsidR="000350AC" w:rsidRPr="0074722E" w:rsidRDefault="000350AC" w:rsidP="007C5D12">
      <w:pPr>
        <w:spacing w:after="240"/>
        <w:ind w:firstLine="426"/>
        <w:jc w:val="both"/>
        <w:rPr>
          <w:rFonts w:asciiTheme="minorHAnsi" w:hAnsiTheme="minorHAnsi" w:cs="Arial"/>
        </w:rPr>
      </w:pPr>
      <w:r w:rsidRPr="0074722E">
        <w:rPr>
          <w:rFonts w:asciiTheme="minorHAnsi" w:hAnsiTheme="minorHAnsi" w:cs="Arial"/>
        </w:rPr>
        <w:t xml:space="preserve">Kromě zmíněných aspektů </w:t>
      </w:r>
      <w:r w:rsidRPr="0074722E">
        <w:rPr>
          <w:rFonts w:asciiTheme="minorHAnsi" w:hAnsiTheme="minorHAnsi" w:cs="Arial"/>
          <w:b/>
        </w:rPr>
        <w:t>příjmovou stránku</w:t>
      </w:r>
      <w:r w:rsidRPr="0074722E">
        <w:rPr>
          <w:rFonts w:asciiTheme="minorHAnsi" w:hAnsiTheme="minorHAnsi" w:cs="Arial"/>
        </w:rPr>
        <w:t xml:space="preserve"> v roce 2014 ovlivní zvýšení částky vyměřovacího základu pojistného na veřejné zdravotní pojištění u osob, za něž je plátcem pojistného stát, a to z 5 355 Kč na 5 829 Kč za kalendářní měsíc s účinností od 1. 11. 2013. Z důvodu zlepšení finanční situace a stabilizace systému veřejného zdravotního pojištění požádala VZP ČR o změnu frekvence a výši plateb státu do systému veřejného zdravotního pojištění za osoby, za něž je plátcem pojistného stát, z 2. pololetí 2014 do 1. pololetí 2014, a to platby ve  výši 4,8 mld. Kč. MF této žádosti dopisem ze dne 2. 1. 2014 vyhovělo.</w:t>
      </w:r>
    </w:p>
    <w:p w:rsidR="000350AC" w:rsidRPr="00CC3605" w:rsidRDefault="000350AC" w:rsidP="007C5D12">
      <w:pPr>
        <w:spacing w:after="240"/>
        <w:ind w:firstLine="426"/>
        <w:jc w:val="both"/>
        <w:rPr>
          <w:rFonts w:asciiTheme="minorHAnsi" w:hAnsiTheme="minorHAnsi" w:cs="Arial"/>
        </w:rPr>
      </w:pPr>
      <w:r w:rsidRPr="0074722E">
        <w:rPr>
          <w:rFonts w:asciiTheme="minorHAnsi" w:hAnsiTheme="minorHAnsi" w:cs="Arial"/>
          <w:b/>
        </w:rPr>
        <w:t>V oblasti výdajů</w:t>
      </w:r>
      <w:r w:rsidRPr="0074722E">
        <w:rPr>
          <w:rFonts w:asciiTheme="minorHAnsi" w:hAnsiTheme="minorHAnsi" w:cs="Arial"/>
        </w:rPr>
        <w:t xml:space="preserve"> na zdravotní péči byl základní požadavek na ZPP ze strany MZ především soulad s úhradovou vyhláškou roku 2014. Z tohoto důvodu MZ kontrolovalo soulad navrhovaných ZPP s modelací dopadů úhradové vyhlášky na jednotlivé zdravot</w:t>
      </w:r>
      <w:r w:rsidR="00061231">
        <w:rPr>
          <w:rFonts w:asciiTheme="minorHAnsi" w:hAnsiTheme="minorHAnsi" w:cs="Arial"/>
        </w:rPr>
        <w:t>ní pojišťovny. V současné době je již</w:t>
      </w:r>
      <w:r w:rsidRPr="0074722E">
        <w:rPr>
          <w:rFonts w:asciiTheme="minorHAnsi" w:hAnsiTheme="minorHAnsi" w:cs="Arial"/>
        </w:rPr>
        <w:t xml:space="preserve"> možné konstatovat, že </w:t>
      </w:r>
      <w:r w:rsidR="00061231">
        <w:rPr>
          <w:rFonts w:asciiTheme="minorHAnsi" w:hAnsiTheme="minorHAnsi" w:cs="Arial"/>
        </w:rPr>
        <w:t xml:space="preserve">všechny </w:t>
      </w:r>
      <w:r w:rsidRPr="0074722E">
        <w:rPr>
          <w:rFonts w:asciiTheme="minorHAnsi" w:hAnsiTheme="minorHAnsi" w:cs="Arial"/>
        </w:rPr>
        <w:t>zdravotní pojišťovny</w:t>
      </w:r>
      <w:r w:rsidR="00061231">
        <w:rPr>
          <w:rFonts w:asciiTheme="minorHAnsi" w:hAnsiTheme="minorHAnsi" w:cs="Arial"/>
        </w:rPr>
        <w:t xml:space="preserve"> tento soulad zajistily.</w:t>
      </w:r>
    </w:p>
    <w:p w:rsidR="002934E1" w:rsidRDefault="000350AC" w:rsidP="007C5D12">
      <w:pPr>
        <w:ind w:firstLine="426"/>
        <w:jc w:val="both"/>
        <w:rPr>
          <w:rFonts w:asciiTheme="minorHAnsi" w:hAnsiTheme="minorHAnsi" w:cs="Arial"/>
          <w:b/>
          <w:bCs/>
          <w:iCs/>
        </w:rPr>
      </w:pPr>
      <w:r w:rsidRPr="0074722E">
        <w:rPr>
          <w:rFonts w:asciiTheme="minorHAnsi" w:hAnsiTheme="minorHAnsi" w:cs="Arial"/>
          <w:b/>
          <w:bCs/>
          <w:iCs/>
        </w:rPr>
        <w:t>Na základě obdržených zdravotně pojistných plánů na rok 2014 je tedy možno konstatovat, že tyto plány jsou v souladu s právními předpisy, veřejným zájmem i modelacemi dopadů úhradové vyhlášky na rok 2014.</w:t>
      </w:r>
    </w:p>
    <w:p w:rsidR="00173DBB" w:rsidRDefault="00173DBB" w:rsidP="00503B50">
      <w:pPr>
        <w:jc w:val="both"/>
        <w:rPr>
          <w:rFonts w:asciiTheme="minorHAnsi" w:hAnsiTheme="minorHAnsi" w:cs="Arial"/>
          <w:b/>
          <w:bCs/>
          <w:iCs/>
        </w:rPr>
      </w:pPr>
    </w:p>
    <w:p w:rsidR="00173DBB" w:rsidRDefault="00173DBB" w:rsidP="00503B50">
      <w:pPr>
        <w:jc w:val="both"/>
        <w:rPr>
          <w:rFonts w:asciiTheme="minorHAnsi" w:hAnsiTheme="minorHAnsi" w:cs="Arial"/>
          <w:b/>
          <w:bCs/>
          <w:iCs/>
        </w:rPr>
      </w:pPr>
    </w:p>
    <w:p w:rsidR="00173DBB" w:rsidRPr="00503B50" w:rsidRDefault="00173DBB" w:rsidP="00503B50">
      <w:pPr>
        <w:jc w:val="both"/>
        <w:rPr>
          <w:rFonts w:asciiTheme="minorHAnsi" w:hAnsiTheme="minorHAnsi" w:cs="Arial"/>
          <w:b/>
          <w:bCs/>
          <w:iCs/>
        </w:rPr>
      </w:pPr>
    </w:p>
    <w:p w:rsidR="00173DBB" w:rsidRDefault="00173DBB" w:rsidP="00503B50">
      <w:pPr>
        <w:pStyle w:val="Nadpis1"/>
        <w:rPr>
          <w:rFonts w:asciiTheme="minorHAnsi" w:hAnsiTheme="minorHAnsi"/>
          <w:sz w:val="28"/>
          <w:szCs w:val="28"/>
        </w:rPr>
      </w:pPr>
    </w:p>
    <w:p w:rsidR="00CC3605" w:rsidRDefault="00CC3605" w:rsidP="00CC3605"/>
    <w:p w:rsidR="00CC3605" w:rsidRPr="00CC3605" w:rsidRDefault="00CC3605" w:rsidP="00CC3605"/>
    <w:p w:rsidR="00173DBB" w:rsidRPr="00173DBB" w:rsidRDefault="00173DBB" w:rsidP="00173DBB"/>
    <w:p w:rsidR="00517293" w:rsidRPr="005F1629" w:rsidRDefault="00517293" w:rsidP="00503B50">
      <w:pPr>
        <w:pStyle w:val="Nadpis1"/>
        <w:rPr>
          <w:rFonts w:asciiTheme="minorHAnsi" w:hAnsiTheme="minorHAnsi"/>
          <w:sz w:val="28"/>
          <w:szCs w:val="28"/>
          <w:u w:val="single"/>
        </w:rPr>
      </w:pPr>
      <w:r w:rsidRPr="005F1629">
        <w:rPr>
          <w:rFonts w:asciiTheme="minorHAnsi" w:hAnsiTheme="minorHAnsi"/>
          <w:sz w:val="28"/>
          <w:szCs w:val="28"/>
        </w:rPr>
        <w:lastRenderedPageBreak/>
        <w:t xml:space="preserve">111 - </w:t>
      </w:r>
      <w:r w:rsidRPr="005F1629">
        <w:rPr>
          <w:rFonts w:asciiTheme="minorHAnsi" w:hAnsiTheme="minorHAnsi"/>
          <w:sz w:val="28"/>
          <w:szCs w:val="28"/>
          <w:u w:val="single"/>
        </w:rPr>
        <w:t>Všeobecná zdravotní pojišťovna ČR (VZP ČR)</w:t>
      </w:r>
    </w:p>
    <w:p w:rsidR="00517293" w:rsidRPr="005F1629" w:rsidRDefault="00517293" w:rsidP="00517293">
      <w:pPr>
        <w:ind w:left="720" w:hanging="360"/>
        <w:jc w:val="both"/>
        <w:rPr>
          <w:rFonts w:asciiTheme="minorHAnsi" w:hAnsiTheme="minorHAnsi" w:cs="Arial"/>
        </w:rPr>
      </w:pPr>
    </w:p>
    <w:p w:rsidR="00420E79" w:rsidRPr="005F1629" w:rsidRDefault="00420E79" w:rsidP="004F6633">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420E79" w:rsidRPr="005F1629" w:rsidRDefault="00420E79" w:rsidP="00F12155">
      <w:pPr>
        <w:spacing w:after="240"/>
        <w:ind w:left="357" w:hanging="357"/>
        <w:jc w:val="both"/>
        <w:rPr>
          <w:rFonts w:asciiTheme="minorHAnsi" w:hAnsiTheme="minorHAnsi" w:cs="Arial"/>
          <w:b/>
          <w:sz w:val="28"/>
          <w:szCs w:val="28"/>
          <w:u w:val="single"/>
        </w:rPr>
      </w:pPr>
      <w:r w:rsidRPr="005F1629">
        <w:rPr>
          <w:rFonts w:asciiTheme="minorHAnsi" w:hAnsiTheme="minorHAnsi" w:cs="Arial"/>
          <w:i/>
          <w:sz w:val="20"/>
          <w:szCs w:val="20"/>
        </w:rPr>
        <w:t xml:space="preserve">(použité číselné údaje jsou obsaženy v příloze, v tabulkách č. 1, 1a),1b,) 1c), případně v ZPP 2014) </w:t>
      </w:r>
    </w:p>
    <w:p w:rsidR="00420E79" w:rsidRPr="00537B8A" w:rsidRDefault="00420E79" w:rsidP="007C5D12">
      <w:pPr>
        <w:spacing w:after="240"/>
        <w:ind w:firstLine="426"/>
        <w:jc w:val="both"/>
        <w:rPr>
          <w:rFonts w:asciiTheme="minorHAnsi" w:hAnsiTheme="minorHAnsi" w:cs="Arial"/>
        </w:rPr>
      </w:pPr>
      <w:r w:rsidRPr="00537B8A">
        <w:rPr>
          <w:rFonts w:asciiTheme="minorHAnsi" w:hAnsiTheme="minorHAnsi" w:cs="Arial"/>
        </w:rPr>
        <w:t xml:space="preserve">Současnou </w:t>
      </w:r>
      <w:r w:rsidRPr="00537B8A">
        <w:rPr>
          <w:rFonts w:asciiTheme="minorHAnsi" w:hAnsiTheme="minorHAnsi" w:cs="Arial"/>
          <w:b/>
        </w:rPr>
        <w:t>organizační strukturu VZP ČR</w:t>
      </w:r>
      <w:r w:rsidRPr="00537B8A">
        <w:rPr>
          <w:rFonts w:asciiTheme="minorHAnsi" w:hAnsiTheme="minorHAnsi" w:cs="Arial"/>
        </w:rPr>
        <w:t>, která je upravena organizačním řádem VZP ČR vydaným s účinností od července 2012, tvoří Ústředí a regionální pobočky včetně klientských pracovišť.  V roce 2014 bude pokračovat optimalizace stávající organizační struktury se snahou zvýšit efektivitu VZP ČR v návaznosti na  očekávané  změny zákonů ovlivňujících systém v. z. p. Snahou VZP ČR bude zlepšit  i prohloubit styk s klienty VZP ČR. Základem klientské nabídky v oblasti preventivních programů se stanou programy zaměřené na „Klub pevného zdraví“ s širokou provázaností na celou pojištěnou rodinu. Snahou VZP ČR bude především zastavit odliv pojištěnců, který se neustále prohlubuje.</w:t>
      </w:r>
    </w:p>
    <w:p w:rsidR="00420E79" w:rsidRPr="00537B8A" w:rsidRDefault="00420E79" w:rsidP="007C5D12">
      <w:pPr>
        <w:spacing w:before="240" w:after="240"/>
        <w:ind w:firstLine="426"/>
        <w:jc w:val="both"/>
        <w:rPr>
          <w:rFonts w:asciiTheme="minorHAnsi" w:hAnsiTheme="minorHAnsi" w:cs="Arial"/>
          <w:bCs/>
        </w:rPr>
      </w:pPr>
      <w:r w:rsidRPr="00537B8A">
        <w:rPr>
          <w:rFonts w:asciiTheme="minorHAnsi" w:hAnsiTheme="minorHAnsi" w:cs="Arial"/>
          <w:b/>
          <w:bCs/>
        </w:rPr>
        <w:t xml:space="preserve">Plánovaný průměrný počet 5 966 000 pojištěnců  </w:t>
      </w:r>
      <w:r w:rsidRPr="00537B8A">
        <w:rPr>
          <w:rFonts w:asciiTheme="minorHAnsi" w:hAnsiTheme="minorHAnsi" w:cs="Arial"/>
          <w:bCs/>
        </w:rPr>
        <w:t>v roce 2014 se meziročně</w:t>
      </w:r>
      <w:r w:rsidR="00B51066" w:rsidRPr="00537B8A">
        <w:rPr>
          <w:rFonts w:asciiTheme="minorHAnsi" w:hAnsiTheme="minorHAnsi" w:cs="Arial"/>
        </w:rPr>
        <w:t xml:space="preserve"> sníží o 1,9 % (tj. o 118 509)</w:t>
      </w:r>
      <w:r w:rsidRPr="00537B8A">
        <w:rPr>
          <w:rFonts w:asciiTheme="minorHAnsi" w:hAnsiTheme="minorHAnsi" w:cs="Arial"/>
        </w:rPr>
        <w:t>.</w:t>
      </w:r>
      <w:r w:rsidRPr="00537B8A">
        <w:rPr>
          <w:rFonts w:asciiTheme="minorHAnsi" w:hAnsiTheme="minorHAnsi" w:cs="Arial"/>
          <w:color w:val="FF0000"/>
        </w:rPr>
        <w:t xml:space="preserve"> </w:t>
      </w:r>
      <w:r w:rsidR="00B51066" w:rsidRPr="00537B8A">
        <w:rPr>
          <w:rFonts w:asciiTheme="minorHAnsi" w:hAnsiTheme="minorHAnsi" w:cs="Arial"/>
        </w:rPr>
        <w:t>Z</w:t>
      </w:r>
      <w:r w:rsidRPr="00537B8A">
        <w:rPr>
          <w:rFonts w:asciiTheme="minorHAnsi" w:hAnsiTheme="minorHAnsi" w:cs="Arial"/>
        </w:rPr>
        <w:t> toho plánovaný počet státem hrazených pojištěnců klesne</w:t>
      </w:r>
      <w:r w:rsidRPr="00537B8A">
        <w:rPr>
          <w:rFonts w:asciiTheme="minorHAnsi" w:hAnsiTheme="minorHAnsi" w:cs="Arial"/>
          <w:color w:val="FF0000"/>
        </w:rPr>
        <w:t xml:space="preserve"> </w:t>
      </w:r>
      <w:r w:rsidRPr="00537B8A">
        <w:rPr>
          <w:rFonts w:asciiTheme="minorHAnsi" w:hAnsiTheme="minorHAnsi" w:cs="Arial"/>
        </w:rPr>
        <w:t>o 1,6 % (tj. o 58 354) a jejich podíl bude 59,6 % pojištěnců.</w:t>
      </w:r>
      <w:r w:rsidRPr="00537B8A">
        <w:rPr>
          <w:rFonts w:asciiTheme="minorHAnsi" w:hAnsiTheme="minorHAnsi" w:cs="Arial"/>
          <w:color w:val="FF0000"/>
        </w:rPr>
        <w:t xml:space="preserve"> </w:t>
      </w:r>
      <w:r w:rsidRPr="00537B8A">
        <w:rPr>
          <w:rFonts w:asciiTheme="minorHAnsi" w:hAnsiTheme="minorHAnsi" w:cs="Arial"/>
          <w:b/>
          <w:bCs/>
        </w:rPr>
        <w:t xml:space="preserve">Plánovaný absolutní počet pojištěnců </w:t>
      </w:r>
      <w:r w:rsidRPr="00537B8A">
        <w:rPr>
          <w:rFonts w:asciiTheme="minorHAnsi" w:hAnsiTheme="minorHAnsi" w:cs="Arial"/>
          <w:bCs/>
        </w:rPr>
        <w:t>k 31. 12. 2014 je odhadován na</w:t>
      </w:r>
      <w:r w:rsidRPr="00537B8A">
        <w:rPr>
          <w:rFonts w:asciiTheme="minorHAnsi" w:hAnsiTheme="minorHAnsi" w:cs="Arial"/>
          <w:bCs/>
          <w:color w:val="FF0000"/>
        </w:rPr>
        <w:t xml:space="preserve"> </w:t>
      </w:r>
      <w:r w:rsidRPr="00537B8A">
        <w:rPr>
          <w:rFonts w:asciiTheme="minorHAnsi" w:hAnsiTheme="minorHAnsi" w:cs="Arial"/>
          <w:bCs/>
        </w:rPr>
        <w:t>5 957 000 s meziročním poklesem o 1,9 % (o 116 851). Na jednoho zaměstnance připadá v průměru 1 648 pojištěn</w:t>
      </w:r>
      <w:r w:rsidR="00537B8A">
        <w:rPr>
          <w:rFonts w:asciiTheme="minorHAnsi" w:hAnsiTheme="minorHAnsi" w:cs="Arial"/>
          <w:bCs/>
        </w:rPr>
        <w:t>ců, což je meziročně méně o 64 p</w:t>
      </w:r>
      <w:r w:rsidRPr="00537B8A">
        <w:rPr>
          <w:rFonts w:asciiTheme="minorHAnsi" w:hAnsiTheme="minorHAnsi" w:cs="Arial"/>
          <w:bCs/>
        </w:rPr>
        <w:t>ojištěnců.</w:t>
      </w:r>
    </w:p>
    <w:p w:rsidR="00420E79" w:rsidRPr="00537B8A" w:rsidRDefault="00420E79" w:rsidP="00537B8A">
      <w:pPr>
        <w:spacing w:after="240"/>
        <w:rPr>
          <w:rFonts w:asciiTheme="minorHAnsi" w:hAnsiTheme="minorHAnsi" w:cs="Arial"/>
          <w:b/>
          <w:i/>
          <w:u w:val="single"/>
        </w:rPr>
      </w:pPr>
      <w:r w:rsidRPr="00537B8A">
        <w:rPr>
          <w:rFonts w:asciiTheme="minorHAnsi" w:hAnsiTheme="minorHAnsi" w:cs="Arial"/>
          <w:b/>
          <w:i/>
          <w:u w:val="single"/>
        </w:rPr>
        <w:t>P</w:t>
      </w:r>
      <w:r w:rsidR="00503B50">
        <w:rPr>
          <w:rFonts w:asciiTheme="minorHAnsi" w:hAnsiTheme="minorHAnsi" w:cs="Arial"/>
          <w:b/>
          <w:i/>
          <w:u w:val="single"/>
        </w:rPr>
        <w:t xml:space="preserve">lánované ukazatele </w:t>
      </w:r>
      <w:r w:rsidRPr="00537B8A">
        <w:rPr>
          <w:rFonts w:asciiTheme="minorHAnsi" w:hAnsiTheme="minorHAnsi" w:cs="Arial"/>
          <w:b/>
          <w:i/>
          <w:u w:val="single"/>
        </w:rPr>
        <w:t xml:space="preserve">na rok 2014 </w:t>
      </w:r>
    </w:p>
    <w:p w:rsidR="00420E79" w:rsidRPr="00537B8A" w:rsidRDefault="00420E79" w:rsidP="00420E79">
      <w:pPr>
        <w:pStyle w:val="Odstavecseseznamem"/>
        <w:numPr>
          <w:ilvl w:val="0"/>
          <w:numId w:val="25"/>
        </w:numPr>
        <w:spacing w:after="0" w:line="240" w:lineRule="auto"/>
        <w:ind w:left="329" w:hanging="329"/>
        <w:jc w:val="both"/>
        <w:rPr>
          <w:rFonts w:asciiTheme="minorHAnsi" w:hAnsiTheme="minorHAnsi" w:cs="Arial"/>
          <w:sz w:val="24"/>
          <w:szCs w:val="24"/>
        </w:rPr>
      </w:pPr>
      <w:r w:rsidRPr="00537B8A">
        <w:rPr>
          <w:rFonts w:asciiTheme="minorHAnsi" w:hAnsiTheme="minorHAnsi" w:cs="Arial"/>
          <w:b/>
          <w:sz w:val="24"/>
          <w:szCs w:val="24"/>
        </w:rPr>
        <w:t>Příjmy celkem včetně zdaňovaných</w:t>
      </w:r>
      <w:r w:rsidRPr="00537B8A">
        <w:rPr>
          <w:rFonts w:asciiTheme="minorHAnsi" w:hAnsiTheme="minorHAnsi" w:cs="Arial"/>
          <w:sz w:val="24"/>
          <w:szCs w:val="24"/>
        </w:rPr>
        <w:t xml:space="preserve"> jsou odhadovány ve výši 148 721 275 tis. Kč s meziročním nárůstem o 3,7 %, který pokrývá nárůst výdajů celkem včetně zdaňovaných.</w:t>
      </w:r>
      <w:r w:rsidRPr="00537B8A">
        <w:rPr>
          <w:rFonts w:asciiTheme="minorHAnsi" w:hAnsiTheme="minorHAnsi" w:cs="Arial"/>
          <w:color w:val="FF0000"/>
          <w:sz w:val="24"/>
          <w:szCs w:val="24"/>
        </w:rPr>
        <w:t xml:space="preserve"> </w:t>
      </w:r>
      <w:r w:rsidRPr="00537B8A">
        <w:rPr>
          <w:rFonts w:asciiTheme="minorHAnsi" w:hAnsiTheme="minorHAnsi" w:cs="Arial"/>
          <w:b/>
          <w:sz w:val="24"/>
          <w:szCs w:val="24"/>
        </w:rPr>
        <w:t xml:space="preserve">Příjmy z pojistného po přerozdělování </w:t>
      </w:r>
      <w:r w:rsidRPr="00537B8A">
        <w:rPr>
          <w:rFonts w:asciiTheme="minorHAnsi" w:hAnsiTheme="minorHAnsi" w:cs="Arial"/>
          <w:sz w:val="24"/>
          <w:szCs w:val="24"/>
        </w:rPr>
        <w:t>jsou plánovány ve výši</w:t>
      </w:r>
      <w:r w:rsidRPr="00537B8A">
        <w:rPr>
          <w:rFonts w:asciiTheme="minorHAnsi" w:hAnsiTheme="minorHAnsi" w:cs="Arial"/>
          <w:b/>
          <w:sz w:val="24"/>
          <w:szCs w:val="24"/>
        </w:rPr>
        <w:t xml:space="preserve"> </w:t>
      </w:r>
      <w:r w:rsidRPr="00537B8A">
        <w:rPr>
          <w:rFonts w:asciiTheme="minorHAnsi" w:hAnsiTheme="minorHAnsi" w:cs="Arial"/>
          <w:sz w:val="24"/>
          <w:szCs w:val="24"/>
        </w:rPr>
        <w:t>146 620 000 tis. Kč s meziročním nárůstem o 3,6 %,</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 xml:space="preserve">v tom </w:t>
      </w:r>
      <w:r w:rsidRPr="00537B8A">
        <w:rPr>
          <w:rFonts w:asciiTheme="minorHAnsi" w:hAnsiTheme="minorHAnsi" w:cs="Arial"/>
          <w:b/>
          <w:sz w:val="24"/>
          <w:szCs w:val="24"/>
        </w:rPr>
        <w:t>příjmy z vlastního výběru pojistného</w:t>
      </w:r>
      <w:r w:rsidRPr="00537B8A">
        <w:rPr>
          <w:rFonts w:asciiTheme="minorHAnsi" w:hAnsiTheme="minorHAnsi" w:cs="Arial"/>
          <w:sz w:val="24"/>
          <w:szCs w:val="24"/>
        </w:rPr>
        <w:t xml:space="preserve"> činí 96 620 000 tis. Kč</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s meziročním nárůstem o 1,6 % a peněžní prostředky</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plynoucí VZP Č</w:t>
      </w:r>
      <w:r w:rsidR="00503B50">
        <w:rPr>
          <w:rFonts w:asciiTheme="minorHAnsi" w:hAnsiTheme="minorHAnsi" w:cs="Arial"/>
          <w:sz w:val="24"/>
          <w:szCs w:val="24"/>
        </w:rPr>
        <w:t>R z přerozdělování v systému v.z.</w:t>
      </w:r>
      <w:r w:rsidRPr="00537B8A">
        <w:rPr>
          <w:rFonts w:asciiTheme="minorHAnsi" w:hAnsiTheme="minorHAnsi" w:cs="Arial"/>
          <w:sz w:val="24"/>
          <w:szCs w:val="24"/>
        </w:rPr>
        <w:t>p. jsou odhadovány ve výši</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50 000 000</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tis. Kč s meziročním nárůstem o 7,6 %.</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Odhad této meziroční změny je ovlivněn zvýšením platby státu. Růst příjmů VZP ČR pro rok 2014 plánuje ve výši 3,5 % (bez z</w:t>
      </w:r>
      <w:r w:rsidR="00CB1EB2" w:rsidRPr="00537B8A">
        <w:rPr>
          <w:rFonts w:asciiTheme="minorHAnsi" w:hAnsiTheme="minorHAnsi" w:cs="Arial"/>
          <w:sz w:val="24"/>
          <w:szCs w:val="24"/>
        </w:rPr>
        <w:t xml:space="preserve">apočtení návratných finančních </w:t>
      </w:r>
      <w:r w:rsidRPr="00537B8A">
        <w:rPr>
          <w:rFonts w:asciiTheme="minorHAnsi" w:hAnsiTheme="minorHAnsi" w:cs="Arial"/>
          <w:sz w:val="24"/>
          <w:szCs w:val="24"/>
        </w:rPr>
        <w:t xml:space="preserve">výpomocí v roce 2013 a interních převodů). </w:t>
      </w:r>
      <w:r w:rsidRPr="00537B8A">
        <w:rPr>
          <w:rFonts w:asciiTheme="minorHAnsi" w:hAnsiTheme="minorHAnsi" w:cs="Arial"/>
          <w:b/>
          <w:sz w:val="24"/>
          <w:szCs w:val="24"/>
        </w:rPr>
        <w:t>Průměrný příjem pojistného po přerozdělování na jednoho pojištěnce činí</w:t>
      </w:r>
      <w:r w:rsidRPr="00537B8A">
        <w:rPr>
          <w:rFonts w:asciiTheme="minorHAnsi" w:hAnsiTheme="minorHAnsi" w:cs="Arial"/>
          <w:b/>
          <w:color w:val="FF0000"/>
          <w:sz w:val="24"/>
          <w:szCs w:val="24"/>
        </w:rPr>
        <w:t xml:space="preserve"> </w:t>
      </w:r>
      <w:r w:rsidRPr="00537B8A">
        <w:rPr>
          <w:rFonts w:asciiTheme="minorHAnsi" w:hAnsiTheme="minorHAnsi" w:cs="Arial"/>
          <w:sz w:val="24"/>
          <w:szCs w:val="24"/>
        </w:rPr>
        <w:t>24 576 Kč s meziročním nárůstem o 5,6 %.</w:t>
      </w:r>
    </w:p>
    <w:p w:rsidR="00420E79" w:rsidRPr="00537B8A" w:rsidRDefault="00420E79" w:rsidP="00420E79">
      <w:pPr>
        <w:numPr>
          <w:ilvl w:val="0"/>
          <w:numId w:val="25"/>
        </w:numPr>
        <w:ind w:left="329" w:hanging="329"/>
        <w:contextualSpacing/>
        <w:jc w:val="both"/>
        <w:rPr>
          <w:rFonts w:asciiTheme="minorHAnsi" w:hAnsiTheme="minorHAnsi" w:cs="Arial"/>
        </w:rPr>
      </w:pPr>
      <w:r w:rsidRPr="00537B8A">
        <w:rPr>
          <w:rFonts w:asciiTheme="minorHAnsi" w:hAnsiTheme="minorHAnsi" w:cs="Arial"/>
          <w:b/>
        </w:rPr>
        <w:t>Výdaje celkem včetně zdaňovaných</w:t>
      </w:r>
      <w:r w:rsidRPr="00537B8A">
        <w:rPr>
          <w:rFonts w:asciiTheme="minorHAnsi" w:hAnsiTheme="minorHAnsi" w:cs="Arial"/>
        </w:rPr>
        <w:t xml:space="preserve"> se plánují v částce 148 031 960 tis. Kč s  meziročním nárůstem o</w:t>
      </w:r>
      <w:r w:rsidRPr="00537B8A">
        <w:rPr>
          <w:rFonts w:asciiTheme="minorHAnsi" w:hAnsiTheme="minorHAnsi" w:cs="Arial"/>
          <w:color w:val="FF0000"/>
        </w:rPr>
        <w:t xml:space="preserve"> </w:t>
      </w:r>
      <w:r w:rsidRPr="00537B8A">
        <w:rPr>
          <w:rFonts w:asciiTheme="minorHAnsi" w:hAnsiTheme="minorHAnsi" w:cs="Arial"/>
        </w:rPr>
        <w:t>2,7 %. Z toho největší podíl</w:t>
      </w:r>
      <w:r w:rsidRPr="00537B8A">
        <w:rPr>
          <w:rFonts w:asciiTheme="minorHAnsi" w:hAnsiTheme="minorHAnsi" w:cs="Arial"/>
          <w:color w:val="FF0000"/>
        </w:rPr>
        <w:t xml:space="preserve"> </w:t>
      </w:r>
      <w:r w:rsidRPr="00537B8A">
        <w:rPr>
          <w:rFonts w:asciiTheme="minorHAnsi" w:hAnsiTheme="minorHAnsi" w:cs="Arial"/>
        </w:rPr>
        <w:t>95,8 %</w:t>
      </w:r>
      <w:r w:rsidRPr="00537B8A">
        <w:rPr>
          <w:rFonts w:asciiTheme="minorHAnsi" w:hAnsiTheme="minorHAnsi" w:cs="Arial"/>
          <w:color w:val="FF0000"/>
        </w:rPr>
        <w:t xml:space="preserve"> </w:t>
      </w:r>
      <w:r w:rsidRPr="00537B8A">
        <w:rPr>
          <w:rFonts w:asciiTheme="minorHAnsi" w:hAnsiTheme="minorHAnsi" w:cs="Arial"/>
        </w:rPr>
        <w:t>tvoří</w:t>
      </w:r>
      <w:r w:rsidRPr="00537B8A">
        <w:rPr>
          <w:rFonts w:asciiTheme="minorHAnsi" w:hAnsiTheme="minorHAnsi" w:cs="Arial"/>
          <w:b/>
        </w:rPr>
        <w:t xml:space="preserve"> výdaje na zdravotní služby hrazené</w:t>
      </w:r>
      <w:r w:rsidRPr="00537B8A">
        <w:rPr>
          <w:rFonts w:asciiTheme="minorHAnsi" w:hAnsiTheme="minorHAnsi" w:cs="Arial"/>
        </w:rPr>
        <w:t xml:space="preserve"> </w:t>
      </w:r>
      <w:r w:rsidRPr="00537B8A">
        <w:rPr>
          <w:rFonts w:asciiTheme="minorHAnsi" w:hAnsiTheme="minorHAnsi" w:cs="Arial"/>
          <w:b/>
        </w:rPr>
        <w:t>ze ZFZP</w:t>
      </w:r>
      <w:r w:rsidRPr="00537B8A">
        <w:rPr>
          <w:rFonts w:asciiTheme="minorHAnsi" w:hAnsiTheme="minorHAnsi" w:cs="Arial"/>
        </w:rPr>
        <w:t xml:space="preserve"> ve výši 141 913 000 tis. Kč s  meziročním nárůstem o 2 %,</w:t>
      </w:r>
      <w:r w:rsidRPr="00537B8A">
        <w:rPr>
          <w:rFonts w:asciiTheme="minorHAnsi" w:hAnsiTheme="minorHAnsi" w:cs="Arial"/>
          <w:color w:val="FF0000"/>
        </w:rPr>
        <w:t xml:space="preserve"> </w:t>
      </w:r>
      <w:r w:rsidRPr="00537B8A">
        <w:rPr>
          <w:rFonts w:asciiTheme="minorHAnsi" w:hAnsiTheme="minorHAnsi" w:cs="Arial"/>
        </w:rPr>
        <w:t xml:space="preserve">kterým se naplňují záměry smluvní politiky VZP ČR pro rok 2014. Výdajovou stránku ovlivní i </w:t>
      </w:r>
      <w:r w:rsidRPr="00537B8A">
        <w:rPr>
          <w:rFonts w:asciiTheme="minorHAnsi" w:hAnsiTheme="minorHAnsi" w:cs="Arial"/>
          <w:bCs/>
          <w:iCs/>
        </w:rPr>
        <w:t xml:space="preserve">doznívající vyúčtování zdravotních služeb podle vyhlášky platné v roce 2013 </w:t>
      </w:r>
      <w:r w:rsidRPr="00537B8A">
        <w:rPr>
          <w:rFonts w:asciiTheme="minorHAnsi" w:hAnsiTheme="minorHAnsi" w:cs="Arial"/>
        </w:rPr>
        <w:t>(</w:t>
      </w:r>
      <w:r w:rsidRPr="00537B8A">
        <w:rPr>
          <w:rFonts w:asciiTheme="minorHAnsi" w:hAnsiTheme="minorHAnsi" w:cs="Arial"/>
          <w:b/>
        </w:rPr>
        <w:t>Výdaje na zdravotní služby na 1 pojištěnce ze ZFZP</w:t>
      </w:r>
      <w:r w:rsidRPr="00537B8A">
        <w:rPr>
          <w:rFonts w:asciiTheme="minorHAnsi" w:hAnsiTheme="minorHAnsi" w:cs="Arial"/>
        </w:rPr>
        <w:t xml:space="preserve"> činí 23</w:t>
      </w:r>
      <w:r w:rsidR="00CB1EB2" w:rsidRPr="00537B8A">
        <w:rPr>
          <w:rFonts w:asciiTheme="minorHAnsi" w:hAnsiTheme="minorHAnsi" w:cs="Arial"/>
        </w:rPr>
        <w:t xml:space="preserve"> 787 Kč s meziročním nárůstem o </w:t>
      </w:r>
      <w:r w:rsidRPr="00537B8A">
        <w:rPr>
          <w:rFonts w:asciiTheme="minorHAnsi" w:hAnsiTheme="minorHAnsi" w:cs="Arial"/>
        </w:rPr>
        <w:t>4,1%).</w:t>
      </w:r>
      <w:r w:rsidR="00CB1EB2" w:rsidRPr="00537B8A">
        <w:rPr>
          <w:rFonts w:asciiTheme="minorHAnsi" w:hAnsiTheme="minorHAnsi" w:cs="Arial"/>
        </w:rPr>
        <w:t xml:space="preserve"> </w:t>
      </w:r>
      <w:r w:rsidRPr="00537B8A">
        <w:rPr>
          <w:rFonts w:asciiTheme="minorHAnsi" w:hAnsiTheme="minorHAnsi" w:cs="Arial"/>
          <w:b/>
        </w:rPr>
        <w:t xml:space="preserve">Výdaje na zdravotní služby hrazené z Fprev </w:t>
      </w:r>
      <w:r w:rsidRPr="00537B8A">
        <w:rPr>
          <w:rFonts w:asciiTheme="minorHAnsi" w:hAnsiTheme="minorHAnsi" w:cs="Arial"/>
        </w:rPr>
        <w:t>ve výši 520 000 tis. Kč vykazují  meziroční</w:t>
      </w:r>
      <w:r w:rsidRPr="00537B8A">
        <w:rPr>
          <w:rFonts w:asciiTheme="minorHAnsi" w:hAnsiTheme="minorHAnsi" w:cs="Arial"/>
          <w:color w:val="FF0000"/>
        </w:rPr>
        <w:t xml:space="preserve"> </w:t>
      </w:r>
      <w:r w:rsidRPr="00537B8A">
        <w:rPr>
          <w:rFonts w:asciiTheme="minorHAnsi" w:hAnsiTheme="minorHAnsi" w:cs="Arial"/>
        </w:rPr>
        <w:t xml:space="preserve">pokles o </w:t>
      </w:r>
      <w:r w:rsidR="00CB1EB2" w:rsidRPr="00537B8A">
        <w:rPr>
          <w:rFonts w:asciiTheme="minorHAnsi" w:hAnsiTheme="minorHAnsi" w:cs="Arial"/>
        </w:rPr>
        <w:t>16,8 </w:t>
      </w:r>
      <w:r w:rsidRPr="00537B8A">
        <w:rPr>
          <w:rFonts w:asciiTheme="minorHAnsi" w:hAnsiTheme="minorHAnsi" w:cs="Arial"/>
        </w:rPr>
        <w:t>%.</w:t>
      </w:r>
    </w:p>
    <w:p w:rsidR="00420E79" w:rsidRPr="00537B8A" w:rsidRDefault="00420E79" w:rsidP="00420E79">
      <w:pPr>
        <w:ind w:left="330"/>
        <w:contextualSpacing/>
        <w:jc w:val="both"/>
        <w:rPr>
          <w:rFonts w:asciiTheme="minorHAnsi" w:hAnsiTheme="minorHAnsi" w:cs="Arial"/>
        </w:rPr>
      </w:pPr>
      <w:r w:rsidRPr="00537B8A">
        <w:rPr>
          <w:rFonts w:asciiTheme="minorHAnsi" w:hAnsiTheme="minorHAnsi" w:cs="Arial"/>
          <w:b/>
        </w:rPr>
        <w:t>Výdaje  PF</w:t>
      </w:r>
      <w:r w:rsidRPr="00537B8A">
        <w:rPr>
          <w:rFonts w:asciiTheme="minorHAnsi" w:hAnsiTheme="minorHAnsi" w:cs="Arial"/>
        </w:rPr>
        <w:t xml:space="preserve"> se plánují ve výši</w:t>
      </w:r>
      <w:r w:rsidRPr="00537B8A">
        <w:rPr>
          <w:rFonts w:asciiTheme="minorHAnsi" w:hAnsiTheme="minorHAnsi" w:cs="Arial"/>
          <w:color w:val="FF0000"/>
        </w:rPr>
        <w:t xml:space="preserve"> </w:t>
      </w:r>
      <w:r w:rsidRPr="00537B8A">
        <w:rPr>
          <w:rFonts w:asciiTheme="minorHAnsi" w:hAnsiTheme="minorHAnsi" w:cs="Arial"/>
        </w:rPr>
        <w:t>5 397 120 tis. Kč s meziročním zvýšením o 9,1 %.</w:t>
      </w:r>
      <w:r w:rsidRPr="00537B8A">
        <w:rPr>
          <w:rFonts w:asciiTheme="minorHAnsi" w:hAnsiTheme="minorHAnsi" w:cs="Arial"/>
          <w:color w:val="FF0000"/>
        </w:rPr>
        <w:t xml:space="preserve"> </w:t>
      </w:r>
      <w:r w:rsidRPr="00537B8A">
        <w:rPr>
          <w:rFonts w:asciiTheme="minorHAnsi" w:hAnsiTheme="minorHAnsi" w:cs="Arial"/>
        </w:rPr>
        <w:t>Z toho výdaje na běžné provozní činnosti 4 129 301</w:t>
      </w:r>
      <w:r w:rsidRPr="00537B8A">
        <w:rPr>
          <w:rFonts w:asciiTheme="minorHAnsi" w:hAnsiTheme="minorHAnsi" w:cs="Arial"/>
          <w:color w:val="FF0000"/>
        </w:rPr>
        <w:t xml:space="preserve"> </w:t>
      </w:r>
      <w:r w:rsidRPr="00537B8A">
        <w:rPr>
          <w:rFonts w:asciiTheme="minorHAnsi" w:hAnsiTheme="minorHAnsi" w:cs="Arial"/>
        </w:rPr>
        <w:t>tis. Kč</w:t>
      </w:r>
      <w:r w:rsidRPr="00537B8A">
        <w:rPr>
          <w:rFonts w:asciiTheme="minorHAnsi" w:hAnsiTheme="minorHAnsi" w:cs="Arial"/>
          <w:color w:val="FF0000"/>
        </w:rPr>
        <w:t xml:space="preserve"> </w:t>
      </w:r>
      <w:r w:rsidRPr="00537B8A">
        <w:rPr>
          <w:rFonts w:asciiTheme="minorHAnsi" w:hAnsiTheme="minorHAnsi" w:cs="Arial"/>
        </w:rPr>
        <w:t>rostou o</w:t>
      </w:r>
      <w:r w:rsidRPr="00537B8A">
        <w:rPr>
          <w:rFonts w:asciiTheme="minorHAnsi" w:hAnsiTheme="minorHAnsi" w:cs="Arial"/>
          <w:color w:val="FF0000"/>
        </w:rPr>
        <w:t xml:space="preserve"> </w:t>
      </w:r>
      <w:r w:rsidRPr="00537B8A">
        <w:rPr>
          <w:rFonts w:asciiTheme="minorHAnsi" w:hAnsiTheme="minorHAnsi" w:cs="Arial"/>
        </w:rPr>
        <w:t>6,1 %.</w:t>
      </w:r>
      <w:r w:rsidRPr="00537B8A">
        <w:rPr>
          <w:rFonts w:asciiTheme="minorHAnsi" w:hAnsiTheme="minorHAnsi" w:cs="Arial"/>
          <w:color w:val="FF0000"/>
        </w:rPr>
        <w:t xml:space="preserve"> </w:t>
      </w:r>
      <w:r w:rsidRPr="00537B8A">
        <w:rPr>
          <w:rFonts w:asciiTheme="minorHAnsi" w:hAnsiTheme="minorHAnsi" w:cs="Arial"/>
        </w:rPr>
        <w:t>Nárůst celkových výdajů PF je způsoben</w:t>
      </w:r>
      <w:r w:rsidRPr="00537B8A">
        <w:rPr>
          <w:rFonts w:asciiTheme="minorHAnsi" w:hAnsiTheme="minorHAnsi" w:cs="Arial"/>
          <w:color w:val="FF0000"/>
        </w:rPr>
        <w:t xml:space="preserve"> </w:t>
      </w:r>
      <w:r w:rsidRPr="00537B8A">
        <w:rPr>
          <w:rFonts w:asciiTheme="minorHAnsi" w:hAnsiTheme="minorHAnsi" w:cs="Arial"/>
        </w:rPr>
        <w:t xml:space="preserve">zvýšením ostatních výdajů, jejichž součástí je podíl nákladů na zdravotní knížky (o 100 000 tis. Kč), úhrad pokut a penále </w:t>
      </w:r>
      <w:r w:rsidR="00B8004F" w:rsidRPr="00537B8A">
        <w:rPr>
          <w:rFonts w:asciiTheme="minorHAnsi" w:hAnsiTheme="minorHAnsi" w:cs="Arial"/>
        </w:rPr>
        <w:t>(o </w:t>
      </w:r>
      <w:r w:rsidRPr="00537B8A">
        <w:rPr>
          <w:rFonts w:asciiTheme="minorHAnsi" w:hAnsiTheme="minorHAnsi" w:cs="Arial"/>
        </w:rPr>
        <w:t>90 000 tis. Kč), objemu mezd (o 34 756 tis. Kč) a přídělu do FRM (o 27 132 tis. Kč a o dalších 184 497 tis. Kč ve výši odpisů). Nárůst odpisů je způsoben zůstatkovými cenami prodaného majetku dle plánu prodeje budov. Příděl ze ZFZP do PF</w:t>
      </w:r>
      <w:r w:rsidRPr="00537B8A">
        <w:rPr>
          <w:rFonts w:asciiTheme="minorHAnsi" w:hAnsiTheme="minorHAnsi" w:cs="Arial"/>
          <w:b/>
        </w:rPr>
        <w:t xml:space="preserve"> </w:t>
      </w:r>
      <w:r w:rsidRPr="00537B8A">
        <w:rPr>
          <w:rFonts w:asciiTheme="minorHAnsi" w:hAnsiTheme="minorHAnsi" w:cs="Arial"/>
        </w:rPr>
        <w:t>je plánován</w:t>
      </w:r>
      <w:r w:rsidRPr="00537B8A">
        <w:rPr>
          <w:rFonts w:asciiTheme="minorHAnsi" w:hAnsiTheme="minorHAnsi" w:cs="Arial"/>
          <w:b/>
        </w:rPr>
        <w:t xml:space="preserve"> </w:t>
      </w:r>
      <w:r w:rsidRPr="00537B8A">
        <w:rPr>
          <w:rFonts w:asciiTheme="minorHAnsi" w:hAnsiTheme="minorHAnsi" w:cs="Arial"/>
        </w:rPr>
        <w:t>ve výši plného využití</w:t>
      </w:r>
      <w:r w:rsidRPr="00537B8A">
        <w:rPr>
          <w:rFonts w:asciiTheme="minorHAnsi" w:hAnsiTheme="minorHAnsi" w:cs="Arial"/>
          <w:b/>
        </w:rPr>
        <w:t xml:space="preserve"> maximálního </w:t>
      </w:r>
      <w:r w:rsidRPr="00537B8A">
        <w:rPr>
          <w:rFonts w:asciiTheme="minorHAnsi" w:hAnsiTheme="minorHAnsi" w:cs="Arial"/>
          <w:b/>
        </w:rPr>
        <w:lastRenderedPageBreak/>
        <w:t>limitu nákladů na činnost zdravotní pojišťovny</w:t>
      </w:r>
      <w:r w:rsidRPr="00537B8A">
        <w:rPr>
          <w:rFonts w:asciiTheme="minorHAnsi" w:hAnsiTheme="minorHAnsi" w:cs="Arial"/>
          <w:b/>
          <w:color w:val="FF0000"/>
        </w:rPr>
        <w:t xml:space="preserve"> </w:t>
      </w:r>
      <w:r w:rsidRPr="00537B8A">
        <w:rPr>
          <w:rFonts w:asciiTheme="minorHAnsi" w:hAnsiTheme="minorHAnsi" w:cs="Arial"/>
          <w:b/>
        </w:rPr>
        <w:t>3,24 %.</w:t>
      </w:r>
      <w:r w:rsidRPr="00537B8A">
        <w:rPr>
          <w:rFonts w:asciiTheme="minorHAnsi" w:hAnsiTheme="minorHAnsi" w:cs="Arial"/>
        </w:rPr>
        <w:t xml:space="preserve"> Plán skutečného přídělu ze ZFZP tak činí</w:t>
      </w:r>
      <w:r w:rsidRPr="00537B8A">
        <w:rPr>
          <w:rFonts w:asciiTheme="minorHAnsi" w:hAnsiTheme="minorHAnsi" w:cs="Arial"/>
          <w:color w:val="FF0000"/>
        </w:rPr>
        <w:t xml:space="preserve"> </w:t>
      </w:r>
      <w:r w:rsidRPr="00537B8A">
        <w:rPr>
          <w:rFonts w:asciiTheme="minorHAnsi" w:hAnsiTheme="minorHAnsi" w:cs="Arial"/>
        </w:rPr>
        <w:t>4 783 860 tis. Kč s meziročním zvýšením o</w:t>
      </w:r>
      <w:r w:rsidRPr="00537B8A">
        <w:rPr>
          <w:rFonts w:asciiTheme="minorHAnsi" w:hAnsiTheme="minorHAnsi" w:cs="Arial"/>
          <w:color w:val="FF0000"/>
        </w:rPr>
        <w:t xml:space="preserve"> </w:t>
      </w:r>
      <w:r w:rsidRPr="00537B8A">
        <w:rPr>
          <w:rFonts w:asciiTheme="minorHAnsi" w:hAnsiTheme="minorHAnsi" w:cs="Arial"/>
        </w:rPr>
        <w:t>3,5 %.</w:t>
      </w:r>
      <w:r w:rsidRPr="00537B8A">
        <w:rPr>
          <w:rFonts w:asciiTheme="minorHAnsi" w:hAnsiTheme="minorHAnsi" w:cs="Arial"/>
          <w:color w:val="FF0000"/>
        </w:rPr>
        <w:t xml:space="preserve"> </w:t>
      </w:r>
      <w:r w:rsidRPr="00537B8A">
        <w:rPr>
          <w:rFonts w:asciiTheme="minorHAnsi" w:hAnsiTheme="minorHAnsi" w:cs="Arial"/>
        </w:rPr>
        <w:t xml:space="preserve">Limit převodu z PF do SF je dodržen. </w:t>
      </w:r>
    </w:p>
    <w:p w:rsidR="00420E79" w:rsidRPr="00537B8A" w:rsidRDefault="00420E79" w:rsidP="00420E79">
      <w:pPr>
        <w:numPr>
          <w:ilvl w:val="0"/>
          <w:numId w:val="25"/>
        </w:numPr>
        <w:ind w:left="330" w:hanging="330"/>
        <w:contextualSpacing/>
        <w:jc w:val="both"/>
        <w:rPr>
          <w:rFonts w:asciiTheme="minorHAnsi" w:hAnsiTheme="minorHAnsi" w:cs="Arial"/>
        </w:rPr>
      </w:pPr>
      <w:r w:rsidRPr="00537B8A">
        <w:rPr>
          <w:rFonts w:asciiTheme="minorHAnsi" w:hAnsiTheme="minorHAnsi" w:cs="Arial"/>
          <w:b/>
        </w:rPr>
        <w:t xml:space="preserve">Saldo plánovaných příjmů a výdajů celkem včetně zdaňovaných </w:t>
      </w:r>
      <w:r w:rsidRPr="00537B8A">
        <w:rPr>
          <w:rFonts w:asciiTheme="minorHAnsi" w:hAnsiTheme="minorHAnsi" w:cs="Arial"/>
        </w:rPr>
        <w:t>ve výši</w:t>
      </w:r>
      <w:r w:rsidRPr="00537B8A">
        <w:rPr>
          <w:rFonts w:asciiTheme="minorHAnsi" w:hAnsiTheme="minorHAnsi" w:cs="Arial"/>
          <w:color w:val="FF0000"/>
        </w:rPr>
        <w:t xml:space="preserve"> </w:t>
      </w:r>
      <w:r w:rsidR="00B8004F" w:rsidRPr="00537B8A">
        <w:rPr>
          <w:rFonts w:asciiTheme="minorHAnsi" w:hAnsiTheme="minorHAnsi" w:cs="Arial"/>
        </w:rPr>
        <w:t>689 </w:t>
      </w:r>
      <w:r w:rsidRPr="00537B8A">
        <w:rPr>
          <w:rFonts w:asciiTheme="minorHAnsi" w:hAnsiTheme="minorHAnsi" w:cs="Arial"/>
        </w:rPr>
        <w:t xml:space="preserve">315 tis. Kč nezahrnuje splacení návratné finanční výpomoci ve výši 700 000 tis. Kč v roce 2014 (po zahrnutí by saldo činilo zápornou výši – 10 685 tis. Kč). </w:t>
      </w:r>
      <w:r w:rsidRPr="00537B8A">
        <w:rPr>
          <w:rFonts w:asciiTheme="minorHAnsi" w:hAnsiTheme="minorHAnsi" w:cs="Arial"/>
          <w:b/>
        </w:rPr>
        <w:t>Saldo plánovaných příjmů z pojistného po přerozdělování a výdajů ZFZP na zdravotní služby</w:t>
      </w:r>
      <w:r w:rsidRPr="00537B8A">
        <w:rPr>
          <w:rFonts w:asciiTheme="minorHAnsi" w:hAnsiTheme="minorHAnsi" w:cs="Arial"/>
        </w:rPr>
        <w:t xml:space="preserve"> vykazuje</w:t>
      </w:r>
      <w:r w:rsidRPr="00537B8A">
        <w:rPr>
          <w:rFonts w:asciiTheme="minorHAnsi" w:hAnsiTheme="minorHAnsi" w:cs="Arial"/>
          <w:color w:val="FF0000"/>
        </w:rPr>
        <w:t xml:space="preserve"> </w:t>
      </w:r>
      <w:r w:rsidRPr="00537B8A">
        <w:rPr>
          <w:rFonts w:asciiTheme="minorHAnsi" w:hAnsiTheme="minorHAnsi" w:cs="Arial"/>
        </w:rPr>
        <w:t>hodnotu 4 707 000 tis. Kč, v přepočtu na 1 pojištěnce 789 Kč, která se meziročně zvyšuje o 384 Kč (tj. o 94,8 %). Meziroční vývoj je pozitivně ovlivněn navýšením platby státu za státní pojištěnce a návratnými finančními výpomocemi, negativně pak klesajícím počtem pojištěnců.</w:t>
      </w:r>
    </w:p>
    <w:p w:rsidR="00420E79" w:rsidRPr="00537B8A" w:rsidRDefault="00420E79" w:rsidP="00420E79">
      <w:pPr>
        <w:pStyle w:val="Odstavecseseznamem"/>
        <w:numPr>
          <w:ilvl w:val="0"/>
          <w:numId w:val="25"/>
        </w:numPr>
        <w:suppressAutoHyphens/>
        <w:spacing w:after="0" w:line="240" w:lineRule="auto"/>
        <w:ind w:left="329"/>
        <w:contextualSpacing w:val="0"/>
        <w:jc w:val="both"/>
        <w:rPr>
          <w:rFonts w:asciiTheme="minorHAnsi" w:hAnsiTheme="minorHAnsi" w:cs="Arial"/>
          <w:sz w:val="24"/>
          <w:szCs w:val="24"/>
          <w:lang w:eastAsia="cs-CZ"/>
        </w:rPr>
      </w:pPr>
      <w:r w:rsidRPr="00537B8A">
        <w:rPr>
          <w:rFonts w:asciiTheme="minorHAnsi" w:hAnsiTheme="minorHAnsi" w:cs="Arial"/>
          <w:b/>
          <w:sz w:val="24"/>
          <w:szCs w:val="24"/>
        </w:rPr>
        <w:t>Stav pohledávek celkem</w:t>
      </w:r>
      <w:r w:rsidRPr="00537B8A">
        <w:rPr>
          <w:rFonts w:asciiTheme="minorHAnsi" w:hAnsiTheme="minorHAnsi" w:cs="Arial"/>
          <w:sz w:val="24"/>
          <w:szCs w:val="24"/>
        </w:rPr>
        <w:t xml:space="preserve"> k  31. 12. 2014 je odhadován ve výši 23 125 000 tis. Kč s meziročním poklesem o 0,3 %.</w:t>
      </w:r>
      <w:r w:rsidRPr="00537B8A">
        <w:rPr>
          <w:rFonts w:asciiTheme="minorHAnsi" w:hAnsiTheme="minorHAnsi" w:cs="Arial"/>
          <w:color w:val="FF0000"/>
          <w:sz w:val="24"/>
          <w:szCs w:val="24"/>
        </w:rPr>
        <w:t xml:space="preserve"> </w:t>
      </w:r>
      <w:r w:rsidRPr="00537B8A">
        <w:rPr>
          <w:rFonts w:asciiTheme="minorHAnsi" w:hAnsiTheme="minorHAnsi" w:cs="Arial"/>
          <w:b/>
          <w:sz w:val="24"/>
          <w:szCs w:val="24"/>
        </w:rPr>
        <w:t>Z toho pohledávky po lhůtě splatnosti za plátci pojistného</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(tj. pohledávky z dlužného pojistného, vyměřeného penále a pokut)</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VZP ČR</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hodlá snížit o 1,8 % na 10 910 000 tis. Kč.</w:t>
      </w:r>
      <w:r w:rsidRPr="00537B8A">
        <w:rPr>
          <w:rFonts w:asciiTheme="minorHAnsi" w:hAnsiTheme="minorHAnsi" w:cs="Arial"/>
          <w:color w:val="FF0000"/>
          <w:sz w:val="24"/>
          <w:szCs w:val="24"/>
        </w:rPr>
        <w:t xml:space="preserve"> </w:t>
      </w:r>
      <w:r w:rsidRPr="00537B8A">
        <w:rPr>
          <w:rFonts w:asciiTheme="minorHAnsi" w:hAnsiTheme="minorHAnsi" w:cs="Arial"/>
          <w:b/>
          <w:sz w:val="24"/>
          <w:szCs w:val="24"/>
        </w:rPr>
        <w:t>Dohadné položky aktivní</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 xml:space="preserve">k 31. 12. 2014 ve výši 311 621 tis. Kč meziročně klesnou o 12,1 %. </w:t>
      </w:r>
      <w:r w:rsidRPr="00537B8A">
        <w:rPr>
          <w:rFonts w:asciiTheme="minorHAnsi" w:hAnsiTheme="minorHAnsi" w:cs="Arial"/>
          <w:b/>
          <w:sz w:val="24"/>
          <w:szCs w:val="24"/>
        </w:rPr>
        <w:t>Stav opravných položek</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k pohledávkám dosáhne částky 22 541 887 tis. Kč s meziročním nárůstem o</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 xml:space="preserve">6,6 %. </w:t>
      </w:r>
      <w:r w:rsidRPr="00537B8A">
        <w:rPr>
          <w:rFonts w:asciiTheme="minorHAnsi" w:hAnsiTheme="minorHAnsi" w:cs="Arial"/>
          <w:sz w:val="24"/>
          <w:szCs w:val="24"/>
          <w:lang w:eastAsia="cs-CZ"/>
        </w:rPr>
        <w:t>Odpis pohledáv</w:t>
      </w:r>
      <w:r w:rsidRPr="00537B8A">
        <w:rPr>
          <w:rFonts w:asciiTheme="minorHAnsi" w:hAnsiTheme="minorHAnsi" w:cs="Arial"/>
          <w:sz w:val="24"/>
          <w:szCs w:val="24"/>
        </w:rPr>
        <w:t>e</w:t>
      </w:r>
      <w:r w:rsidRPr="00537B8A">
        <w:rPr>
          <w:rFonts w:asciiTheme="minorHAnsi" w:hAnsiTheme="minorHAnsi" w:cs="Arial"/>
          <w:sz w:val="24"/>
          <w:szCs w:val="24"/>
          <w:lang w:eastAsia="cs-CZ"/>
        </w:rPr>
        <w:t>k ze ZFZP je plánován ve výši 2 500 000 tis. Kč.</w:t>
      </w:r>
    </w:p>
    <w:p w:rsidR="00420E79" w:rsidRPr="00537B8A" w:rsidRDefault="00420E79" w:rsidP="00420E79">
      <w:pPr>
        <w:ind w:left="330"/>
        <w:contextualSpacing/>
        <w:jc w:val="both"/>
        <w:rPr>
          <w:rFonts w:asciiTheme="minorHAnsi" w:hAnsiTheme="minorHAnsi" w:cs="Arial"/>
        </w:rPr>
      </w:pPr>
      <w:r w:rsidRPr="00537B8A">
        <w:rPr>
          <w:rFonts w:asciiTheme="minorHAnsi" w:hAnsiTheme="minorHAnsi" w:cs="Arial"/>
          <w:b/>
        </w:rPr>
        <w:t>Stav závazků celkem</w:t>
      </w:r>
      <w:r w:rsidRPr="00537B8A">
        <w:rPr>
          <w:rFonts w:asciiTheme="minorHAnsi" w:hAnsiTheme="minorHAnsi" w:cs="Arial"/>
        </w:rPr>
        <w:t xml:space="preserve"> k 31. 12. 2014 je odhadován ve výši 25 700 000 tis. Kč s meziročním nárůstem o 4 %, v tom </w:t>
      </w:r>
      <w:r w:rsidRPr="00537B8A">
        <w:rPr>
          <w:rFonts w:asciiTheme="minorHAnsi" w:hAnsiTheme="minorHAnsi" w:cs="Arial"/>
          <w:b/>
        </w:rPr>
        <w:t>závazky ve lhůtě splatnosti</w:t>
      </w:r>
      <w:r w:rsidRPr="00537B8A">
        <w:rPr>
          <w:rFonts w:asciiTheme="minorHAnsi" w:hAnsiTheme="minorHAnsi" w:cs="Arial"/>
        </w:rPr>
        <w:t xml:space="preserve"> vůči poskytovatelům zdravotních služeb představují 23 800 000 tis. Kč (tj. meziroční nárůst o 2,1 %) a ostatní závazky 500 000 tis. Kč (ve stejné výši jako 2013).</w:t>
      </w:r>
      <w:r w:rsidRPr="00537B8A">
        <w:rPr>
          <w:rFonts w:asciiTheme="minorHAnsi" w:hAnsiTheme="minorHAnsi" w:cs="Arial"/>
          <w:color w:val="FF0000"/>
        </w:rPr>
        <w:t xml:space="preserve"> </w:t>
      </w:r>
      <w:r w:rsidRPr="00537B8A">
        <w:rPr>
          <w:rFonts w:asciiTheme="minorHAnsi" w:hAnsiTheme="minorHAnsi" w:cs="Arial"/>
          <w:b/>
        </w:rPr>
        <w:t xml:space="preserve"> Závazky po lhůtě splatnosti vůči poskytovatelům zdravotních služeb </w:t>
      </w:r>
      <w:r w:rsidRPr="00537B8A">
        <w:rPr>
          <w:rFonts w:asciiTheme="minorHAnsi" w:hAnsiTheme="minorHAnsi" w:cs="Arial"/>
        </w:rPr>
        <w:t xml:space="preserve">dosáhnou podle ZPP 2014 hodnoty 1 400 000 tis. Kč, a zvýší se tak meziročně o 55,6 %. Toto zvýšení je zkresleno a zvýrazněno uplatněním návratné finanční výpomoci na snížení závazků po lhůtě splatnosti vůči poskytovatelům zdravotních služeb v roce 2013. </w:t>
      </w:r>
      <w:r w:rsidRPr="00537B8A">
        <w:rPr>
          <w:rFonts w:asciiTheme="minorHAnsi" w:hAnsiTheme="minorHAnsi" w:cs="Arial"/>
          <w:b/>
        </w:rPr>
        <w:t>Dohadné položky pasivní</w:t>
      </w:r>
      <w:r w:rsidRPr="00537B8A">
        <w:rPr>
          <w:rFonts w:asciiTheme="minorHAnsi" w:hAnsiTheme="minorHAnsi" w:cs="Arial"/>
          <w:b/>
          <w:color w:val="FF0000"/>
        </w:rPr>
        <w:t xml:space="preserve"> </w:t>
      </w:r>
      <w:r w:rsidRPr="00537B8A">
        <w:rPr>
          <w:rFonts w:asciiTheme="minorHAnsi" w:hAnsiTheme="minorHAnsi" w:cs="Arial"/>
        </w:rPr>
        <w:t>ve výši 2 400 159 tis. Kč (2 325 000 tis. Kč se vztahují k nákladům na zdravotní služby a 75 000 tis. Kč tvoří vyúčtování doplatků a započitatelných poplatků) budou meziročně sníženy o 12,1 %.</w:t>
      </w:r>
    </w:p>
    <w:p w:rsidR="00420E79" w:rsidRPr="00537B8A" w:rsidRDefault="00420E79" w:rsidP="00420E79">
      <w:pPr>
        <w:numPr>
          <w:ilvl w:val="0"/>
          <w:numId w:val="25"/>
        </w:numPr>
        <w:ind w:left="330" w:hanging="330"/>
        <w:contextualSpacing/>
        <w:jc w:val="both"/>
        <w:rPr>
          <w:rFonts w:asciiTheme="minorHAnsi" w:hAnsiTheme="minorHAnsi" w:cs="Arial"/>
          <w:color w:val="FF0000"/>
        </w:rPr>
      </w:pPr>
      <w:r w:rsidRPr="00537B8A">
        <w:rPr>
          <w:rFonts w:asciiTheme="minorHAnsi" w:hAnsiTheme="minorHAnsi" w:cs="Arial"/>
          <w:b/>
        </w:rPr>
        <w:t xml:space="preserve">Stav peněžních prostředků na všech BÚ fondů </w:t>
      </w:r>
      <w:r w:rsidRPr="00537B8A">
        <w:rPr>
          <w:rFonts w:asciiTheme="minorHAnsi" w:hAnsiTheme="minorHAnsi" w:cs="Arial"/>
        </w:rPr>
        <w:t>k  31. 12. 2014 je odhadován ve výši</w:t>
      </w:r>
      <w:r w:rsidRPr="00537B8A">
        <w:rPr>
          <w:rFonts w:asciiTheme="minorHAnsi" w:hAnsiTheme="minorHAnsi" w:cs="Arial"/>
          <w:b/>
        </w:rPr>
        <w:t xml:space="preserve"> </w:t>
      </w:r>
      <w:r w:rsidRPr="00537B8A">
        <w:rPr>
          <w:rFonts w:asciiTheme="minorHAnsi" w:hAnsiTheme="minorHAnsi" w:cs="Arial"/>
        </w:rPr>
        <w:t>158 012</w:t>
      </w:r>
      <w:r w:rsidRPr="00537B8A">
        <w:rPr>
          <w:rFonts w:asciiTheme="minorHAnsi" w:hAnsiTheme="minorHAnsi" w:cs="Arial"/>
          <w:b/>
        </w:rPr>
        <w:t xml:space="preserve"> </w:t>
      </w:r>
      <w:r w:rsidRPr="00537B8A">
        <w:rPr>
          <w:rFonts w:asciiTheme="minorHAnsi" w:hAnsiTheme="minorHAnsi" w:cs="Arial"/>
        </w:rPr>
        <w:t>tis. Kč s meziročním poklesem o 6,8 % (tj. o 11 531 tis. Kč).   Zůstatek na BÚ ZFZP k 31. 12. 2014 ve výši 100 000 tis. Kč je na 100 % očekávaného zůstatku na konci roku 2013. K posílení finančních zdrojů ZFZP využívá VZP ČR přechodně finanční zdroje jiných fondů (z BÚ RF od roku 2011 na krytí svých závazků 2 196 676 tis. Kč). BÚ provozního fondu činí 41 343 tis. Kč a sociálního fondu 10 430 tis. Kč.</w:t>
      </w:r>
    </w:p>
    <w:p w:rsidR="00420E79" w:rsidRPr="00537B8A" w:rsidRDefault="00420E79" w:rsidP="00420E79">
      <w:pPr>
        <w:ind w:left="330"/>
        <w:contextualSpacing/>
        <w:jc w:val="both"/>
        <w:rPr>
          <w:rFonts w:asciiTheme="minorHAnsi" w:hAnsiTheme="minorHAnsi" w:cs="Arial"/>
        </w:rPr>
      </w:pPr>
      <w:r w:rsidRPr="00537B8A">
        <w:rPr>
          <w:rFonts w:asciiTheme="minorHAnsi" w:hAnsiTheme="minorHAnsi" w:cs="Arial"/>
        </w:rPr>
        <w:t xml:space="preserve">VZP ČR v roce 2013 obdržela </w:t>
      </w:r>
      <w:r w:rsidRPr="00537B8A">
        <w:rPr>
          <w:rFonts w:asciiTheme="minorHAnsi" w:hAnsiTheme="minorHAnsi" w:cs="Arial"/>
          <w:b/>
        </w:rPr>
        <w:t>návratnou finanční výpomoc</w:t>
      </w:r>
      <w:r w:rsidRPr="00537B8A">
        <w:rPr>
          <w:rFonts w:asciiTheme="minorHAnsi" w:hAnsiTheme="minorHAnsi" w:cs="Arial"/>
        </w:rPr>
        <w:t xml:space="preserve"> v celkové výši 1 700 000 tis. Kč, kterou použila na snížení závazků po lhůtě splatnosti vůči poskytovatelům zdravotních služeb, splátka ve výši 700 000 tis. Kč bude realizována v roce 2014. Jiné úvěry ani půjčky VZP ČR neplánuje.</w:t>
      </w:r>
    </w:p>
    <w:p w:rsidR="00420E79" w:rsidRPr="00537B8A" w:rsidRDefault="00420E79" w:rsidP="00CB1EB2">
      <w:pPr>
        <w:pStyle w:val="Odstavecseseznamem"/>
        <w:numPr>
          <w:ilvl w:val="0"/>
          <w:numId w:val="25"/>
        </w:numPr>
        <w:spacing w:after="0" w:line="240" w:lineRule="auto"/>
        <w:ind w:left="330" w:hanging="330"/>
        <w:jc w:val="both"/>
        <w:rPr>
          <w:rFonts w:asciiTheme="minorHAnsi" w:hAnsiTheme="minorHAnsi" w:cs="Arial"/>
          <w:sz w:val="24"/>
          <w:szCs w:val="24"/>
        </w:rPr>
      </w:pPr>
      <w:r w:rsidRPr="00537B8A">
        <w:rPr>
          <w:rFonts w:asciiTheme="minorHAnsi" w:hAnsiTheme="minorHAnsi" w:cs="Arial"/>
          <w:b/>
          <w:sz w:val="24"/>
          <w:szCs w:val="24"/>
        </w:rPr>
        <w:t xml:space="preserve">Ostatní zdaňovaná činnost </w:t>
      </w:r>
      <w:r w:rsidRPr="00537B8A">
        <w:rPr>
          <w:rFonts w:asciiTheme="minorHAnsi" w:hAnsiTheme="minorHAnsi" w:cs="Arial"/>
          <w:sz w:val="24"/>
          <w:szCs w:val="24"/>
        </w:rPr>
        <w:t>představuje zejména pronájem nebytových</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prostor, finanční majetek a zprostředkování komerčního pojištění. Její výnosy jsou plánovány ve výši 40 385 tis. Kč (tj. meziroční pokles o 3,9 %) a náklady ve výši 20 775</w:t>
      </w:r>
      <w:r w:rsidRPr="00537B8A">
        <w:rPr>
          <w:rFonts w:asciiTheme="minorHAnsi" w:hAnsiTheme="minorHAnsi" w:cs="Arial"/>
          <w:color w:val="FF0000"/>
          <w:sz w:val="24"/>
          <w:szCs w:val="24"/>
        </w:rPr>
        <w:t xml:space="preserve"> </w:t>
      </w:r>
      <w:r w:rsidRPr="00537B8A">
        <w:rPr>
          <w:rFonts w:asciiTheme="minorHAnsi" w:hAnsiTheme="minorHAnsi" w:cs="Arial"/>
          <w:sz w:val="24"/>
          <w:szCs w:val="24"/>
        </w:rPr>
        <w:t>tis. Kč (tj. meziroční pokles o 4,7 %). Odhadovaný hospodářský výsledek před zdaněním 19 610 tis. Kč tak meziročně klesá o 3,1 %.</w:t>
      </w:r>
    </w:p>
    <w:p w:rsidR="00420E79" w:rsidRPr="00537B8A" w:rsidRDefault="00420E79" w:rsidP="00420E79">
      <w:pPr>
        <w:pStyle w:val="Odstavecseseznamem"/>
        <w:numPr>
          <w:ilvl w:val="0"/>
          <w:numId w:val="25"/>
        </w:numPr>
        <w:spacing w:after="0" w:line="240" w:lineRule="auto"/>
        <w:ind w:left="330" w:hanging="330"/>
        <w:jc w:val="both"/>
        <w:rPr>
          <w:rFonts w:asciiTheme="minorHAnsi" w:hAnsiTheme="minorHAnsi" w:cs="Arial"/>
          <w:sz w:val="24"/>
          <w:szCs w:val="24"/>
        </w:rPr>
      </w:pPr>
      <w:r w:rsidRPr="00537B8A">
        <w:rPr>
          <w:rFonts w:asciiTheme="minorHAnsi" w:hAnsiTheme="minorHAnsi" w:cs="Arial"/>
          <w:b/>
          <w:sz w:val="24"/>
          <w:szCs w:val="24"/>
        </w:rPr>
        <w:t>Specifické informace</w:t>
      </w:r>
    </w:p>
    <w:p w:rsidR="00420E79" w:rsidRPr="00537B8A" w:rsidRDefault="00420E79" w:rsidP="00CB1EB2">
      <w:pPr>
        <w:ind w:left="330"/>
        <w:jc w:val="both"/>
        <w:rPr>
          <w:rFonts w:asciiTheme="minorHAnsi" w:hAnsiTheme="minorHAnsi" w:cs="Arial"/>
          <w:color w:val="FF0000"/>
        </w:rPr>
      </w:pPr>
      <w:r w:rsidRPr="00537B8A">
        <w:rPr>
          <w:rFonts w:asciiTheme="minorHAnsi" w:hAnsiTheme="minorHAnsi" w:cs="Arial"/>
        </w:rPr>
        <w:t>VZP ČR vlastní 100 % dceřiné společnosti Pojišťovna VZP, a. s. a 51 % společnosti  IZIP.</w:t>
      </w:r>
      <w:r w:rsidRPr="00537B8A">
        <w:rPr>
          <w:rFonts w:asciiTheme="minorHAnsi" w:hAnsiTheme="minorHAnsi" w:cs="Arial"/>
          <w:color w:val="FF0000"/>
        </w:rPr>
        <w:t xml:space="preserve"> </w:t>
      </w:r>
    </w:p>
    <w:p w:rsidR="00420E79" w:rsidRPr="00537B8A" w:rsidRDefault="00420E79" w:rsidP="00CB1EB2">
      <w:pPr>
        <w:ind w:left="330"/>
        <w:jc w:val="both"/>
        <w:rPr>
          <w:rFonts w:asciiTheme="minorHAnsi" w:hAnsiTheme="minorHAnsi" w:cs="Arial"/>
        </w:rPr>
      </w:pPr>
      <w:r w:rsidRPr="00537B8A">
        <w:rPr>
          <w:rFonts w:asciiTheme="minorHAnsi" w:hAnsiTheme="minorHAnsi" w:cs="Arial"/>
        </w:rPr>
        <w:t xml:space="preserve">V souladu s platnými zákony bude VZP ČR i v r. 2014 zajišťovat pro systém   v. z. p. provozování centrálního registru pojištěnců, Informačního centra, agendu správce </w:t>
      </w:r>
      <w:r w:rsidRPr="00537B8A">
        <w:rPr>
          <w:rFonts w:asciiTheme="minorHAnsi" w:hAnsiTheme="minorHAnsi" w:cs="Arial"/>
        </w:rPr>
        <w:lastRenderedPageBreak/>
        <w:t>zvláštního účtu pro přerozdělování pojistného, tisk metodik a potřebných číselníků pro jednotné aplikace zákonů v systému v. z. p. s tím, že zaměstnanecké zdravotní pojišťovny se podílejí na krytí nákladů těchto společných činností.</w:t>
      </w:r>
    </w:p>
    <w:p w:rsidR="00CB1EB2" w:rsidRPr="00537B8A" w:rsidRDefault="00420E79" w:rsidP="00537B8A">
      <w:pPr>
        <w:spacing w:after="240"/>
        <w:ind w:left="330"/>
        <w:jc w:val="both"/>
        <w:rPr>
          <w:rFonts w:asciiTheme="minorHAnsi" w:hAnsiTheme="minorHAnsi" w:cs="Arial"/>
          <w:color w:val="FF0000"/>
        </w:rPr>
      </w:pPr>
      <w:r w:rsidRPr="00537B8A">
        <w:rPr>
          <w:rFonts w:asciiTheme="minorHAnsi" w:hAnsiTheme="minorHAnsi" w:cs="Arial"/>
        </w:rPr>
        <w:t>VZP ČR v roce 2014 plánuje zahájení projektu na podporu CRM – systémového nástroje na shromažďování, zpracování a využívání informací o pojištěncích. Dále plánuje vybudování Call centra a zaměření klientského pracoviště na osobní kontakt s pojištěnci, komplexní program klientských benefitů (Klub pevného zdraví) a elektronickou komunikaci se smluvními partnery (B2B kanál).</w:t>
      </w:r>
      <w:r w:rsidRPr="00537B8A">
        <w:rPr>
          <w:rFonts w:asciiTheme="minorHAnsi" w:hAnsiTheme="minorHAnsi" w:cs="Arial"/>
          <w:color w:val="FF0000"/>
        </w:rPr>
        <w:t xml:space="preserve"> </w:t>
      </w:r>
    </w:p>
    <w:p w:rsidR="00420E79" w:rsidRPr="00537B8A" w:rsidRDefault="00420E79" w:rsidP="007C5D12">
      <w:pPr>
        <w:spacing w:after="240"/>
        <w:ind w:firstLine="426"/>
        <w:jc w:val="both"/>
        <w:rPr>
          <w:rFonts w:asciiTheme="minorHAnsi" w:hAnsiTheme="minorHAnsi" w:cs="Arial"/>
          <w:b/>
          <w:u w:val="single"/>
        </w:rPr>
      </w:pPr>
      <w:r w:rsidRPr="00537B8A">
        <w:rPr>
          <w:rFonts w:asciiTheme="minorHAnsi" w:hAnsiTheme="minorHAnsi" w:cs="Arial"/>
        </w:rPr>
        <w:t>Již v roce 2012 byly vyčerpány vnitřní finanční rezervy, přesto VZP ČR vykázala vůči PZS závazky po lhůtě splatnosti již k 31. 12. 2012 ve výši 740 000 tis. Kč. V roce 2013 se finanční situace ještě zhoršila především v závěru roku, kdy bylo nutno vrátit podíl ve výši 2 529 880 tis. Kč z předsunuté platby státu poskytnuté na účet přerozdělování v lednu 2013. Ministerstvo zdravotnictví vyhovělo žádosti VZP ČR o poskytnutí návratné finanční výpomoci a v roce 2013 VZP ČR obdržela celkem 1 700 000 tis. Kč s tím, že 700 000 tis. Kč splatí v roce 2014 a dalších 1 000 000 tis. Kč ve 4 splátkách rozložených do let 2015 až 2016. Tyto prostředky pojišťovna použila v roce 2013 na snížení závazků vůči PZS po lhůtě splatnosti (k 30. 6. 2013 vykázala tyto závazky ve výši 740 362 tis. Kč a v očekávané skutečnosti k 31. 12. 2013 ve výši 900 000 tis. Kč). Přesto stav závazků po lhůtě splatnosti k 31. 12. 2014 VZP ČR odhaduje na 1 400 000 tis. Kč. Nenaplněn zůstal i BÚ RF s vnitřním dluhem 2 196 676 tis. Kč. S ohledem na podmínky zakotvené v úhradové vyhlášce platné v r. 2014 je hospodaření VZP ČR vyrovnané a vytvořené saldo příjmů a výdajů umožní splácení návratné finanční výpomoci ve výši 700 mil. Kč.</w:t>
      </w:r>
    </w:p>
    <w:p w:rsidR="00517293" w:rsidRPr="005F1629" w:rsidRDefault="00A44492" w:rsidP="004F6633">
      <w:pPr>
        <w:jc w:val="both"/>
        <w:rPr>
          <w:rFonts w:asciiTheme="minorHAnsi" w:hAnsiTheme="minorHAnsi" w:cs="Arial"/>
          <w:b/>
          <w:sz w:val="28"/>
          <w:szCs w:val="28"/>
          <w:u w:val="single"/>
        </w:rPr>
      </w:pPr>
      <w:r w:rsidRPr="005F1629">
        <w:rPr>
          <w:rFonts w:asciiTheme="minorHAnsi" w:hAnsiTheme="minorHAnsi" w:cs="Arial"/>
          <w:b/>
          <w:sz w:val="28"/>
          <w:szCs w:val="28"/>
          <w:u w:val="single"/>
        </w:rPr>
        <w:t xml:space="preserve">Hodnocení </w:t>
      </w:r>
      <w:r w:rsidR="00420E79" w:rsidRPr="005F1629">
        <w:rPr>
          <w:rFonts w:asciiTheme="minorHAnsi" w:hAnsiTheme="minorHAnsi" w:cs="Arial"/>
          <w:b/>
          <w:sz w:val="28"/>
          <w:szCs w:val="28"/>
          <w:u w:val="single"/>
        </w:rPr>
        <w:t>zdravotní</w:t>
      </w:r>
    </w:p>
    <w:p w:rsidR="000040BF" w:rsidRPr="00537B8A" w:rsidRDefault="00517293" w:rsidP="00537B8A">
      <w:pPr>
        <w:spacing w:after="240"/>
        <w:jc w:val="both"/>
        <w:rPr>
          <w:rFonts w:asciiTheme="minorHAnsi" w:hAnsiTheme="minorHAnsi" w:cs="Arial"/>
          <w:i/>
          <w:sz w:val="20"/>
          <w:szCs w:val="20"/>
          <w:u w:val="single"/>
        </w:rPr>
      </w:pPr>
      <w:r w:rsidRPr="005F1629">
        <w:rPr>
          <w:rFonts w:asciiTheme="minorHAnsi" w:hAnsiTheme="minorHAnsi" w:cs="Arial"/>
          <w:i/>
          <w:sz w:val="20"/>
          <w:szCs w:val="20"/>
          <w:u w:val="single"/>
        </w:rPr>
        <w:t>(použité číselné údaje jsou obsaženy v příloze, v tabulkách č. 4, 4a, 4b, 4c, příp. ve ZPP 201</w:t>
      </w:r>
      <w:r w:rsidR="001E1CEA" w:rsidRPr="005F1629">
        <w:rPr>
          <w:rFonts w:asciiTheme="minorHAnsi" w:hAnsiTheme="minorHAnsi" w:cs="Arial"/>
          <w:i/>
          <w:sz w:val="20"/>
          <w:szCs w:val="20"/>
          <w:u w:val="single"/>
        </w:rPr>
        <w:t>4</w:t>
      </w:r>
      <w:r w:rsidRPr="005F1629">
        <w:rPr>
          <w:rFonts w:asciiTheme="minorHAnsi" w:hAnsiTheme="minorHAnsi" w:cs="Arial"/>
          <w:i/>
          <w:sz w:val="20"/>
          <w:szCs w:val="20"/>
          <w:u w:val="single"/>
        </w:rPr>
        <w:t>)</w:t>
      </w:r>
    </w:p>
    <w:p w:rsidR="00B424FB" w:rsidRPr="005F1629" w:rsidRDefault="00A44492" w:rsidP="007C5D12">
      <w:pPr>
        <w:pStyle w:val="Zkladntext210"/>
        <w:spacing w:before="120"/>
        <w:ind w:firstLine="426"/>
        <w:rPr>
          <w:rFonts w:asciiTheme="minorHAnsi" w:hAnsiTheme="minorHAnsi" w:cs="Arial"/>
          <w:szCs w:val="24"/>
        </w:rPr>
      </w:pPr>
      <w:r w:rsidRPr="005F1629">
        <w:rPr>
          <w:rFonts w:asciiTheme="minorHAnsi" w:hAnsiTheme="minorHAnsi" w:cs="Arial"/>
          <w:szCs w:val="24"/>
        </w:rPr>
        <w:t xml:space="preserve">VZP ČR ve svém </w:t>
      </w:r>
      <w:r w:rsidRPr="005F1629">
        <w:rPr>
          <w:rFonts w:asciiTheme="minorHAnsi" w:hAnsiTheme="minorHAnsi" w:cs="Arial"/>
          <w:b/>
          <w:szCs w:val="24"/>
        </w:rPr>
        <w:t>pojistném plánu</w:t>
      </w:r>
      <w:r w:rsidRPr="005F1629">
        <w:rPr>
          <w:rFonts w:asciiTheme="minorHAnsi" w:hAnsiTheme="minorHAnsi" w:cs="Arial"/>
          <w:szCs w:val="24"/>
        </w:rPr>
        <w:t xml:space="preserve"> uvádí, že </w:t>
      </w:r>
      <w:r w:rsidR="005E08FD" w:rsidRPr="005F1629">
        <w:rPr>
          <w:rFonts w:asciiTheme="minorHAnsi" w:hAnsiTheme="minorHAnsi" w:cs="Arial"/>
          <w:szCs w:val="24"/>
        </w:rPr>
        <w:t>bude i nadále</w:t>
      </w:r>
      <w:r w:rsidRPr="005F1629">
        <w:rPr>
          <w:rFonts w:asciiTheme="minorHAnsi" w:hAnsiTheme="minorHAnsi" w:cs="Arial"/>
          <w:szCs w:val="24"/>
        </w:rPr>
        <w:t xml:space="preserve"> dbát na </w:t>
      </w:r>
      <w:r w:rsidR="005E08FD" w:rsidRPr="005F1629">
        <w:rPr>
          <w:rFonts w:asciiTheme="minorHAnsi" w:hAnsiTheme="minorHAnsi" w:cs="Arial"/>
          <w:szCs w:val="24"/>
        </w:rPr>
        <w:t xml:space="preserve">sledování kvality zdravotních služeb, </w:t>
      </w:r>
      <w:r w:rsidRPr="005F1629">
        <w:rPr>
          <w:rFonts w:asciiTheme="minorHAnsi" w:hAnsiTheme="minorHAnsi" w:cs="Arial"/>
          <w:szCs w:val="24"/>
        </w:rPr>
        <w:t>zefektivněn</w:t>
      </w:r>
      <w:r w:rsidR="000040BF" w:rsidRPr="005F1629">
        <w:rPr>
          <w:rFonts w:asciiTheme="minorHAnsi" w:hAnsiTheme="minorHAnsi" w:cs="Arial"/>
          <w:szCs w:val="24"/>
        </w:rPr>
        <w:t>í poskytování zdravotní péče</w:t>
      </w:r>
      <w:r w:rsidR="005E08FD" w:rsidRPr="005F1629">
        <w:rPr>
          <w:rFonts w:asciiTheme="minorHAnsi" w:hAnsiTheme="minorHAnsi" w:cs="Arial"/>
          <w:szCs w:val="24"/>
        </w:rPr>
        <w:t xml:space="preserve"> a zejména na zajištění dostupnosti zdravotních služeb</w:t>
      </w:r>
      <w:r w:rsidRPr="005F1629">
        <w:rPr>
          <w:rFonts w:asciiTheme="minorHAnsi" w:hAnsiTheme="minorHAnsi" w:cs="Arial"/>
          <w:szCs w:val="24"/>
        </w:rPr>
        <w:t>.</w:t>
      </w:r>
      <w:r w:rsidR="00A21245" w:rsidRPr="005F1629">
        <w:rPr>
          <w:rFonts w:asciiTheme="minorHAnsi" w:hAnsiTheme="minorHAnsi" w:cs="Arial"/>
          <w:szCs w:val="24"/>
        </w:rPr>
        <w:t xml:space="preserve"> </w:t>
      </w:r>
    </w:p>
    <w:p w:rsidR="004432A1" w:rsidRPr="005F1629" w:rsidRDefault="005E08FD" w:rsidP="007C5D12">
      <w:pPr>
        <w:pStyle w:val="Zkladntext210"/>
        <w:ind w:firstLine="426"/>
        <w:rPr>
          <w:rFonts w:asciiTheme="minorHAnsi" w:hAnsiTheme="minorHAnsi" w:cs="Arial"/>
          <w:szCs w:val="24"/>
        </w:rPr>
      </w:pPr>
      <w:r w:rsidRPr="005F1629">
        <w:rPr>
          <w:rFonts w:asciiTheme="minorHAnsi" w:hAnsiTheme="minorHAnsi" w:cs="Arial"/>
          <w:szCs w:val="24"/>
        </w:rPr>
        <w:t>V roce 2014 by</w:t>
      </w:r>
      <w:r w:rsidR="000040BF" w:rsidRPr="005F1629">
        <w:rPr>
          <w:rFonts w:asciiTheme="minorHAnsi" w:hAnsiTheme="minorHAnsi" w:cs="Arial"/>
          <w:szCs w:val="24"/>
        </w:rPr>
        <w:t xml:space="preserve"> </w:t>
      </w:r>
      <w:r w:rsidR="00A21245" w:rsidRPr="005F1629">
        <w:rPr>
          <w:rFonts w:asciiTheme="minorHAnsi" w:hAnsiTheme="minorHAnsi" w:cs="Arial"/>
          <w:szCs w:val="24"/>
        </w:rPr>
        <w:t xml:space="preserve">dle ZPP nemělo docházet k výraznějším změnám </w:t>
      </w:r>
      <w:r w:rsidR="00A21245" w:rsidRPr="005F1629">
        <w:rPr>
          <w:rFonts w:asciiTheme="minorHAnsi" w:hAnsiTheme="minorHAnsi" w:cs="Arial"/>
          <w:b/>
          <w:szCs w:val="24"/>
        </w:rPr>
        <w:t>smluvní politiky</w:t>
      </w:r>
      <w:r w:rsidR="00A21245" w:rsidRPr="005F1629">
        <w:rPr>
          <w:rFonts w:asciiTheme="minorHAnsi" w:hAnsiTheme="minorHAnsi" w:cs="Arial"/>
          <w:szCs w:val="24"/>
        </w:rPr>
        <w:t xml:space="preserve"> ve vztahu k poskytovatelům zdravotních služeb. VZP</w:t>
      </w:r>
      <w:r w:rsidR="00A04661" w:rsidRPr="005F1629">
        <w:rPr>
          <w:rFonts w:asciiTheme="minorHAnsi" w:hAnsiTheme="minorHAnsi" w:cs="Arial"/>
          <w:szCs w:val="24"/>
        </w:rPr>
        <w:t xml:space="preserve"> ČR</w:t>
      </w:r>
      <w:r w:rsidR="00A21245" w:rsidRPr="005F1629">
        <w:rPr>
          <w:rFonts w:asciiTheme="minorHAnsi" w:hAnsiTheme="minorHAnsi" w:cs="Arial"/>
          <w:szCs w:val="24"/>
        </w:rPr>
        <w:t xml:space="preserve"> bude pouze podporovat generační výměnu praktických lékařů pro dospělé, praktických lékařů pro děti a dorost a praktických zubních lékařů a také vznik nových praxí u těchto </w:t>
      </w:r>
      <w:r w:rsidR="00AF2408" w:rsidRPr="005F1629">
        <w:rPr>
          <w:rFonts w:asciiTheme="minorHAnsi" w:hAnsiTheme="minorHAnsi" w:cs="Arial"/>
          <w:szCs w:val="24"/>
        </w:rPr>
        <w:t xml:space="preserve">kategorií zdravotních poskytovatelů </w:t>
      </w:r>
      <w:r w:rsidR="00A21245" w:rsidRPr="005F1629">
        <w:rPr>
          <w:rFonts w:asciiTheme="minorHAnsi" w:hAnsiTheme="minorHAnsi" w:cs="Arial"/>
          <w:szCs w:val="24"/>
        </w:rPr>
        <w:t>v regionech, kde není zajištěna dostatečná sí</w:t>
      </w:r>
      <w:r w:rsidR="00AF2408" w:rsidRPr="005F1629">
        <w:rPr>
          <w:rFonts w:asciiTheme="minorHAnsi" w:hAnsiTheme="minorHAnsi" w:cs="Arial"/>
          <w:szCs w:val="24"/>
        </w:rPr>
        <w:t>ť smluvních poskytovatelů zdravotních služeb</w:t>
      </w:r>
      <w:r w:rsidR="00A21245" w:rsidRPr="005F1629">
        <w:rPr>
          <w:rFonts w:asciiTheme="minorHAnsi" w:hAnsiTheme="minorHAnsi" w:cs="Arial"/>
          <w:szCs w:val="24"/>
        </w:rPr>
        <w:t>.</w:t>
      </w:r>
    </w:p>
    <w:p w:rsidR="00171E69" w:rsidRDefault="00171E69" w:rsidP="007C5D12">
      <w:pPr>
        <w:pStyle w:val="Zkladntext210"/>
        <w:ind w:firstLine="426"/>
        <w:rPr>
          <w:rFonts w:asciiTheme="minorHAnsi" w:hAnsiTheme="minorHAnsi" w:cs="Arial"/>
          <w:szCs w:val="24"/>
        </w:rPr>
      </w:pPr>
      <w:r w:rsidRPr="005F1629">
        <w:rPr>
          <w:rFonts w:asciiTheme="minorHAnsi" w:hAnsiTheme="minorHAnsi" w:cs="Arial"/>
          <w:szCs w:val="24"/>
        </w:rPr>
        <w:t>V </w:t>
      </w:r>
      <w:r w:rsidR="00E477F8" w:rsidRPr="005F1629">
        <w:rPr>
          <w:rFonts w:asciiTheme="minorHAnsi" w:hAnsiTheme="minorHAnsi" w:cs="Arial"/>
          <w:szCs w:val="24"/>
        </w:rPr>
        <w:t>T</w:t>
      </w:r>
      <w:r w:rsidRPr="005F1629">
        <w:rPr>
          <w:rFonts w:asciiTheme="minorHAnsi" w:hAnsiTheme="minorHAnsi" w:cs="Arial"/>
          <w:szCs w:val="24"/>
        </w:rPr>
        <w:t xml:space="preserve">abulce č. 1 lze vidět, že </w:t>
      </w:r>
      <w:r w:rsidRPr="005F1629">
        <w:rPr>
          <w:rFonts w:asciiTheme="minorHAnsi" w:hAnsiTheme="minorHAnsi" w:cs="Arial"/>
          <w:b/>
          <w:szCs w:val="24"/>
        </w:rPr>
        <w:t>počet smluvních poskytovatelů zdravotních služeb</w:t>
      </w:r>
      <w:r w:rsidRPr="005F1629">
        <w:rPr>
          <w:rFonts w:asciiTheme="minorHAnsi" w:hAnsiTheme="minorHAnsi" w:cs="Arial"/>
          <w:szCs w:val="24"/>
        </w:rPr>
        <w:t xml:space="preserve"> se v minulých třech letech výrazně neměnil. Počet smluvních praktických lékařů vykazuje v posledních letech klesající trend, avšak pro rok 2014 je naplánováno ze strany VZP</w:t>
      </w:r>
      <w:r w:rsidR="00A04661" w:rsidRPr="005F1629">
        <w:rPr>
          <w:rFonts w:asciiTheme="minorHAnsi" w:hAnsiTheme="minorHAnsi" w:cs="Arial"/>
          <w:szCs w:val="24"/>
        </w:rPr>
        <w:t xml:space="preserve"> ČR</w:t>
      </w:r>
      <w:r w:rsidRPr="005F1629">
        <w:rPr>
          <w:rFonts w:asciiTheme="minorHAnsi" w:hAnsiTheme="minorHAnsi" w:cs="Arial"/>
          <w:szCs w:val="24"/>
        </w:rPr>
        <w:t xml:space="preserve"> mírné zvýšení smluvních vztahů u těchto kategorií poskytovatelů, což může být bráno jako důsledek předpokládané podpory těchto poskytovatelů v určitých regionech i při generační výměně.</w:t>
      </w:r>
    </w:p>
    <w:p w:rsidR="00503B50" w:rsidRDefault="00503B50" w:rsidP="00CB1EB2">
      <w:pPr>
        <w:pStyle w:val="Zkladntext210"/>
        <w:ind w:firstLine="357"/>
        <w:rPr>
          <w:rFonts w:asciiTheme="minorHAnsi" w:hAnsiTheme="minorHAnsi" w:cs="Arial"/>
          <w:szCs w:val="24"/>
        </w:rPr>
      </w:pPr>
    </w:p>
    <w:p w:rsidR="00503B50" w:rsidRDefault="00503B50" w:rsidP="00CB1EB2">
      <w:pPr>
        <w:pStyle w:val="Zkladntext210"/>
        <w:ind w:firstLine="357"/>
        <w:rPr>
          <w:rFonts w:asciiTheme="minorHAnsi" w:hAnsiTheme="minorHAnsi" w:cs="Arial"/>
          <w:szCs w:val="24"/>
        </w:rPr>
      </w:pPr>
    </w:p>
    <w:p w:rsidR="00503B50" w:rsidRDefault="00503B50" w:rsidP="00CB1EB2">
      <w:pPr>
        <w:pStyle w:val="Zkladntext210"/>
        <w:ind w:firstLine="357"/>
        <w:rPr>
          <w:rFonts w:asciiTheme="minorHAnsi" w:hAnsiTheme="minorHAnsi" w:cs="Arial"/>
          <w:szCs w:val="24"/>
        </w:rPr>
      </w:pPr>
    </w:p>
    <w:p w:rsidR="00207D5B" w:rsidRDefault="00207D5B" w:rsidP="00CB1EB2">
      <w:pPr>
        <w:pStyle w:val="Zkladntext210"/>
        <w:ind w:firstLine="357"/>
        <w:rPr>
          <w:rFonts w:asciiTheme="minorHAnsi" w:hAnsiTheme="minorHAnsi" w:cs="Arial"/>
          <w:szCs w:val="24"/>
        </w:rPr>
      </w:pPr>
    </w:p>
    <w:p w:rsidR="00207D5B" w:rsidRDefault="00207D5B" w:rsidP="00CB1EB2">
      <w:pPr>
        <w:pStyle w:val="Zkladntext210"/>
        <w:ind w:firstLine="357"/>
        <w:rPr>
          <w:rFonts w:asciiTheme="minorHAnsi" w:hAnsiTheme="minorHAnsi" w:cs="Arial"/>
          <w:szCs w:val="24"/>
        </w:rPr>
      </w:pPr>
    </w:p>
    <w:p w:rsidR="00503B50" w:rsidRPr="005F1629" w:rsidRDefault="00503B50" w:rsidP="00CB1EB2">
      <w:pPr>
        <w:pStyle w:val="Zkladntext210"/>
        <w:ind w:firstLine="357"/>
        <w:rPr>
          <w:rFonts w:asciiTheme="minorHAnsi" w:hAnsiTheme="minorHAnsi" w:cs="Arial"/>
          <w:szCs w:val="24"/>
        </w:rPr>
      </w:pPr>
    </w:p>
    <w:p w:rsidR="00A44492" w:rsidRPr="005F1629" w:rsidRDefault="00B424FB" w:rsidP="00B424FB">
      <w:pPr>
        <w:pStyle w:val="Zkladntext210"/>
        <w:spacing w:before="120"/>
        <w:rPr>
          <w:rFonts w:asciiTheme="minorHAnsi" w:hAnsiTheme="minorHAnsi" w:cs="Arial"/>
          <w:szCs w:val="24"/>
        </w:rPr>
      </w:pPr>
      <w:r w:rsidRPr="005F1629">
        <w:rPr>
          <w:rFonts w:asciiTheme="minorHAnsi" w:hAnsiTheme="minorHAnsi" w:cs="Arial"/>
          <w:szCs w:val="24"/>
        </w:rPr>
        <w:lastRenderedPageBreak/>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A628CC" w:rsidRPr="005F1629" w:rsidTr="005E08FD">
        <w:tc>
          <w:tcPr>
            <w:tcW w:w="534" w:type="dxa"/>
            <w:shd w:val="solid" w:color="000080" w:fill="FFFFFF"/>
          </w:tcPr>
          <w:p w:rsidR="00A628CC" w:rsidRPr="005F1629" w:rsidRDefault="00B424FB" w:rsidP="00A628CC">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A628CC" w:rsidRPr="005F1629" w:rsidRDefault="00A628CC" w:rsidP="00A628CC">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A628CC" w:rsidRPr="005F1629" w:rsidRDefault="00A628CC" w:rsidP="00E0154C">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A628CC" w:rsidRPr="005F1629" w:rsidRDefault="00A628CC" w:rsidP="00E0154C">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A628CC" w:rsidRPr="005F1629" w:rsidRDefault="00A628CC" w:rsidP="00E0154C">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A628CC" w:rsidRPr="005F1629" w:rsidRDefault="00A628CC" w:rsidP="00E0154C">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A628CC" w:rsidRPr="005F1629" w:rsidRDefault="00A628CC" w:rsidP="00E0154C">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5E08FD" w:rsidRPr="005F1629" w:rsidRDefault="005E08FD" w:rsidP="00E0154C">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A628CC" w:rsidRPr="005F1629" w:rsidRDefault="00A628CC" w:rsidP="005E08FD">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5E08FD" w:rsidRPr="005F1629" w:rsidRDefault="005E08FD" w:rsidP="005E08FD">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34 771</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35 072</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36 054</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36 067</w:t>
            </w:r>
          </w:p>
        </w:tc>
        <w:tc>
          <w:tcPr>
            <w:tcW w:w="1016" w:type="dxa"/>
            <w:shd w:val="clear" w:color="auto" w:fill="auto"/>
          </w:tcPr>
          <w:p w:rsidR="00B424FB" w:rsidRPr="005F1629" w:rsidRDefault="00B424FB" w:rsidP="00E0154C">
            <w:pPr>
              <w:jc w:val="right"/>
              <w:rPr>
                <w:rFonts w:asciiTheme="minorHAnsi" w:hAnsiTheme="minorHAnsi" w:cs="Arial"/>
                <w:bCs/>
                <w:i/>
                <w:iCs/>
                <w:sz w:val="22"/>
                <w:szCs w:val="22"/>
              </w:rPr>
            </w:pPr>
            <w:r w:rsidRPr="005F1629">
              <w:rPr>
                <w:rFonts w:asciiTheme="minorHAnsi" w:hAnsiTheme="minorHAnsi" w:cs="Arial"/>
                <w:bCs/>
                <w:i/>
                <w:iCs/>
                <w:sz w:val="22"/>
                <w:szCs w:val="22"/>
              </w:rPr>
              <w:t>36 046</w:t>
            </w:r>
          </w:p>
        </w:tc>
        <w:tc>
          <w:tcPr>
            <w:tcW w:w="1016" w:type="dxa"/>
            <w:shd w:val="clear" w:color="auto" w:fill="auto"/>
          </w:tcPr>
          <w:p w:rsidR="00B424FB" w:rsidRPr="005F1629" w:rsidRDefault="00B424FB" w:rsidP="00E0154C">
            <w:pPr>
              <w:jc w:val="right"/>
              <w:rPr>
                <w:rFonts w:asciiTheme="minorHAnsi" w:hAnsiTheme="minorHAnsi" w:cs="Arial"/>
                <w:bCs/>
                <w:i/>
                <w:iCs/>
                <w:sz w:val="22"/>
                <w:szCs w:val="22"/>
              </w:rPr>
            </w:pPr>
            <w:r w:rsidRPr="005F1629">
              <w:rPr>
                <w:rFonts w:asciiTheme="minorHAnsi" w:hAnsiTheme="minorHAnsi" w:cs="Arial"/>
                <w:bCs/>
                <w:i/>
                <w:iCs/>
                <w:sz w:val="22"/>
                <w:szCs w:val="22"/>
              </w:rPr>
              <w:t>36 084</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B424FB" w:rsidRPr="005F1629" w:rsidRDefault="00B424FB">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 </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 </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 </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 </w:t>
            </w:r>
          </w:p>
        </w:tc>
        <w:tc>
          <w:tcPr>
            <w:tcW w:w="1016" w:type="dxa"/>
            <w:shd w:val="clear" w:color="auto" w:fill="auto"/>
          </w:tcPr>
          <w:p w:rsidR="00B424FB" w:rsidRPr="005F1629" w:rsidRDefault="00B424FB" w:rsidP="00E0154C">
            <w:pPr>
              <w:jc w:val="right"/>
              <w:rPr>
                <w:rFonts w:asciiTheme="minorHAnsi" w:hAnsiTheme="minorHAnsi" w:cs="Arial"/>
                <w:color w:val="000000"/>
                <w:sz w:val="22"/>
                <w:szCs w:val="22"/>
              </w:rPr>
            </w:pPr>
            <w:r w:rsidRPr="005F1629">
              <w:rPr>
                <w:rFonts w:asciiTheme="minorHAnsi" w:hAnsiTheme="minorHAnsi" w:cs="Arial"/>
                <w:color w:val="000000"/>
                <w:sz w:val="22"/>
                <w:szCs w:val="22"/>
              </w:rPr>
              <w:t> </w:t>
            </w:r>
          </w:p>
        </w:tc>
        <w:tc>
          <w:tcPr>
            <w:tcW w:w="1016" w:type="dxa"/>
            <w:shd w:val="clear" w:color="auto" w:fill="auto"/>
          </w:tcPr>
          <w:p w:rsidR="00B424FB" w:rsidRPr="005F1629" w:rsidRDefault="00B424FB" w:rsidP="00E0154C">
            <w:pPr>
              <w:jc w:val="right"/>
              <w:rPr>
                <w:rFonts w:asciiTheme="minorHAnsi" w:hAnsiTheme="minorHAnsi" w:cs="Arial"/>
                <w:bCs/>
                <w:i/>
                <w:iCs/>
                <w:sz w:val="22"/>
                <w:szCs w:val="22"/>
              </w:rPr>
            </w:pPr>
            <w:r w:rsidRPr="005F1629">
              <w:rPr>
                <w:rFonts w:asciiTheme="minorHAnsi" w:hAnsiTheme="minorHAnsi" w:cs="Arial"/>
                <w:bCs/>
                <w:i/>
                <w:iCs/>
                <w:sz w:val="22"/>
                <w:szCs w:val="22"/>
              </w:rPr>
              <w:t> </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5 440</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5 438</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5 422</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5 415</w:t>
            </w:r>
          </w:p>
        </w:tc>
        <w:tc>
          <w:tcPr>
            <w:tcW w:w="1016" w:type="dxa"/>
            <w:shd w:val="clear" w:color="auto" w:fill="auto"/>
          </w:tcPr>
          <w:p w:rsidR="00B424FB" w:rsidRPr="005F1629" w:rsidRDefault="00B424FB" w:rsidP="00E0154C">
            <w:pPr>
              <w:jc w:val="right"/>
              <w:rPr>
                <w:rFonts w:asciiTheme="minorHAnsi" w:hAnsiTheme="minorHAnsi" w:cs="Arial"/>
                <w:bCs/>
                <w:i/>
                <w:iCs/>
                <w:sz w:val="22"/>
                <w:szCs w:val="22"/>
              </w:rPr>
            </w:pPr>
            <w:r w:rsidRPr="005F1629">
              <w:rPr>
                <w:rFonts w:asciiTheme="minorHAnsi" w:hAnsiTheme="minorHAnsi" w:cs="Arial"/>
                <w:bCs/>
                <w:i/>
                <w:iCs/>
                <w:sz w:val="22"/>
                <w:szCs w:val="22"/>
              </w:rPr>
              <w:t>5 401</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5 405</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2 317</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2 304</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2 288</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2 264</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2 243</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2 246</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7 140</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7 332</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7 441</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7 513</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7 534</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7 568</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tcPr>
          <w:p w:rsidR="00B424FB" w:rsidRPr="005F1629" w:rsidRDefault="00920DEF" w:rsidP="00E0154C">
            <w:pPr>
              <w:jc w:val="right"/>
              <w:rPr>
                <w:rFonts w:asciiTheme="minorHAnsi" w:hAnsiTheme="minorHAnsi" w:cs="Arial"/>
                <w:bCs/>
                <w:sz w:val="22"/>
                <w:szCs w:val="22"/>
              </w:rPr>
            </w:pPr>
            <w:r>
              <w:rPr>
                <w:rFonts w:asciiTheme="minorHAnsi" w:hAnsiTheme="minorHAnsi" w:cs="Arial"/>
                <w:bCs/>
                <w:sz w:val="22"/>
                <w:szCs w:val="22"/>
              </w:rPr>
              <w:t>19 902</w:t>
            </w:r>
          </w:p>
        </w:tc>
        <w:tc>
          <w:tcPr>
            <w:tcW w:w="1016" w:type="dxa"/>
            <w:shd w:val="clear" w:color="auto" w:fill="auto"/>
          </w:tcPr>
          <w:p w:rsidR="00B424FB" w:rsidRPr="005F1629" w:rsidRDefault="00920DEF" w:rsidP="00E0154C">
            <w:pPr>
              <w:jc w:val="right"/>
              <w:rPr>
                <w:rFonts w:asciiTheme="minorHAnsi" w:hAnsiTheme="minorHAnsi" w:cs="Arial"/>
                <w:bCs/>
                <w:sz w:val="22"/>
                <w:szCs w:val="22"/>
              </w:rPr>
            </w:pPr>
            <w:r>
              <w:rPr>
                <w:rFonts w:asciiTheme="minorHAnsi" w:hAnsiTheme="minorHAnsi" w:cs="Arial"/>
                <w:bCs/>
                <w:sz w:val="22"/>
                <w:szCs w:val="22"/>
              </w:rPr>
              <w:t>20 026</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20 903</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20 875</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20 868</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20 865</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269</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270</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275</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272</w:t>
            </w:r>
          </w:p>
        </w:tc>
        <w:tc>
          <w:tcPr>
            <w:tcW w:w="1016" w:type="dxa"/>
            <w:shd w:val="clear" w:color="auto" w:fill="auto"/>
          </w:tcPr>
          <w:p w:rsidR="00B424FB" w:rsidRPr="005F1629" w:rsidRDefault="00B424FB" w:rsidP="00E0154C">
            <w:pPr>
              <w:jc w:val="right"/>
              <w:rPr>
                <w:rFonts w:asciiTheme="minorHAnsi" w:hAnsiTheme="minorHAnsi" w:cs="Arial"/>
                <w:i/>
                <w:iCs/>
                <w:sz w:val="22"/>
                <w:szCs w:val="22"/>
              </w:rPr>
            </w:pPr>
            <w:r w:rsidRPr="005F1629">
              <w:rPr>
                <w:rFonts w:asciiTheme="minorHAnsi" w:hAnsiTheme="minorHAnsi" w:cs="Arial"/>
                <w:i/>
                <w:iCs/>
                <w:sz w:val="22"/>
                <w:szCs w:val="22"/>
              </w:rPr>
              <w:t>272</w:t>
            </w:r>
          </w:p>
        </w:tc>
        <w:tc>
          <w:tcPr>
            <w:tcW w:w="1016" w:type="dxa"/>
            <w:shd w:val="clear" w:color="auto" w:fill="auto"/>
          </w:tcPr>
          <w:p w:rsidR="00B424FB" w:rsidRPr="005F1629" w:rsidRDefault="00B424FB" w:rsidP="00E0154C">
            <w:pPr>
              <w:jc w:val="right"/>
              <w:rPr>
                <w:rFonts w:asciiTheme="minorHAnsi" w:hAnsiTheme="minorHAnsi" w:cs="Arial"/>
                <w:i/>
                <w:iCs/>
                <w:sz w:val="22"/>
                <w:szCs w:val="22"/>
              </w:rPr>
            </w:pPr>
            <w:r w:rsidRPr="005F1629">
              <w:rPr>
                <w:rFonts w:asciiTheme="minorHAnsi" w:hAnsiTheme="minorHAnsi" w:cs="Arial"/>
                <w:i/>
                <w:iCs/>
                <w:sz w:val="22"/>
                <w:szCs w:val="22"/>
              </w:rPr>
              <w:t>272</w:t>
            </w:r>
          </w:p>
        </w:tc>
      </w:tr>
      <w:tr w:rsidR="00B424FB" w:rsidRPr="005F1629" w:rsidTr="005E08FD">
        <w:tc>
          <w:tcPr>
            <w:tcW w:w="534" w:type="dxa"/>
            <w:shd w:val="clear" w:color="auto" w:fill="auto"/>
          </w:tcPr>
          <w:p w:rsidR="00B424FB" w:rsidRPr="005F1629" w:rsidRDefault="00B424FB" w:rsidP="00E0154C">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3 050</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3 084</w:t>
            </w:r>
          </w:p>
        </w:tc>
        <w:tc>
          <w:tcPr>
            <w:tcW w:w="1016" w:type="dxa"/>
            <w:shd w:val="clear" w:color="auto" w:fill="auto"/>
          </w:tcPr>
          <w:p w:rsidR="00B424FB" w:rsidRPr="005F1629" w:rsidRDefault="00920DEF" w:rsidP="00E0154C">
            <w:pPr>
              <w:jc w:val="right"/>
              <w:rPr>
                <w:rFonts w:asciiTheme="minorHAnsi" w:hAnsiTheme="minorHAnsi" w:cs="Arial"/>
                <w:bCs/>
                <w:sz w:val="22"/>
                <w:szCs w:val="22"/>
              </w:rPr>
            </w:pPr>
            <w:r>
              <w:rPr>
                <w:rFonts w:asciiTheme="minorHAnsi" w:hAnsiTheme="minorHAnsi" w:cs="Arial"/>
                <w:bCs/>
                <w:sz w:val="22"/>
                <w:szCs w:val="22"/>
              </w:rPr>
              <w:t>37 444</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3 779</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3 833</w:t>
            </w:r>
          </w:p>
        </w:tc>
        <w:tc>
          <w:tcPr>
            <w:tcW w:w="1016" w:type="dxa"/>
            <w:shd w:val="clear" w:color="auto" w:fill="auto"/>
          </w:tcPr>
          <w:p w:rsidR="00B424FB" w:rsidRPr="005F1629" w:rsidRDefault="00B424FB" w:rsidP="00E0154C">
            <w:pPr>
              <w:jc w:val="right"/>
              <w:rPr>
                <w:rFonts w:asciiTheme="minorHAnsi" w:hAnsiTheme="minorHAnsi" w:cs="Arial"/>
                <w:bCs/>
                <w:sz w:val="22"/>
                <w:szCs w:val="22"/>
              </w:rPr>
            </w:pPr>
            <w:r w:rsidRPr="005F1629">
              <w:rPr>
                <w:rFonts w:asciiTheme="minorHAnsi" w:hAnsiTheme="minorHAnsi" w:cs="Arial"/>
                <w:bCs/>
                <w:sz w:val="22"/>
                <w:szCs w:val="22"/>
              </w:rPr>
              <w:t>3 853</w:t>
            </w:r>
          </w:p>
        </w:tc>
      </w:tr>
      <w:tr w:rsidR="00B424FB" w:rsidRPr="005F1629" w:rsidTr="005E08FD">
        <w:tc>
          <w:tcPr>
            <w:tcW w:w="534" w:type="dxa"/>
            <w:shd w:val="clear" w:color="auto" w:fill="auto"/>
          </w:tcPr>
          <w:p w:rsidR="00B424FB" w:rsidRPr="005F1629" w:rsidRDefault="00B424FB">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B424FB" w:rsidRPr="005F1629" w:rsidRDefault="00B424FB" w:rsidP="00B424FB">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tcPr>
          <w:p w:rsidR="00B424FB" w:rsidRPr="005F1629" w:rsidRDefault="00B424FB" w:rsidP="00E0154C">
            <w:pPr>
              <w:jc w:val="right"/>
              <w:rPr>
                <w:rFonts w:asciiTheme="minorHAnsi" w:hAnsiTheme="minorHAnsi" w:cs="Arial"/>
                <w:b/>
                <w:bCs/>
                <w:sz w:val="22"/>
                <w:szCs w:val="22"/>
              </w:rPr>
            </w:pPr>
            <w:r w:rsidRPr="005F1629">
              <w:rPr>
                <w:rFonts w:asciiTheme="minorHAnsi" w:hAnsiTheme="minorHAnsi" w:cs="Arial"/>
                <w:b/>
                <w:bCs/>
                <w:sz w:val="22"/>
                <w:szCs w:val="22"/>
              </w:rPr>
              <w:t>38 090</w:t>
            </w:r>
          </w:p>
        </w:tc>
        <w:tc>
          <w:tcPr>
            <w:tcW w:w="1016" w:type="dxa"/>
            <w:shd w:val="clear" w:color="auto" w:fill="auto"/>
          </w:tcPr>
          <w:p w:rsidR="00B424FB" w:rsidRPr="005F1629" w:rsidRDefault="00B424FB" w:rsidP="00E0154C">
            <w:pPr>
              <w:jc w:val="right"/>
              <w:rPr>
                <w:rFonts w:asciiTheme="minorHAnsi" w:hAnsiTheme="minorHAnsi" w:cs="Arial"/>
                <w:b/>
                <w:bCs/>
                <w:sz w:val="22"/>
                <w:szCs w:val="22"/>
              </w:rPr>
            </w:pPr>
            <w:r w:rsidRPr="005F1629">
              <w:rPr>
                <w:rFonts w:asciiTheme="minorHAnsi" w:hAnsiTheme="minorHAnsi" w:cs="Arial"/>
                <w:b/>
                <w:bCs/>
                <w:sz w:val="22"/>
                <w:szCs w:val="22"/>
              </w:rPr>
              <w:t>38 426</w:t>
            </w:r>
          </w:p>
        </w:tc>
        <w:tc>
          <w:tcPr>
            <w:tcW w:w="1016" w:type="dxa"/>
            <w:shd w:val="clear" w:color="auto" w:fill="auto"/>
          </w:tcPr>
          <w:p w:rsidR="00B424FB" w:rsidRPr="005F1629" w:rsidRDefault="00B424FB" w:rsidP="00E0154C">
            <w:pPr>
              <w:jc w:val="right"/>
              <w:rPr>
                <w:rFonts w:asciiTheme="minorHAnsi" w:hAnsiTheme="minorHAnsi" w:cs="Arial"/>
                <w:b/>
                <w:bCs/>
                <w:sz w:val="22"/>
                <w:szCs w:val="22"/>
              </w:rPr>
            </w:pPr>
            <w:r w:rsidRPr="005F1629">
              <w:rPr>
                <w:rFonts w:asciiTheme="minorHAnsi" w:hAnsiTheme="minorHAnsi" w:cs="Arial"/>
                <w:b/>
                <w:bCs/>
                <w:sz w:val="22"/>
                <w:szCs w:val="22"/>
              </w:rPr>
              <w:t>40 348</w:t>
            </w:r>
          </w:p>
        </w:tc>
        <w:tc>
          <w:tcPr>
            <w:tcW w:w="1016" w:type="dxa"/>
            <w:shd w:val="clear" w:color="auto" w:fill="auto"/>
          </w:tcPr>
          <w:p w:rsidR="00B424FB" w:rsidRPr="005F1629" w:rsidRDefault="00B424FB" w:rsidP="00E0154C">
            <w:pPr>
              <w:jc w:val="right"/>
              <w:rPr>
                <w:rFonts w:asciiTheme="minorHAnsi" w:hAnsiTheme="minorHAnsi" w:cs="Arial"/>
                <w:b/>
                <w:bCs/>
                <w:sz w:val="22"/>
                <w:szCs w:val="22"/>
              </w:rPr>
            </w:pPr>
            <w:r w:rsidRPr="005F1629">
              <w:rPr>
                <w:rFonts w:asciiTheme="minorHAnsi" w:hAnsiTheme="minorHAnsi" w:cs="Arial"/>
                <w:b/>
                <w:bCs/>
                <w:sz w:val="22"/>
                <w:szCs w:val="22"/>
              </w:rPr>
              <w:t>40 118</w:t>
            </w:r>
          </w:p>
        </w:tc>
        <w:tc>
          <w:tcPr>
            <w:tcW w:w="1016" w:type="dxa"/>
            <w:shd w:val="clear" w:color="auto" w:fill="auto"/>
          </w:tcPr>
          <w:p w:rsidR="00B424FB" w:rsidRPr="005F1629" w:rsidRDefault="00B424FB" w:rsidP="00E0154C">
            <w:pPr>
              <w:jc w:val="right"/>
              <w:rPr>
                <w:rFonts w:asciiTheme="minorHAnsi" w:hAnsiTheme="minorHAnsi" w:cs="Arial"/>
                <w:b/>
                <w:bCs/>
                <w:sz w:val="22"/>
                <w:szCs w:val="22"/>
              </w:rPr>
            </w:pPr>
            <w:r w:rsidRPr="005F1629">
              <w:rPr>
                <w:rFonts w:asciiTheme="minorHAnsi" w:hAnsiTheme="minorHAnsi" w:cs="Arial"/>
                <w:b/>
                <w:bCs/>
                <w:sz w:val="22"/>
                <w:szCs w:val="22"/>
              </w:rPr>
              <w:t>40 151</w:t>
            </w:r>
          </w:p>
        </w:tc>
        <w:tc>
          <w:tcPr>
            <w:tcW w:w="1016" w:type="dxa"/>
            <w:shd w:val="clear" w:color="auto" w:fill="auto"/>
          </w:tcPr>
          <w:p w:rsidR="00B424FB" w:rsidRPr="005F1629" w:rsidRDefault="00B424FB" w:rsidP="00E0154C">
            <w:pPr>
              <w:jc w:val="right"/>
              <w:rPr>
                <w:rFonts w:asciiTheme="minorHAnsi" w:hAnsiTheme="minorHAnsi" w:cs="Arial"/>
                <w:b/>
                <w:bCs/>
                <w:sz w:val="22"/>
                <w:szCs w:val="22"/>
              </w:rPr>
            </w:pPr>
            <w:r w:rsidRPr="005F1629">
              <w:rPr>
                <w:rFonts w:asciiTheme="minorHAnsi" w:hAnsiTheme="minorHAnsi" w:cs="Arial"/>
                <w:b/>
                <w:bCs/>
                <w:sz w:val="22"/>
                <w:szCs w:val="22"/>
              </w:rPr>
              <w:t>40 209</w:t>
            </w:r>
          </w:p>
        </w:tc>
      </w:tr>
    </w:tbl>
    <w:p w:rsidR="00171E69" w:rsidRPr="005F1629" w:rsidRDefault="00171E69" w:rsidP="00537B8A">
      <w:pPr>
        <w:jc w:val="both"/>
        <w:rPr>
          <w:rFonts w:asciiTheme="minorHAnsi" w:hAnsiTheme="minorHAnsi" w:cs="Arial"/>
        </w:rPr>
      </w:pPr>
    </w:p>
    <w:p w:rsidR="006E50AB" w:rsidRPr="005F1629" w:rsidRDefault="004432A1" w:rsidP="007C5D12">
      <w:pPr>
        <w:spacing w:after="240"/>
        <w:ind w:firstLine="426"/>
        <w:jc w:val="both"/>
        <w:rPr>
          <w:rFonts w:asciiTheme="minorHAnsi" w:hAnsiTheme="minorHAnsi" w:cs="Arial"/>
        </w:rPr>
      </w:pPr>
      <w:r w:rsidRPr="005F1629">
        <w:rPr>
          <w:rFonts w:asciiTheme="minorHAnsi" w:hAnsiTheme="minorHAnsi" w:cs="Arial"/>
          <w:b/>
        </w:rPr>
        <w:t>Revizní a kontrolní činnost</w:t>
      </w:r>
      <w:r w:rsidRPr="005F1629">
        <w:rPr>
          <w:rFonts w:asciiTheme="minorHAnsi" w:hAnsiTheme="minorHAnsi" w:cs="Arial"/>
        </w:rPr>
        <w:t xml:space="preserve"> v roce 2014 se bude</w:t>
      </w:r>
      <w:r w:rsidR="00E037F2" w:rsidRPr="005F1629">
        <w:rPr>
          <w:rFonts w:asciiTheme="minorHAnsi" w:hAnsiTheme="minorHAnsi" w:cs="Arial"/>
        </w:rPr>
        <w:t xml:space="preserve"> zaměřovat </w:t>
      </w:r>
      <w:r w:rsidRPr="005F1629">
        <w:rPr>
          <w:rFonts w:asciiTheme="minorHAnsi" w:hAnsiTheme="minorHAnsi" w:cs="Arial"/>
        </w:rPr>
        <w:t xml:space="preserve">zejména </w:t>
      </w:r>
      <w:r w:rsidR="00E037F2" w:rsidRPr="005F1629">
        <w:rPr>
          <w:rFonts w:asciiTheme="minorHAnsi" w:hAnsiTheme="minorHAnsi" w:cs="Arial"/>
        </w:rPr>
        <w:t>na kontrolu oprávněnosti poskytnuté péče u poskytovatelů vykazující</w:t>
      </w:r>
      <w:r w:rsidR="00F721AC" w:rsidRPr="005F1629">
        <w:rPr>
          <w:rFonts w:asciiTheme="minorHAnsi" w:hAnsiTheme="minorHAnsi" w:cs="Arial"/>
        </w:rPr>
        <w:t>ch</w:t>
      </w:r>
      <w:r w:rsidR="00E037F2" w:rsidRPr="005F1629">
        <w:rPr>
          <w:rFonts w:asciiTheme="minorHAnsi" w:hAnsiTheme="minorHAnsi" w:cs="Arial"/>
        </w:rPr>
        <w:t xml:space="preserve"> nestandardní produkci, kontrolu nemocnic, kontrolu nad pracovní databází a na spolupráci s pojištěncem. </w:t>
      </w:r>
    </w:p>
    <w:p w:rsidR="004432A1" w:rsidRPr="005F1629" w:rsidRDefault="004432A1" w:rsidP="007C5D12">
      <w:pPr>
        <w:ind w:firstLine="426"/>
        <w:jc w:val="both"/>
        <w:rPr>
          <w:rFonts w:asciiTheme="minorHAnsi" w:hAnsiTheme="minorHAnsi" w:cs="Arial"/>
          <w:bCs/>
          <w:spacing w:val="-4"/>
        </w:rPr>
      </w:pPr>
      <w:r w:rsidRPr="005F1629">
        <w:rPr>
          <w:rFonts w:asciiTheme="minorHAnsi" w:hAnsiTheme="minorHAnsi" w:cs="Arial"/>
          <w:b/>
          <w:bCs/>
          <w:spacing w:val="-4"/>
        </w:rPr>
        <w:t>Struktura a výše nákladů</w:t>
      </w:r>
      <w:r w:rsidRPr="005F1629">
        <w:rPr>
          <w:rFonts w:asciiTheme="minorHAnsi" w:hAnsiTheme="minorHAnsi" w:cs="Arial"/>
          <w:bCs/>
          <w:spacing w:val="-4"/>
        </w:rPr>
        <w:t xml:space="preserve"> na zdravotní služby je určena zejména na základě vývoje v minulých obdobích, očekávaného růstu počtu pojištěnců a návrhu úhradové vyhlášky.</w:t>
      </w:r>
    </w:p>
    <w:p w:rsidR="006E2147" w:rsidRPr="005F1629" w:rsidRDefault="006E50AB" w:rsidP="007C5D12">
      <w:pPr>
        <w:ind w:firstLine="426"/>
        <w:jc w:val="both"/>
        <w:rPr>
          <w:rFonts w:asciiTheme="minorHAnsi" w:hAnsiTheme="minorHAnsi" w:cs="Arial"/>
        </w:rPr>
      </w:pPr>
      <w:r w:rsidRPr="005F1629">
        <w:rPr>
          <w:rFonts w:asciiTheme="minorHAnsi" w:hAnsiTheme="minorHAnsi" w:cs="Arial"/>
          <w:b/>
        </w:rPr>
        <w:t>Celkové náklady na zdravotní služby</w:t>
      </w:r>
      <w:r w:rsidRPr="005F1629">
        <w:rPr>
          <w:rFonts w:asciiTheme="minorHAnsi" w:hAnsiTheme="minorHAnsi" w:cs="Arial"/>
        </w:rPr>
        <w:t xml:space="preserve"> čerpané ze ZFZP plánuje VZP ČR ve výši 142 244 mil. Kč, což představuje meziroční nárůst o 2,15 % oproti </w:t>
      </w:r>
      <w:r w:rsidR="004432A1" w:rsidRPr="005F1629">
        <w:rPr>
          <w:rFonts w:asciiTheme="minorHAnsi" w:hAnsiTheme="minorHAnsi" w:cs="Arial"/>
        </w:rPr>
        <w:t>očekávané skutečnosti roku 2013</w:t>
      </w:r>
      <w:r w:rsidR="001F1038" w:rsidRPr="005F1629">
        <w:rPr>
          <w:rFonts w:asciiTheme="minorHAnsi" w:hAnsiTheme="minorHAnsi" w:cs="Arial"/>
        </w:rPr>
        <w:t xml:space="preserve"> (Tabulka č. 2 a 3)</w:t>
      </w:r>
      <w:r w:rsidR="004432A1" w:rsidRPr="005F1629">
        <w:rPr>
          <w:rFonts w:asciiTheme="minorHAnsi" w:hAnsiTheme="minorHAnsi" w:cs="Arial"/>
        </w:rPr>
        <w:t>.</w:t>
      </w:r>
      <w:r w:rsidR="00E42669" w:rsidRPr="005F1629">
        <w:rPr>
          <w:rFonts w:asciiTheme="minorHAnsi" w:hAnsiTheme="minorHAnsi" w:cs="Arial"/>
        </w:rPr>
        <w:t xml:space="preserve"> </w:t>
      </w:r>
      <w:r w:rsidRPr="005F1629">
        <w:rPr>
          <w:rFonts w:asciiTheme="minorHAnsi" w:hAnsiTheme="minorHAnsi" w:cs="Arial"/>
          <w:b/>
        </w:rPr>
        <w:t>Průměrné náklady</w:t>
      </w:r>
      <w:r w:rsidRPr="005F1629">
        <w:rPr>
          <w:rFonts w:asciiTheme="minorHAnsi" w:hAnsiTheme="minorHAnsi" w:cs="Arial"/>
        </w:rPr>
        <w:t xml:space="preserve"> na zdravotní služby na 1 pojištěnce jsou plánovány ve výši 23 842 Kč, což v meziročním porovnání znamená nárůst o 4,2 %.</w:t>
      </w:r>
      <w:r w:rsidR="001F1038" w:rsidRPr="005F1629">
        <w:rPr>
          <w:rFonts w:asciiTheme="minorHAnsi" w:hAnsiTheme="minorHAnsi" w:cs="Arial"/>
        </w:rPr>
        <w:t xml:space="preserve"> Pro rok 2014 jsou tedy plánovány nejvyšší průměrné náklady na pojištěnce posledních několika let</w:t>
      </w:r>
      <w:r w:rsidR="003973E8" w:rsidRPr="005F1629">
        <w:rPr>
          <w:rFonts w:asciiTheme="minorHAnsi" w:hAnsiTheme="minorHAnsi" w:cs="Arial"/>
        </w:rPr>
        <w:t xml:space="preserve">, což </w:t>
      </w:r>
      <w:r w:rsidR="00037ABA" w:rsidRPr="005F1629">
        <w:rPr>
          <w:rFonts w:asciiTheme="minorHAnsi" w:hAnsiTheme="minorHAnsi" w:cs="Arial"/>
        </w:rPr>
        <w:t>lze</w:t>
      </w:r>
      <w:r w:rsidR="003A7605" w:rsidRPr="005F1629">
        <w:rPr>
          <w:rFonts w:asciiTheme="minorHAnsi" w:hAnsiTheme="minorHAnsi" w:cs="Arial"/>
        </w:rPr>
        <w:t xml:space="preserve"> vidět v G</w:t>
      </w:r>
      <w:r w:rsidR="003973E8" w:rsidRPr="005F1629">
        <w:rPr>
          <w:rFonts w:asciiTheme="minorHAnsi" w:hAnsiTheme="minorHAnsi" w:cs="Arial"/>
        </w:rPr>
        <w:t xml:space="preserve">rafu </w:t>
      </w:r>
      <w:r w:rsidR="00F721AC" w:rsidRPr="005F1629">
        <w:rPr>
          <w:rFonts w:asciiTheme="minorHAnsi" w:hAnsiTheme="minorHAnsi" w:cs="Arial"/>
        </w:rPr>
        <w:t>č. 1</w:t>
      </w:r>
      <w:r w:rsidR="00037ABA" w:rsidRPr="005F1629">
        <w:rPr>
          <w:rFonts w:asciiTheme="minorHAnsi" w:hAnsiTheme="minorHAnsi" w:cs="Arial"/>
        </w:rPr>
        <w:t xml:space="preserve"> </w:t>
      </w:r>
      <w:r w:rsidR="003973E8" w:rsidRPr="005F1629">
        <w:rPr>
          <w:rFonts w:asciiTheme="minorHAnsi" w:hAnsiTheme="minorHAnsi" w:cs="Arial"/>
        </w:rPr>
        <w:t xml:space="preserve">či </w:t>
      </w:r>
      <w:r w:rsidR="00037ABA" w:rsidRPr="005F1629">
        <w:rPr>
          <w:rFonts w:asciiTheme="minorHAnsi" w:hAnsiTheme="minorHAnsi" w:cs="Arial"/>
        </w:rPr>
        <w:t xml:space="preserve">v </w:t>
      </w:r>
      <w:r w:rsidR="003A7605" w:rsidRPr="005F1629">
        <w:rPr>
          <w:rFonts w:asciiTheme="minorHAnsi" w:hAnsiTheme="minorHAnsi" w:cs="Arial"/>
        </w:rPr>
        <w:t>T</w:t>
      </w:r>
      <w:r w:rsidR="003973E8" w:rsidRPr="005F1629">
        <w:rPr>
          <w:rFonts w:asciiTheme="minorHAnsi" w:hAnsiTheme="minorHAnsi" w:cs="Arial"/>
        </w:rPr>
        <w:t>abulce č. 4</w:t>
      </w:r>
      <w:r w:rsidR="001F1038" w:rsidRPr="005F1629">
        <w:rPr>
          <w:rFonts w:asciiTheme="minorHAnsi" w:hAnsiTheme="minorHAnsi" w:cs="Arial"/>
        </w:rPr>
        <w:t>.</w:t>
      </w:r>
    </w:p>
    <w:p w:rsidR="00537B8A" w:rsidRPr="00537B8A" w:rsidRDefault="003973E8" w:rsidP="007C5D12">
      <w:pPr>
        <w:spacing w:after="240"/>
        <w:ind w:firstLine="426"/>
        <w:jc w:val="both"/>
        <w:rPr>
          <w:rFonts w:asciiTheme="minorHAnsi" w:hAnsiTheme="minorHAnsi" w:cs="Arial"/>
          <w:bCs/>
        </w:rPr>
      </w:pPr>
      <w:r w:rsidRPr="005F1629">
        <w:rPr>
          <w:rFonts w:asciiTheme="minorHAnsi" w:hAnsiTheme="minorHAnsi" w:cs="Arial"/>
        </w:rPr>
        <w:t xml:space="preserve">Tento signifikantní nárůst je dán zejména nárůstem </w:t>
      </w:r>
      <w:r w:rsidR="00920DEF">
        <w:rPr>
          <w:rFonts w:asciiTheme="minorHAnsi" w:hAnsiTheme="minorHAnsi" w:cs="Arial"/>
        </w:rPr>
        <w:t>v objemově největším segmentu</w:t>
      </w:r>
      <w:r w:rsidRPr="005F1629">
        <w:rPr>
          <w:rFonts w:asciiTheme="minorHAnsi" w:hAnsiTheme="minorHAnsi" w:cs="Arial"/>
        </w:rPr>
        <w:t xml:space="preserve">, </w:t>
      </w:r>
      <w:r w:rsidRPr="005F1629">
        <w:rPr>
          <w:rFonts w:asciiTheme="minorHAnsi" w:hAnsiTheme="minorHAnsi" w:cs="Arial"/>
          <w:b/>
        </w:rPr>
        <w:t>segment</w:t>
      </w:r>
      <w:r w:rsidR="00F721AC" w:rsidRPr="005F1629">
        <w:rPr>
          <w:rFonts w:asciiTheme="minorHAnsi" w:hAnsiTheme="minorHAnsi" w:cs="Arial"/>
          <w:b/>
        </w:rPr>
        <w:t>u</w:t>
      </w:r>
      <w:r w:rsidRPr="005F1629">
        <w:rPr>
          <w:rFonts w:asciiTheme="minorHAnsi" w:hAnsiTheme="minorHAnsi" w:cs="Arial"/>
          <w:b/>
        </w:rPr>
        <w:t xml:space="preserve"> lůžkové péče</w:t>
      </w:r>
      <w:r w:rsidRPr="005F1629">
        <w:rPr>
          <w:rFonts w:asciiTheme="minorHAnsi" w:hAnsiTheme="minorHAnsi" w:cs="Arial"/>
        </w:rPr>
        <w:t>, kde VZP</w:t>
      </w:r>
      <w:r w:rsidR="00A04661" w:rsidRPr="005F1629">
        <w:rPr>
          <w:rFonts w:asciiTheme="minorHAnsi" w:hAnsiTheme="minorHAnsi" w:cs="Arial"/>
        </w:rPr>
        <w:t xml:space="preserve"> ČR</w:t>
      </w:r>
      <w:r w:rsidRPr="005F1629">
        <w:rPr>
          <w:rFonts w:asciiTheme="minorHAnsi" w:hAnsiTheme="minorHAnsi" w:cs="Arial"/>
        </w:rPr>
        <w:t xml:space="preserve"> plánuje nárůst nákladů o 4,97</w:t>
      </w:r>
      <w:r w:rsidR="00A04661" w:rsidRPr="005F1629">
        <w:rPr>
          <w:rFonts w:asciiTheme="minorHAnsi" w:hAnsiTheme="minorHAnsi" w:cs="Arial"/>
        </w:rPr>
        <w:t> </w:t>
      </w:r>
      <w:r w:rsidRPr="005F1629">
        <w:rPr>
          <w:rFonts w:asciiTheme="minorHAnsi" w:hAnsiTheme="minorHAnsi" w:cs="Arial"/>
        </w:rPr>
        <w:t>% na 76 569 mil. Kč.</w:t>
      </w:r>
      <w:r w:rsidR="00763F49" w:rsidRPr="005F1629">
        <w:rPr>
          <w:rFonts w:asciiTheme="minorHAnsi" w:hAnsiTheme="minorHAnsi" w:cs="Arial"/>
        </w:rPr>
        <w:t xml:space="preserve"> Předpokládané zvýšení nákladů na lůžkovou péči je dán</w:t>
      </w:r>
      <w:r w:rsidR="00A04661" w:rsidRPr="005F1629">
        <w:rPr>
          <w:rFonts w:asciiTheme="minorHAnsi" w:hAnsiTheme="minorHAnsi" w:cs="Arial"/>
        </w:rPr>
        <w:t>o</w:t>
      </w:r>
      <w:r w:rsidR="00763F49" w:rsidRPr="005F1629">
        <w:rPr>
          <w:rFonts w:asciiTheme="minorHAnsi" w:hAnsiTheme="minorHAnsi" w:cs="Arial"/>
        </w:rPr>
        <w:t xml:space="preserve"> zejména novou úhradovou vyhláškou.</w:t>
      </w:r>
      <w:r w:rsidR="00037ABA" w:rsidRPr="005F1629">
        <w:rPr>
          <w:rFonts w:asciiTheme="minorHAnsi" w:hAnsiTheme="minorHAnsi" w:cs="Arial"/>
        </w:rPr>
        <w:t xml:space="preserve"> </w:t>
      </w:r>
      <w:r w:rsidRPr="005F1629">
        <w:rPr>
          <w:rFonts w:asciiTheme="minorHAnsi" w:hAnsiTheme="minorHAnsi" w:cs="Arial"/>
          <w:b/>
          <w:bCs/>
        </w:rPr>
        <w:t>Segment ambulantní péče</w:t>
      </w:r>
      <w:r w:rsidRPr="005F1629">
        <w:rPr>
          <w:rFonts w:asciiTheme="minorHAnsi" w:hAnsiTheme="minorHAnsi" w:cs="Arial"/>
          <w:bCs/>
        </w:rPr>
        <w:t xml:space="preserve"> </w:t>
      </w:r>
      <w:r w:rsidR="00920DEF">
        <w:rPr>
          <w:rFonts w:asciiTheme="minorHAnsi" w:hAnsiTheme="minorHAnsi" w:cs="Arial"/>
        </w:rPr>
        <w:t>vykazoval rostoucí</w:t>
      </w:r>
      <w:r w:rsidRPr="005F1629">
        <w:rPr>
          <w:rFonts w:asciiTheme="minorHAnsi" w:hAnsiTheme="minorHAnsi" w:cs="Arial"/>
        </w:rPr>
        <w:t xml:space="preserve"> trend v minulých letech. Dle ZPP </w:t>
      </w:r>
      <w:r w:rsidR="00920DEF">
        <w:rPr>
          <w:rFonts w:asciiTheme="minorHAnsi" w:hAnsiTheme="minorHAnsi" w:cs="Arial"/>
        </w:rPr>
        <w:t xml:space="preserve">2014 </w:t>
      </w:r>
      <w:r w:rsidRPr="005F1629">
        <w:rPr>
          <w:rFonts w:asciiTheme="minorHAnsi" w:hAnsiTheme="minorHAnsi" w:cs="Arial"/>
        </w:rPr>
        <w:t xml:space="preserve">dojde </w:t>
      </w:r>
      <w:r w:rsidR="00920DEF">
        <w:rPr>
          <w:rFonts w:asciiTheme="minorHAnsi" w:hAnsiTheme="minorHAnsi" w:cs="Arial"/>
        </w:rPr>
        <w:t>v tomto roce</w:t>
      </w:r>
      <w:r w:rsidRPr="005F1629">
        <w:rPr>
          <w:rFonts w:asciiTheme="minorHAnsi" w:hAnsiTheme="minorHAnsi" w:cs="Arial"/>
        </w:rPr>
        <w:t xml:space="preserve"> jen k mírnému poklesu celkových nákladů na tento segment oproti očekávané skutečnosti roku 2013</w:t>
      </w:r>
      <w:r w:rsidRPr="005F1629">
        <w:rPr>
          <w:rFonts w:asciiTheme="minorHAnsi" w:hAnsiTheme="minorHAnsi" w:cs="Arial"/>
          <w:bCs/>
        </w:rPr>
        <w:t>. Avšak v přepočtu na jednoho pojištěnce lze i na</w:t>
      </w:r>
      <w:r w:rsidR="00037ABA" w:rsidRPr="005F1629">
        <w:rPr>
          <w:rFonts w:asciiTheme="minorHAnsi" w:hAnsiTheme="minorHAnsi" w:cs="Arial"/>
          <w:bCs/>
        </w:rPr>
        <w:t xml:space="preserve">dále, v roce 2014, pozorovat </w:t>
      </w:r>
      <w:r w:rsidR="003A7605" w:rsidRPr="005F1629">
        <w:rPr>
          <w:rFonts w:asciiTheme="minorHAnsi" w:hAnsiTheme="minorHAnsi" w:cs="Arial"/>
          <w:bCs/>
        </w:rPr>
        <w:t>rostoucí trend (T</w:t>
      </w:r>
      <w:r w:rsidRPr="005F1629">
        <w:rPr>
          <w:rFonts w:asciiTheme="minorHAnsi" w:hAnsiTheme="minorHAnsi" w:cs="Arial"/>
          <w:bCs/>
        </w:rPr>
        <w:t>abulka č. 3</w:t>
      </w:r>
      <w:r w:rsidR="00F721AC" w:rsidRPr="005F1629">
        <w:rPr>
          <w:rFonts w:asciiTheme="minorHAnsi" w:hAnsiTheme="minorHAnsi" w:cs="Arial"/>
          <w:bCs/>
        </w:rPr>
        <w:t xml:space="preserve"> a Graf č. 2</w:t>
      </w:r>
      <w:r w:rsidRPr="005F1629">
        <w:rPr>
          <w:rFonts w:asciiTheme="minorHAnsi" w:hAnsiTheme="minorHAnsi" w:cs="Arial"/>
          <w:bCs/>
        </w:rPr>
        <w:t>).</w:t>
      </w:r>
    </w:p>
    <w:p w:rsidR="001E0C88" w:rsidRPr="005F1629" w:rsidRDefault="006E2147" w:rsidP="005E08FD">
      <w:pPr>
        <w:jc w:val="both"/>
        <w:rPr>
          <w:rFonts w:asciiTheme="minorHAnsi" w:hAnsiTheme="minorHAnsi" w:cs="Arial"/>
        </w:rPr>
      </w:pPr>
      <w:r w:rsidRPr="005F1629">
        <w:rPr>
          <w:rFonts w:asciiTheme="minorHAnsi" w:hAnsiTheme="minorHAnsi" w:cs="Arial"/>
        </w:rPr>
        <w:t>Tabulka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033F81" w:rsidRPr="005F1629" w:rsidTr="0061727A">
        <w:tc>
          <w:tcPr>
            <w:tcW w:w="1951" w:type="dxa"/>
            <w:shd w:val="solid" w:color="000080" w:fill="FFFFFF"/>
          </w:tcPr>
          <w:p w:rsidR="00033F81" w:rsidRPr="005F1629" w:rsidRDefault="00033F81" w:rsidP="00E0154C">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61727A"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033F81" w:rsidRPr="005F1629" w:rsidRDefault="007470F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61727A"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033F81" w:rsidRPr="005F1629" w:rsidRDefault="007470F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61727A"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033F81" w:rsidRPr="005F1629" w:rsidRDefault="007470F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61727A"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033F81" w:rsidRPr="005F1629" w:rsidRDefault="007470F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61727A"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033F81" w:rsidRPr="005F1629" w:rsidRDefault="007470F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61727A" w:rsidRPr="005F1629" w:rsidRDefault="0061727A"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61727A"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w:t>
            </w:r>
            <w:r w:rsidR="006E50AB" w:rsidRPr="005F1629">
              <w:rPr>
                <w:rFonts w:asciiTheme="minorHAnsi" w:hAnsiTheme="minorHAnsi" w:cs="Arial"/>
                <w:b/>
                <w:bCs/>
                <w:color w:val="FFFFFF"/>
                <w:sz w:val="22"/>
                <w:szCs w:val="22"/>
              </w:rPr>
              <w:t>4</w:t>
            </w:r>
          </w:p>
          <w:p w:rsidR="00033F81" w:rsidRPr="005F1629" w:rsidRDefault="007470F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61727A" w:rsidRPr="005F1629" w:rsidRDefault="00F721AC"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(ZZP</w:t>
            </w:r>
            <w:r w:rsidR="0061727A" w:rsidRPr="005F1629">
              <w:rPr>
                <w:rFonts w:asciiTheme="minorHAnsi" w:hAnsiTheme="minorHAnsi" w:cs="Arial"/>
                <w:b/>
                <w:bCs/>
                <w:color w:val="FFFFFF"/>
                <w:sz w:val="22"/>
                <w:szCs w:val="22"/>
              </w:rPr>
              <w:t>)</w:t>
            </w:r>
          </w:p>
        </w:tc>
      </w:tr>
      <w:tr w:rsidR="00033F81" w:rsidRPr="005F1629" w:rsidTr="00A23007">
        <w:tc>
          <w:tcPr>
            <w:tcW w:w="1951"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32 761</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32 939</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34 486</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34 639</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34 788</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34 780</w:t>
            </w:r>
          </w:p>
        </w:tc>
      </w:tr>
      <w:tr w:rsidR="00033F81" w:rsidRPr="005F1629" w:rsidTr="00A23007">
        <w:tc>
          <w:tcPr>
            <w:tcW w:w="1951"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74 345</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75 924</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76 933</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76 596</w:t>
            </w:r>
          </w:p>
        </w:tc>
        <w:tc>
          <w:tcPr>
            <w:tcW w:w="1228" w:type="dxa"/>
            <w:shd w:val="clear" w:color="auto" w:fill="auto"/>
            <w:vAlign w:val="bottom"/>
          </w:tcPr>
          <w:p w:rsidR="007470F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72 943</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76 569</w:t>
            </w:r>
          </w:p>
        </w:tc>
      </w:tr>
      <w:tr w:rsidR="00033F81" w:rsidRPr="005F1629" w:rsidTr="00A23007">
        <w:tc>
          <w:tcPr>
            <w:tcW w:w="1951"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32 979</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31 451</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31 451</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32 511</w:t>
            </w:r>
          </w:p>
        </w:tc>
        <w:tc>
          <w:tcPr>
            <w:tcW w:w="1228"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31 513</w:t>
            </w:r>
          </w:p>
        </w:tc>
        <w:tc>
          <w:tcPr>
            <w:tcW w:w="1229" w:type="dxa"/>
            <w:shd w:val="clear" w:color="auto" w:fill="auto"/>
            <w:vAlign w:val="bottom"/>
          </w:tcPr>
          <w:p w:rsidR="00033F81" w:rsidRPr="005F1629" w:rsidRDefault="007470F1" w:rsidP="00A23007">
            <w:pPr>
              <w:jc w:val="right"/>
              <w:rPr>
                <w:rFonts w:asciiTheme="minorHAnsi" w:hAnsiTheme="minorHAnsi" w:cs="Arial"/>
                <w:sz w:val="22"/>
                <w:szCs w:val="22"/>
              </w:rPr>
            </w:pPr>
            <w:r w:rsidRPr="005F1629">
              <w:rPr>
                <w:rFonts w:asciiTheme="minorHAnsi" w:hAnsiTheme="minorHAnsi" w:cs="Arial"/>
                <w:sz w:val="22"/>
                <w:szCs w:val="22"/>
              </w:rPr>
              <w:t>30 895</w:t>
            </w:r>
          </w:p>
        </w:tc>
      </w:tr>
      <w:tr w:rsidR="00033F81" w:rsidRPr="005F1629" w:rsidTr="00A23007">
        <w:tc>
          <w:tcPr>
            <w:tcW w:w="1951"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033F81" w:rsidRPr="005F1629" w:rsidRDefault="007470F1" w:rsidP="00A23007">
            <w:pPr>
              <w:jc w:val="right"/>
              <w:rPr>
                <w:rFonts w:asciiTheme="minorHAnsi" w:hAnsiTheme="minorHAnsi" w:cs="Arial"/>
                <w:b/>
                <w:sz w:val="22"/>
                <w:szCs w:val="22"/>
              </w:rPr>
            </w:pPr>
            <w:r w:rsidRPr="005F1629">
              <w:rPr>
                <w:rFonts w:asciiTheme="minorHAnsi" w:hAnsiTheme="minorHAnsi" w:cs="Arial"/>
                <w:b/>
                <w:sz w:val="22"/>
                <w:szCs w:val="22"/>
              </w:rPr>
              <w:t>140 085</w:t>
            </w:r>
          </w:p>
        </w:tc>
        <w:tc>
          <w:tcPr>
            <w:tcW w:w="1229" w:type="dxa"/>
            <w:shd w:val="clear" w:color="auto" w:fill="auto"/>
            <w:vAlign w:val="bottom"/>
          </w:tcPr>
          <w:p w:rsidR="00033F81" w:rsidRPr="005F1629" w:rsidRDefault="007470F1" w:rsidP="00A23007">
            <w:pPr>
              <w:jc w:val="right"/>
              <w:rPr>
                <w:rFonts w:asciiTheme="minorHAnsi" w:hAnsiTheme="minorHAnsi" w:cs="Arial"/>
                <w:b/>
                <w:sz w:val="22"/>
                <w:szCs w:val="22"/>
              </w:rPr>
            </w:pPr>
            <w:r w:rsidRPr="005F1629">
              <w:rPr>
                <w:rFonts w:asciiTheme="minorHAnsi" w:hAnsiTheme="minorHAnsi" w:cs="Arial"/>
                <w:b/>
                <w:sz w:val="22"/>
                <w:szCs w:val="22"/>
              </w:rPr>
              <w:t>140 314</w:t>
            </w:r>
          </w:p>
        </w:tc>
        <w:tc>
          <w:tcPr>
            <w:tcW w:w="1228" w:type="dxa"/>
            <w:shd w:val="clear" w:color="auto" w:fill="auto"/>
            <w:vAlign w:val="bottom"/>
          </w:tcPr>
          <w:p w:rsidR="00033F81" w:rsidRPr="005F1629" w:rsidRDefault="007470F1" w:rsidP="00A23007">
            <w:pPr>
              <w:jc w:val="right"/>
              <w:rPr>
                <w:rFonts w:asciiTheme="minorHAnsi" w:hAnsiTheme="minorHAnsi" w:cs="Arial"/>
                <w:b/>
                <w:sz w:val="22"/>
                <w:szCs w:val="22"/>
              </w:rPr>
            </w:pPr>
            <w:r w:rsidRPr="005F1629">
              <w:rPr>
                <w:rFonts w:asciiTheme="minorHAnsi" w:hAnsiTheme="minorHAnsi" w:cs="Arial"/>
                <w:b/>
                <w:sz w:val="22"/>
                <w:szCs w:val="22"/>
              </w:rPr>
              <w:t>142 869</w:t>
            </w:r>
          </w:p>
        </w:tc>
        <w:tc>
          <w:tcPr>
            <w:tcW w:w="1229" w:type="dxa"/>
            <w:shd w:val="clear" w:color="auto" w:fill="auto"/>
            <w:vAlign w:val="bottom"/>
          </w:tcPr>
          <w:p w:rsidR="00033F81" w:rsidRPr="005F1629" w:rsidRDefault="007470F1" w:rsidP="00A23007">
            <w:pPr>
              <w:jc w:val="right"/>
              <w:rPr>
                <w:rFonts w:asciiTheme="minorHAnsi" w:hAnsiTheme="minorHAnsi" w:cs="Arial"/>
                <w:b/>
                <w:sz w:val="22"/>
                <w:szCs w:val="22"/>
              </w:rPr>
            </w:pPr>
            <w:r w:rsidRPr="005F1629">
              <w:rPr>
                <w:rFonts w:asciiTheme="minorHAnsi" w:hAnsiTheme="minorHAnsi" w:cs="Arial"/>
                <w:b/>
                <w:sz w:val="22"/>
                <w:szCs w:val="22"/>
              </w:rPr>
              <w:t>143 746</w:t>
            </w:r>
          </w:p>
        </w:tc>
        <w:tc>
          <w:tcPr>
            <w:tcW w:w="1228" w:type="dxa"/>
            <w:shd w:val="clear" w:color="auto" w:fill="auto"/>
            <w:vAlign w:val="bottom"/>
          </w:tcPr>
          <w:p w:rsidR="00033F81" w:rsidRPr="005F1629" w:rsidRDefault="007470F1" w:rsidP="00A23007">
            <w:pPr>
              <w:jc w:val="right"/>
              <w:rPr>
                <w:rFonts w:asciiTheme="minorHAnsi" w:hAnsiTheme="minorHAnsi" w:cs="Arial"/>
                <w:b/>
                <w:sz w:val="22"/>
                <w:szCs w:val="22"/>
              </w:rPr>
            </w:pPr>
            <w:r w:rsidRPr="005F1629">
              <w:rPr>
                <w:rFonts w:asciiTheme="minorHAnsi" w:hAnsiTheme="minorHAnsi" w:cs="Arial"/>
                <w:b/>
                <w:sz w:val="22"/>
                <w:szCs w:val="22"/>
              </w:rPr>
              <w:t>139 244</w:t>
            </w:r>
          </w:p>
        </w:tc>
        <w:tc>
          <w:tcPr>
            <w:tcW w:w="1229" w:type="dxa"/>
            <w:shd w:val="clear" w:color="auto" w:fill="auto"/>
            <w:vAlign w:val="bottom"/>
          </w:tcPr>
          <w:p w:rsidR="00033F81" w:rsidRPr="005F1629" w:rsidRDefault="007470F1" w:rsidP="00A23007">
            <w:pPr>
              <w:jc w:val="right"/>
              <w:rPr>
                <w:rFonts w:asciiTheme="minorHAnsi" w:hAnsiTheme="minorHAnsi" w:cs="Arial"/>
                <w:b/>
                <w:sz w:val="22"/>
                <w:szCs w:val="22"/>
              </w:rPr>
            </w:pPr>
            <w:r w:rsidRPr="005F1629">
              <w:rPr>
                <w:rFonts w:asciiTheme="minorHAnsi" w:hAnsiTheme="minorHAnsi" w:cs="Arial"/>
                <w:b/>
                <w:sz w:val="22"/>
                <w:szCs w:val="22"/>
              </w:rPr>
              <w:t>142 244</w:t>
            </w:r>
          </w:p>
        </w:tc>
      </w:tr>
    </w:tbl>
    <w:p w:rsidR="00DD62CF" w:rsidRPr="005F1629" w:rsidRDefault="00DD62CF" w:rsidP="0061727A">
      <w:pPr>
        <w:jc w:val="both"/>
        <w:rPr>
          <w:rFonts w:asciiTheme="minorHAnsi" w:hAnsiTheme="minorHAnsi" w:cs="Arial"/>
        </w:rPr>
      </w:pPr>
    </w:p>
    <w:p w:rsidR="00503B50" w:rsidRDefault="00503B50" w:rsidP="0061727A">
      <w:pPr>
        <w:jc w:val="both"/>
        <w:rPr>
          <w:rFonts w:asciiTheme="minorHAnsi" w:hAnsiTheme="minorHAnsi" w:cs="Arial"/>
        </w:rPr>
      </w:pPr>
    </w:p>
    <w:p w:rsidR="006E2147" w:rsidRPr="005F1629" w:rsidRDefault="006E2147" w:rsidP="0061727A">
      <w:pPr>
        <w:jc w:val="both"/>
        <w:rPr>
          <w:rFonts w:asciiTheme="minorHAnsi" w:hAnsiTheme="minorHAnsi" w:cs="Arial"/>
        </w:rPr>
      </w:pPr>
      <w:r w:rsidRPr="005F1629">
        <w:rPr>
          <w:rFonts w:asciiTheme="minorHAnsi" w:hAnsiTheme="minorHAnsi" w:cs="Arial"/>
        </w:rPr>
        <w:lastRenderedPageBreak/>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033F81" w:rsidRPr="005F1629" w:rsidTr="0061727A">
        <w:tc>
          <w:tcPr>
            <w:tcW w:w="1535" w:type="dxa"/>
            <w:shd w:val="solid" w:color="000080" w:fill="FFFFFF"/>
          </w:tcPr>
          <w:p w:rsidR="00033F81"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033F81"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0818D6" w:rsidRPr="005F1629" w:rsidRDefault="000818D6"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033F81"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0818D6" w:rsidRPr="005F1629" w:rsidRDefault="000818D6"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033F81"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0818D6" w:rsidRPr="005F1629" w:rsidRDefault="000818D6"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033F81"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0818D6" w:rsidRPr="005F1629" w:rsidRDefault="000818D6"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033F81" w:rsidRPr="005F1629" w:rsidRDefault="00033F81"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0818D6" w:rsidRPr="005F1629" w:rsidRDefault="000818D6" w:rsidP="0061727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033F81" w:rsidRPr="005F1629" w:rsidTr="00A23007">
        <w:tc>
          <w:tcPr>
            <w:tcW w:w="1535"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100,54</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104,70</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100,44</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100,43</w:t>
            </w:r>
          </w:p>
        </w:tc>
        <w:tc>
          <w:tcPr>
            <w:tcW w:w="1647"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99,98</w:t>
            </w:r>
          </w:p>
        </w:tc>
      </w:tr>
      <w:tr w:rsidR="00033F81" w:rsidRPr="005F1629" w:rsidTr="00A23007">
        <w:tc>
          <w:tcPr>
            <w:tcW w:w="1535"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102,12</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101,33</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99,56</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95,23</w:t>
            </w:r>
          </w:p>
        </w:tc>
        <w:tc>
          <w:tcPr>
            <w:tcW w:w="1647"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104,97</w:t>
            </w:r>
          </w:p>
        </w:tc>
      </w:tr>
      <w:tr w:rsidR="00033F81" w:rsidRPr="005F1629" w:rsidTr="00A23007">
        <w:tc>
          <w:tcPr>
            <w:tcW w:w="1535"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95,37</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100</w:t>
            </w:r>
            <w:r w:rsidR="004F6633" w:rsidRPr="005F1629">
              <w:rPr>
                <w:rFonts w:asciiTheme="minorHAnsi" w:hAnsiTheme="minorHAnsi" w:cs="Arial"/>
                <w:sz w:val="22"/>
                <w:szCs w:val="22"/>
              </w:rPr>
              <w:t>,00</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100,34</w:t>
            </w:r>
          </w:p>
        </w:tc>
        <w:tc>
          <w:tcPr>
            <w:tcW w:w="1535"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96,93</w:t>
            </w:r>
          </w:p>
        </w:tc>
        <w:tc>
          <w:tcPr>
            <w:tcW w:w="1647" w:type="dxa"/>
            <w:shd w:val="clear" w:color="auto" w:fill="auto"/>
            <w:vAlign w:val="bottom"/>
          </w:tcPr>
          <w:p w:rsidR="00033F81" w:rsidRPr="005F1629" w:rsidRDefault="0026535F" w:rsidP="00A23007">
            <w:pPr>
              <w:jc w:val="right"/>
              <w:rPr>
                <w:rFonts w:asciiTheme="minorHAnsi" w:hAnsiTheme="minorHAnsi" w:cs="Arial"/>
                <w:sz w:val="22"/>
                <w:szCs w:val="22"/>
              </w:rPr>
            </w:pPr>
            <w:r w:rsidRPr="005F1629">
              <w:rPr>
                <w:rFonts w:asciiTheme="minorHAnsi" w:hAnsiTheme="minorHAnsi" w:cs="Arial"/>
                <w:sz w:val="22"/>
                <w:szCs w:val="22"/>
              </w:rPr>
              <w:t>98,04</w:t>
            </w:r>
          </w:p>
        </w:tc>
      </w:tr>
      <w:tr w:rsidR="00033F81" w:rsidRPr="005F1629" w:rsidTr="00A23007">
        <w:tc>
          <w:tcPr>
            <w:tcW w:w="1535" w:type="dxa"/>
            <w:shd w:val="clear" w:color="auto" w:fill="auto"/>
          </w:tcPr>
          <w:p w:rsidR="00033F81" w:rsidRPr="005F1629" w:rsidRDefault="00033F81" w:rsidP="0061727A">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033F81" w:rsidRPr="005F1629" w:rsidRDefault="0026535F" w:rsidP="00A23007">
            <w:pPr>
              <w:jc w:val="right"/>
              <w:rPr>
                <w:rFonts w:asciiTheme="minorHAnsi" w:hAnsiTheme="minorHAnsi" w:cs="Arial"/>
                <w:b/>
                <w:sz w:val="22"/>
                <w:szCs w:val="22"/>
              </w:rPr>
            </w:pPr>
            <w:r w:rsidRPr="005F1629">
              <w:rPr>
                <w:rFonts w:asciiTheme="minorHAnsi" w:hAnsiTheme="minorHAnsi" w:cs="Arial"/>
                <w:b/>
                <w:sz w:val="22"/>
                <w:szCs w:val="22"/>
              </w:rPr>
              <w:t>100,16</w:t>
            </w:r>
          </w:p>
        </w:tc>
        <w:tc>
          <w:tcPr>
            <w:tcW w:w="1535" w:type="dxa"/>
            <w:shd w:val="clear" w:color="auto" w:fill="auto"/>
            <w:vAlign w:val="bottom"/>
          </w:tcPr>
          <w:p w:rsidR="00033F81" w:rsidRPr="005F1629" w:rsidRDefault="0026535F" w:rsidP="00A23007">
            <w:pPr>
              <w:jc w:val="right"/>
              <w:rPr>
                <w:rFonts w:asciiTheme="minorHAnsi" w:hAnsiTheme="minorHAnsi" w:cs="Arial"/>
                <w:b/>
                <w:sz w:val="22"/>
                <w:szCs w:val="22"/>
              </w:rPr>
            </w:pPr>
            <w:r w:rsidRPr="005F1629">
              <w:rPr>
                <w:rFonts w:asciiTheme="minorHAnsi" w:hAnsiTheme="minorHAnsi" w:cs="Arial"/>
                <w:b/>
                <w:sz w:val="22"/>
                <w:szCs w:val="22"/>
              </w:rPr>
              <w:t>101,82</w:t>
            </w:r>
          </w:p>
        </w:tc>
        <w:tc>
          <w:tcPr>
            <w:tcW w:w="1535" w:type="dxa"/>
            <w:shd w:val="clear" w:color="auto" w:fill="auto"/>
            <w:vAlign w:val="bottom"/>
          </w:tcPr>
          <w:p w:rsidR="00033F81" w:rsidRPr="005F1629" w:rsidRDefault="0026535F" w:rsidP="00A23007">
            <w:pPr>
              <w:jc w:val="right"/>
              <w:rPr>
                <w:rFonts w:asciiTheme="minorHAnsi" w:hAnsiTheme="minorHAnsi" w:cs="Arial"/>
                <w:b/>
                <w:sz w:val="22"/>
                <w:szCs w:val="22"/>
              </w:rPr>
            </w:pPr>
            <w:r w:rsidRPr="005F1629">
              <w:rPr>
                <w:rFonts w:asciiTheme="minorHAnsi" w:hAnsiTheme="minorHAnsi" w:cs="Arial"/>
                <w:b/>
                <w:sz w:val="22"/>
                <w:szCs w:val="22"/>
              </w:rPr>
              <w:t>100,61</w:t>
            </w:r>
          </w:p>
        </w:tc>
        <w:tc>
          <w:tcPr>
            <w:tcW w:w="1535" w:type="dxa"/>
            <w:shd w:val="clear" w:color="auto" w:fill="auto"/>
            <w:vAlign w:val="bottom"/>
          </w:tcPr>
          <w:p w:rsidR="00033F81" w:rsidRPr="005F1629" w:rsidRDefault="0026535F" w:rsidP="00A23007">
            <w:pPr>
              <w:jc w:val="right"/>
              <w:rPr>
                <w:rFonts w:asciiTheme="minorHAnsi" w:hAnsiTheme="minorHAnsi" w:cs="Arial"/>
                <w:b/>
                <w:sz w:val="22"/>
                <w:szCs w:val="22"/>
              </w:rPr>
            </w:pPr>
            <w:r w:rsidRPr="005F1629">
              <w:rPr>
                <w:rFonts w:asciiTheme="minorHAnsi" w:hAnsiTheme="minorHAnsi" w:cs="Arial"/>
                <w:b/>
                <w:sz w:val="22"/>
                <w:szCs w:val="22"/>
              </w:rPr>
              <w:t>96,87</w:t>
            </w:r>
          </w:p>
        </w:tc>
        <w:tc>
          <w:tcPr>
            <w:tcW w:w="1647" w:type="dxa"/>
            <w:shd w:val="clear" w:color="auto" w:fill="auto"/>
            <w:vAlign w:val="bottom"/>
          </w:tcPr>
          <w:p w:rsidR="00033F81" w:rsidRPr="005F1629" w:rsidRDefault="0026535F" w:rsidP="00A23007">
            <w:pPr>
              <w:jc w:val="right"/>
              <w:rPr>
                <w:rFonts w:asciiTheme="minorHAnsi" w:hAnsiTheme="minorHAnsi" w:cs="Arial"/>
                <w:b/>
                <w:sz w:val="22"/>
                <w:szCs w:val="22"/>
              </w:rPr>
            </w:pPr>
            <w:r w:rsidRPr="005F1629">
              <w:rPr>
                <w:rFonts w:asciiTheme="minorHAnsi" w:hAnsiTheme="minorHAnsi" w:cs="Arial"/>
                <w:b/>
                <w:sz w:val="22"/>
                <w:szCs w:val="22"/>
              </w:rPr>
              <w:t>102,15</w:t>
            </w:r>
          </w:p>
        </w:tc>
      </w:tr>
    </w:tbl>
    <w:p w:rsidR="006E50AB" w:rsidRPr="005F1629" w:rsidRDefault="006E50AB" w:rsidP="00171E69">
      <w:pPr>
        <w:jc w:val="both"/>
        <w:rPr>
          <w:rFonts w:asciiTheme="minorHAnsi" w:hAnsiTheme="minorHAnsi" w:cs="Arial"/>
        </w:rPr>
      </w:pPr>
    </w:p>
    <w:p w:rsidR="006E2147" w:rsidRPr="005F1629" w:rsidRDefault="006E2147" w:rsidP="00171E69">
      <w:pPr>
        <w:jc w:val="both"/>
        <w:rPr>
          <w:rFonts w:asciiTheme="minorHAnsi" w:hAnsiTheme="minorHAnsi" w:cs="Arial"/>
        </w:rPr>
      </w:pPr>
      <w:r w:rsidRPr="005F1629">
        <w:rPr>
          <w:rFonts w:asciiTheme="minorHAnsi" w:hAnsiTheme="minorHAnsi" w:cs="Arial"/>
        </w:rPr>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6E2147" w:rsidRPr="005F1629" w:rsidTr="007B2C0E">
        <w:tc>
          <w:tcPr>
            <w:tcW w:w="1809" w:type="dxa"/>
            <w:shd w:val="solid" w:color="000080" w:fill="FFFFFF"/>
          </w:tcPr>
          <w:p w:rsidR="006E2147" w:rsidRPr="005F1629" w:rsidRDefault="006E2147" w:rsidP="00E0154C">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6E2147" w:rsidRPr="005F1629" w:rsidRDefault="006E2147"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7B2C0E" w:rsidRPr="005F1629" w:rsidRDefault="007B2C0E" w:rsidP="007B2C0E">
            <w:pPr>
              <w:jc w:val="center"/>
              <w:rPr>
                <w:rFonts w:asciiTheme="minorHAnsi" w:hAnsiTheme="minorHAnsi" w:cs="Arial"/>
                <w:b/>
                <w:bCs/>
                <w:color w:val="FFFFFF"/>
                <w:sz w:val="22"/>
                <w:szCs w:val="22"/>
              </w:rPr>
            </w:pPr>
          </w:p>
        </w:tc>
        <w:tc>
          <w:tcPr>
            <w:tcW w:w="1276" w:type="dxa"/>
            <w:shd w:val="solid" w:color="000080" w:fill="FFFFFF"/>
          </w:tcPr>
          <w:p w:rsidR="006E2147" w:rsidRPr="005F1629" w:rsidRDefault="006E2147"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7B2C0E" w:rsidRPr="005F1629" w:rsidRDefault="007B2C0E" w:rsidP="007B2C0E">
            <w:pPr>
              <w:jc w:val="center"/>
              <w:rPr>
                <w:rFonts w:asciiTheme="minorHAnsi" w:hAnsiTheme="minorHAnsi" w:cs="Arial"/>
                <w:b/>
                <w:bCs/>
                <w:color w:val="FFFFFF"/>
                <w:sz w:val="22"/>
                <w:szCs w:val="22"/>
              </w:rPr>
            </w:pPr>
          </w:p>
        </w:tc>
        <w:tc>
          <w:tcPr>
            <w:tcW w:w="1276" w:type="dxa"/>
            <w:shd w:val="solid" w:color="000080" w:fill="FFFFFF"/>
          </w:tcPr>
          <w:p w:rsidR="006E2147" w:rsidRPr="005F1629" w:rsidRDefault="006E2147"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7B2C0E" w:rsidRPr="005F1629" w:rsidRDefault="007B2C0E" w:rsidP="007B2C0E">
            <w:pPr>
              <w:jc w:val="center"/>
              <w:rPr>
                <w:rFonts w:asciiTheme="minorHAnsi" w:hAnsiTheme="minorHAnsi" w:cs="Arial"/>
                <w:b/>
                <w:bCs/>
                <w:color w:val="FFFFFF"/>
                <w:sz w:val="22"/>
                <w:szCs w:val="22"/>
              </w:rPr>
            </w:pPr>
          </w:p>
        </w:tc>
        <w:tc>
          <w:tcPr>
            <w:tcW w:w="1275" w:type="dxa"/>
            <w:shd w:val="solid" w:color="000080" w:fill="FFFFFF"/>
          </w:tcPr>
          <w:p w:rsidR="006E2147" w:rsidRPr="005F1629" w:rsidRDefault="006E2147"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7B2C0E" w:rsidRPr="005F1629" w:rsidRDefault="007B2C0E" w:rsidP="007B2C0E">
            <w:pPr>
              <w:jc w:val="center"/>
              <w:rPr>
                <w:rFonts w:asciiTheme="minorHAnsi" w:hAnsiTheme="minorHAnsi" w:cs="Arial"/>
                <w:b/>
                <w:bCs/>
                <w:color w:val="FFFFFF"/>
                <w:sz w:val="22"/>
                <w:szCs w:val="22"/>
              </w:rPr>
            </w:pPr>
          </w:p>
        </w:tc>
        <w:tc>
          <w:tcPr>
            <w:tcW w:w="1276" w:type="dxa"/>
            <w:shd w:val="solid" w:color="000080" w:fill="FFFFFF"/>
          </w:tcPr>
          <w:p w:rsidR="006E2147" w:rsidRPr="005F1629" w:rsidRDefault="006E2147"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6E2147" w:rsidRPr="005F1629" w:rsidRDefault="006E2147"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7B2C0E" w:rsidRPr="005F1629" w:rsidRDefault="007B2C0E" w:rsidP="007B2C0E">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6E2147" w:rsidRPr="005F1629" w:rsidTr="00A23007">
        <w:tc>
          <w:tcPr>
            <w:tcW w:w="1809" w:type="dxa"/>
            <w:shd w:val="clear" w:color="auto" w:fill="auto"/>
          </w:tcPr>
          <w:p w:rsidR="006E2147" w:rsidRPr="005F1629" w:rsidRDefault="006E2147" w:rsidP="007B2C0E">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bottom"/>
          </w:tcPr>
          <w:p w:rsidR="006E2147" w:rsidRPr="005F1629" w:rsidRDefault="00DB697C" w:rsidP="00A23007">
            <w:pPr>
              <w:jc w:val="right"/>
              <w:rPr>
                <w:rFonts w:asciiTheme="minorHAnsi" w:hAnsiTheme="minorHAnsi" w:cs="Arial"/>
                <w:sz w:val="22"/>
                <w:szCs w:val="22"/>
              </w:rPr>
            </w:pPr>
            <w:r w:rsidRPr="005F1629">
              <w:rPr>
                <w:rFonts w:asciiTheme="minorHAnsi" w:hAnsiTheme="minorHAnsi" w:cs="Arial"/>
                <w:sz w:val="22"/>
                <w:szCs w:val="22"/>
              </w:rPr>
              <w:t>5 183</w:t>
            </w:r>
          </w:p>
        </w:tc>
        <w:tc>
          <w:tcPr>
            <w:tcW w:w="1276" w:type="dxa"/>
            <w:shd w:val="clear" w:color="auto" w:fill="auto"/>
            <w:vAlign w:val="bottom"/>
          </w:tcPr>
          <w:p w:rsidR="006E2147" w:rsidRPr="005F1629" w:rsidRDefault="000E7BD1" w:rsidP="00A23007">
            <w:pPr>
              <w:jc w:val="right"/>
              <w:rPr>
                <w:rFonts w:asciiTheme="minorHAnsi" w:hAnsiTheme="minorHAnsi" w:cs="Arial"/>
                <w:sz w:val="22"/>
                <w:szCs w:val="22"/>
              </w:rPr>
            </w:pPr>
            <w:r w:rsidRPr="005F1629">
              <w:rPr>
                <w:rFonts w:asciiTheme="minorHAnsi" w:hAnsiTheme="minorHAnsi" w:cs="Arial"/>
                <w:sz w:val="22"/>
                <w:szCs w:val="22"/>
              </w:rPr>
              <w:t>5 258</w:t>
            </w:r>
          </w:p>
        </w:tc>
        <w:tc>
          <w:tcPr>
            <w:tcW w:w="1276"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5 495</w:t>
            </w:r>
          </w:p>
        </w:tc>
        <w:tc>
          <w:tcPr>
            <w:tcW w:w="1275"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5 613</w:t>
            </w:r>
          </w:p>
        </w:tc>
        <w:tc>
          <w:tcPr>
            <w:tcW w:w="1276"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5 717</w:t>
            </w:r>
          </w:p>
        </w:tc>
        <w:tc>
          <w:tcPr>
            <w:tcW w:w="1276"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5 830</w:t>
            </w:r>
          </w:p>
        </w:tc>
      </w:tr>
      <w:tr w:rsidR="006E2147" w:rsidRPr="005F1629" w:rsidTr="00A23007">
        <w:tc>
          <w:tcPr>
            <w:tcW w:w="1809" w:type="dxa"/>
            <w:shd w:val="clear" w:color="auto" w:fill="auto"/>
          </w:tcPr>
          <w:p w:rsidR="006E2147" w:rsidRPr="005F1629" w:rsidRDefault="006E2147" w:rsidP="007B2C0E">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bottom"/>
          </w:tcPr>
          <w:p w:rsidR="006E2147" w:rsidRPr="005F1629" w:rsidRDefault="000E7BD1" w:rsidP="00A23007">
            <w:pPr>
              <w:jc w:val="right"/>
              <w:rPr>
                <w:rFonts w:asciiTheme="minorHAnsi" w:hAnsiTheme="minorHAnsi" w:cs="Arial"/>
                <w:sz w:val="22"/>
                <w:szCs w:val="22"/>
              </w:rPr>
            </w:pPr>
            <w:r w:rsidRPr="005F1629">
              <w:rPr>
                <w:rFonts w:asciiTheme="minorHAnsi" w:hAnsiTheme="minorHAnsi" w:cs="Arial"/>
                <w:sz w:val="22"/>
                <w:szCs w:val="22"/>
              </w:rPr>
              <w:t>11 762</w:t>
            </w:r>
          </w:p>
        </w:tc>
        <w:tc>
          <w:tcPr>
            <w:tcW w:w="1276" w:type="dxa"/>
            <w:shd w:val="clear" w:color="auto" w:fill="auto"/>
            <w:vAlign w:val="bottom"/>
          </w:tcPr>
          <w:p w:rsidR="006E2147" w:rsidRPr="005F1629" w:rsidRDefault="000E7BD1" w:rsidP="00A23007">
            <w:pPr>
              <w:jc w:val="right"/>
              <w:rPr>
                <w:rFonts w:asciiTheme="minorHAnsi" w:hAnsiTheme="minorHAnsi" w:cs="Arial"/>
                <w:sz w:val="22"/>
                <w:szCs w:val="22"/>
              </w:rPr>
            </w:pPr>
            <w:r w:rsidRPr="005F1629">
              <w:rPr>
                <w:rFonts w:asciiTheme="minorHAnsi" w:hAnsiTheme="minorHAnsi" w:cs="Arial"/>
                <w:sz w:val="22"/>
                <w:szCs w:val="22"/>
              </w:rPr>
              <w:t>12 120</w:t>
            </w:r>
          </w:p>
        </w:tc>
        <w:tc>
          <w:tcPr>
            <w:tcW w:w="1276"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12 259</w:t>
            </w:r>
          </w:p>
        </w:tc>
        <w:tc>
          <w:tcPr>
            <w:tcW w:w="1275"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12 412</w:t>
            </w:r>
          </w:p>
        </w:tc>
        <w:tc>
          <w:tcPr>
            <w:tcW w:w="1276"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11 988</w:t>
            </w:r>
          </w:p>
        </w:tc>
        <w:tc>
          <w:tcPr>
            <w:tcW w:w="1276" w:type="dxa"/>
            <w:shd w:val="clear" w:color="auto" w:fill="auto"/>
            <w:vAlign w:val="bottom"/>
          </w:tcPr>
          <w:p w:rsidR="006E2147" w:rsidRPr="005F1629" w:rsidRDefault="00D056F2" w:rsidP="00A23007">
            <w:pPr>
              <w:jc w:val="right"/>
              <w:rPr>
                <w:rFonts w:asciiTheme="minorHAnsi" w:hAnsiTheme="minorHAnsi" w:cs="Arial"/>
                <w:sz w:val="22"/>
                <w:szCs w:val="22"/>
              </w:rPr>
            </w:pPr>
            <w:r w:rsidRPr="005F1629">
              <w:rPr>
                <w:rFonts w:asciiTheme="minorHAnsi" w:hAnsiTheme="minorHAnsi" w:cs="Arial"/>
                <w:sz w:val="22"/>
                <w:szCs w:val="22"/>
              </w:rPr>
              <w:t>12 834</w:t>
            </w:r>
          </w:p>
        </w:tc>
      </w:tr>
      <w:tr w:rsidR="00F376F9" w:rsidRPr="005F1629" w:rsidTr="00A23007">
        <w:tc>
          <w:tcPr>
            <w:tcW w:w="1809" w:type="dxa"/>
            <w:shd w:val="clear" w:color="auto" w:fill="auto"/>
          </w:tcPr>
          <w:p w:rsidR="00F376F9" w:rsidRPr="005F1629" w:rsidRDefault="00F376F9" w:rsidP="007B2C0E">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bottom"/>
          </w:tcPr>
          <w:p w:rsidR="00F376F9" w:rsidRPr="005F1629" w:rsidRDefault="00F376F9" w:rsidP="00A23007">
            <w:pPr>
              <w:tabs>
                <w:tab w:val="left" w:pos="930"/>
              </w:tabs>
              <w:jc w:val="right"/>
              <w:rPr>
                <w:rFonts w:asciiTheme="minorHAnsi" w:hAnsiTheme="minorHAnsi" w:cs="Arial"/>
                <w:sz w:val="22"/>
                <w:szCs w:val="22"/>
              </w:rPr>
            </w:pPr>
            <w:r w:rsidRPr="005F1629">
              <w:rPr>
                <w:rFonts w:asciiTheme="minorHAnsi" w:hAnsiTheme="minorHAnsi" w:cs="Arial"/>
                <w:sz w:val="22"/>
                <w:szCs w:val="22"/>
              </w:rPr>
              <w:t xml:space="preserve">        5 218</w:t>
            </w:r>
            <w:r w:rsidRPr="005F1629">
              <w:rPr>
                <w:rFonts w:asciiTheme="minorHAnsi" w:hAnsiTheme="minorHAnsi" w:cs="Arial"/>
                <w:sz w:val="22"/>
                <w:szCs w:val="22"/>
              </w:rPr>
              <w:tab/>
            </w:r>
          </w:p>
        </w:tc>
        <w:tc>
          <w:tcPr>
            <w:tcW w:w="1276" w:type="dxa"/>
            <w:shd w:val="clear" w:color="auto" w:fill="auto"/>
            <w:vAlign w:val="bottom"/>
          </w:tcPr>
          <w:p w:rsidR="00F376F9" w:rsidRPr="005F1629" w:rsidRDefault="00F376F9" w:rsidP="00A23007">
            <w:pPr>
              <w:jc w:val="right"/>
              <w:rPr>
                <w:rFonts w:asciiTheme="minorHAnsi" w:hAnsiTheme="minorHAnsi" w:cs="Arial"/>
                <w:sz w:val="22"/>
                <w:szCs w:val="22"/>
              </w:rPr>
            </w:pPr>
            <w:r w:rsidRPr="005F1629">
              <w:rPr>
                <w:rFonts w:asciiTheme="minorHAnsi" w:hAnsiTheme="minorHAnsi" w:cs="Arial"/>
                <w:sz w:val="22"/>
                <w:szCs w:val="22"/>
              </w:rPr>
              <w:t>5 020</w:t>
            </w:r>
          </w:p>
        </w:tc>
        <w:tc>
          <w:tcPr>
            <w:tcW w:w="1276" w:type="dxa"/>
            <w:shd w:val="clear" w:color="auto" w:fill="auto"/>
            <w:vAlign w:val="bottom"/>
          </w:tcPr>
          <w:p w:rsidR="00F376F9" w:rsidRPr="005F1629" w:rsidRDefault="00F376F9" w:rsidP="00A23007">
            <w:pPr>
              <w:jc w:val="right"/>
              <w:rPr>
                <w:rFonts w:asciiTheme="minorHAnsi" w:hAnsiTheme="minorHAnsi" w:cs="Arial"/>
                <w:sz w:val="22"/>
                <w:szCs w:val="22"/>
              </w:rPr>
            </w:pPr>
            <w:r w:rsidRPr="005F1629">
              <w:rPr>
                <w:rFonts w:asciiTheme="minorHAnsi" w:hAnsiTheme="minorHAnsi" w:cs="Arial"/>
                <w:sz w:val="22"/>
                <w:szCs w:val="22"/>
              </w:rPr>
              <w:t>5 011</w:t>
            </w:r>
          </w:p>
        </w:tc>
        <w:tc>
          <w:tcPr>
            <w:tcW w:w="1275" w:type="dxa"/>
            <w:shd w:val="clear" w:color="auto" w:fill="auto"/>
            <w:vAlign w:val="bottom"/>
          </w:tcPr>
          <w:p w:rsidR="00F376F9" w:rsidRPr="005F1629" w:rsidRDefault="00F376F9" w:rsidP="00A23007">
            <w:pPr>
              <w:jc w:val="right"/>
              <w:rPr>
                <w:rFonts w:asciiTheme="minorHAnsi" w:hAnsiTheme="minorHAnsi" w:cs="Arial"/>
                <w:sz w:val="22"/>
                <w:szCs w:val="22"/>
              </w:rPr>
            </w:pPr>
            <w:r w:rsidRPr="005F1629">
              <w:rPr>
                <w:rFonts w:asciiTheme="minorHAnsi" w:hAnsiTheme="minorHAnsi" w:cs="Arial"/>
                <w:sz w:val="22"/>
                <w:szCs w:val="22"/>
              </w:rPr>
              <w:t>5 268</w:t>
            </w:r>
          </w:p>
        </w:tc>
        <w:tc>
          <w:tcPr>
            <w:tcW w:w="1276" w:type="dxa"/>
            <w:shd w:val="clear" w:color="auto" w:fill="auto"/>
            <w:vAlign w:val="bottom"/>
          </w:tcPr>
          <w:p w:rsidR="00F376F9" w:rsidRPr="005F1629" w:rsidRDefault="00F376F9" w:rsidP="00A23007">
            <w:pPr>
              <w:jc w:val="right"/>
              <w:rPr>
                <w:rFonts w:asciiTheme="minorHAnsi" w:hAnsiTheme="minorHAnsi" w:cs="Arial"/>
                <w:sz w:val="22"/>
                <w:szCs w:val="22"/>
              </w:rPr>
            </w:pPr>
            <w:r w:rsidRPr="005F1629">
              <w:rPr>
                <w:rFonts w:asciiTheme="minorHAnsi" w:hAnsiTheme="minorHAnsi" w:cs="Arial"/>
                <w:sz w:val="22"/>
                <w:szCs w:val="22"/>
              </w:rPr>
              <w:t>5 180</w:t>
            </w:r>
          </w:p>
        </w:tc>
        <w:tc>
          <w:tcPr>
            <w:tcW w:w="1276" w:type="dxa"/>
            <w:shd w:val="clear" w:color="auto" w:fill="auto"/>
            <w:vAlign w:val="bottom"/>
          </w:tcPr>
          <w:p w:rsidR="00F376F9" w:rsidRPr="005F1629" w:rsidRDefault="00F376F9" w:rsidP="00A23007">
            <w:pPr>
              <w:jc w:val="right"/>
              <w:rPr>
                <w:rFonts w:asciiTheme="minorHAnsi" w:hAnsiTheme="minorHAnsi" w:cs="Arial"/>
                <w:sz w:val="22"/>
                <w:szCs w:val="22"/>
              </w:rPr>
            </w:pPr>
            <w:r w:rsidRPr="005F1629">
              <w:rPr>
                <w:rFonts w:asciiTheme="minorHAnsi" w:hAnsiTheme="minorHAnsi" w:cs="Arial"/>
                <w:sz w:val="22"/>
                <w:szCs w:val="22"/>
              </w:rPr>
              <w:t>5 178</w:t>
            </w:r>
          </w:p>
        </w:tc>
      </w:tr>
      <w:tr w:rsidR="00F376F9" w:rsidRPr="005F1629" w:rsidTr="00A23007">
        <w:tc>
          <w:tcPr>
            <w:tcW w:w="1809" w:type="dxa"/>
            <w:shd w:val="clear" w:color="auto" w:fill="auto"/>
          </w:tcPr>
          <w:p w:rsidR="00F376F9" w:rsidRPr="005F1629" w:rsidRDefault="00F376F9" w:rsidP="007B2C0E">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bottom"/>
          </w:tcPr>
          <w:p w:rsidR="00F376F9" w:rsidRPr="005F1629" w:rsidRDefault="00F376F9" w:rsidP="00A23007">
            <w:pPr>
              <w:jc w:val="right"/>
              <w:rPr>
                <w:rFonts w:asciiTheme="minorHAnsi" w:hAnsiTheme="minorHAnsi" w:cs="Arial"/>
                <w:b/>
                <w:sz w:val="22"/>
                <w:szCs w:val="22"/>
              </w:rPr>
            </w:pPr>
            <w:r w:rsidRPr="005F1629">
              <w:rPr>
                <w:rFonts w:asciiTheme="minorHAnsi" w:hAnsiTheme="minorHAnsi" w:cs="Arial"/>
                <w:b/>
                <w:sz w:val="22"/>
                <w:szCs w:val="22"/>
              </w:rPr>
              <w:t>22 163</w:t>
            </w:r>
          </w:p>
        </w:tc>
        <w:tc>
          <w:tcPr>
            <w:tcW w:w="1276" w:type="dxa"/>
            <w:shd w:val="clear" w:color="auto" w:fill="auto"/>
            <w:vAlign w:val="bottom"/>
          </w:tcPr>
          <w:p w:rsidR="00F376F9" w:rsidRPr="005F1629" w:rsidRDefault="00F376F9" w:rsidP="00A23007">
            <w:pPr>
              <w:jc w:val="right"/>
              <w:rPr>
                <w:rFonts w:asciiTheme="minorHAnsi" w:hAnsiTheme="minorHAnsi" w:cs="Arial"/>
                <w:b/>
                <w:sz w:val="22"/>
                <w:szCs w:val="22"/>
              </w:rPr>
            </w:pPr>
            <w:r w:rsidRPr="005F1629">
              <w:rPr>
                <w:rFonts w:asciiTheme="minorHAnsi" w:hAnsiTheme="minorHAnsi" w:cs="Arial"/>
                <w:b/>
                <w:sz w:val="22"/>
                <w:szCs w:val="22"/>
              </w:rPr>
              <w:t>22 398</w:t>
            </w:r>
          </w:p>
        </w:tc>
        <w:tc>
          <w:tcPr>
            <w:tcW w:w="1276" w:type="dxa"/>
            <w:shd w:val="clear" w:color="auto" w:fill="auto"/>
            <w:vAlign w:val="bottom"/>
          </w:tcPr>
          <w:p w:rsidR="00F376F9" w:rsidRPr="005F1629" w:rsidRDefault="00F376F9" w:rsidP="00A23007">
            <w:pPr>
              <w:jc w:val="right"/>
              <w:rPr>
                <w:rFonts w:asciiTheme="minorHAnsi" w:hAnsiTheme="minorHAnsi" w:cs="Arial"/>
                <w:b/>
                <w:sz w:val="22"/>
                <w:szCs w:val="22"/>
              </w:rPr>
            </w:pPr>
            <w:r w:rsidRPr="005F1629">
              <w:rPr>
                <w:rFonts w:asciiTheme="minorHAnsi" w:hAnsiTheme="minorHAnsi" w:cs="Arial"/>
                <w:b/>
                <w:sz w:val="22"/>
                <w:szCs w:val="22"/>
              </w:rPr>
              <w:t>22 765</w:t>
            </w:r>
          </w:p>
        </w:tc>
        <w:tc>
          <w:tcPr>
            <w:tcW w:w="1275" w:type="dxa"/>
            <w:shd w:val="clear" w:color="auto" w:fill="auto"/>
            <w:vAlign w:val="bottom"/>
          </w:tcPr>
          <w:p w:rsidR="00F376F9" w:rsidRPr="005F1629" w:rsidRDefault="00F376F9" w:rsidP="00A23007">
            <w:pPr>
              <w:jc w:val="right"/>
              <w:rPr>
                <w:rFonts w:asciiTheme="minorHAnsi" w:hAnsiTheme="minorHAnsi" w:cs="Arial"/>
                <w:b/>
                <w:sz w:val="22"/>
                <w:szCs w:val="22"/>
              </w:rPr>
            </w:pPr>
            <w:r w:rsidRPr="005F1629">
              <w:rPr>
                <w:rFonts w:asciiTheme="minorHAnsi" w:hAnsiTheme="minorHAnsi" w:cs="Arial"/>
                <w:b/>
                <w:sz w:val="22"/>
                <w:szCs w:val="22"/>
              </w:rPr>
              <w:t>23 293</w:t>
            </w:r>
          </w:p>
        </w:tc>
        <w:tc>
          <w:tcPr>
            <w:tcW w:w="1276" w:type="dxa"/>
            <w:shd w:val="clear" w:color="auto" w:fill="auto"/>
            <w:vAlign w:val="bottom"/>
          </w:tcPr>
          <w:p w:rsidR="00F376F9" w:rsidRPr="005F1629" w:rsidRDefault="00F376F9" w:rsidP="00A23007">
            <w:pPr>
              <w:jc w:val="right"/>
              <w:rPr>
                <w:rFonts w:asciiTheme="minorHAnsi" w:hAnsiTheme="minorHAnsi" w:cs="Arial"/>
                <w:b/>
                <w:sz w:val="22"/>
                <w:szCs w:val="22"/>
              </w:rPr>
            </w:pPr>
            <w:r w:rsidRPr="005F1629">
              <w:rPr>
                <w:rFonts w:asciiTheme="minorHAnsi" w:hAnsiTheme="minorHAnsi" w:cs="Arial"/>
                <w:b/>
                <w:sz w:val="22"/>
                <w:szCs w:val="22"/>
              </w:rPr>
              <w:t>22 885</w:t>
            </w:r>
          </w:p>
        </w:tc>
        <w:tc>
          <w:tcPr>
            <w:tcW w:w="1276" w:type="dxa"/>
            <w:shd w:val="clear" w:color="auto" w:fill="auto"/>
            <w:vAlign w:val="bottom"/>
          </w:tcPr>
          <w:p w:rsidR="00F376F9" w:rsidRPr="005F1629" w:rsidRDefault="00F376F9" w:rsidP="00A23007">
            <w:pPr>
              <w:jc w:val="right"/>
              <w:rPr>
                <w:rFonts w:asciiTheme="minorHAnsi" w:hAnsiTheme="minorHAnsi" w:cs="Arial"/>
                <w:b/>
                <w:sz w:val="22"/>
                <w:szCs w:val="22"/>
              </w:rPr>
            </w:pPr>
            <w:r w:rsidRPr="005F1629">
              <w:rPr>
                <w:rFonts w:asciiTheme="minorHAnsi" w:hAnsiTheme="minorHAnsi" w:cs="Arial"/>
                <w:b/>
                <w:sz w:val="22"/>
                <w:szCs w:val="22"/>
              </w:rPr>
              <w:t>23 842</w:t>
            </w:r>
          </w:p>
        </w:tc>
      </w:tr>
    </w:tbl>
    <w:p w:rsidR="00420E79" w:rsidRPr="005F1629" w:rsidRDefault="00420E79" w:rsidP="006E50AB">
      <w:pPr>
        <w:jc w:val="both"/>
        <w:rPr>
          <w:rFonts w:asciiTheme="minorHAnsi" w:hAnsiTheme="minorHAnsi" w:cs="Arial"/>
        </w:rPr>
      </w:pPr>
    </w:p>
    <w:p w:rsidR="00E42669" w:rsidRPr="005F1629" w:rsidRDefault="00F721AC" w:rsidP="006E50AB">
      <w:pPr>
        <w:jc w:val="both"/>
        <w:rPr>
          <w:rFonts w:asciiTheme="minorHAnsi" w:hAnsiTheme="minorHAnsi" w:cs="Arial"/>
        </w:rPr>
      </w:pPr>
      <w:r w:rsidRPr="005F1629">
        <w:rPr>
          <w:rFonts w:asciiTheme="minorHAnsi" w:hAnsiTheme="minorHAnsi" w:cs="Arial"/>
        </w:rPr>
        <w:t>Graf č. 1</w:t>
      </w:r>
      <w:r w:rsidR="00E42669" w:rsidRPr="005F1629">
        <w:rPr>
          <w:rFonts w:asciiTheme="minorHAnsi" w:hAnsiTheme="minorHAnsi" w:cs="Arial"/>
        </w:rPr>
        <w:t>:</w:t>
      </w:r>
    </w:p>
    <w:p w:rsidR="00537B8A" w:rsidRDefault="00466108" w:rsidP="00037ABA">
      <w:pPr>
        <w:jc w:val="both"/>
        <w:rPr>
          <w:rFonts w:asciiTheme="minorHAnsi" w:hAnsiTheme="minorHAnsi" w:cs="Arial"/>
          <w:noProof/>
        </w:rPr>
      </w:pPr>
      <w:r w:rsidRPr="005F1629">
        <w:rPr>
          <w:rFonts w:asciiTheme="minorHAnsi" w:hAnsiTheme="minorHAnsi" w:cs="Arial"/>
          <w:noProof/>
        </w:rPr>
        <w:drawing>
          <wp:inline distT="0" distB="0" distL="0" distR="0">
            <wp:extent cx="5796951" cy="2355011"/>
            <wp:effectExtent l="0" t="0" r="13335" b="26670"/>
            <wp:docPr id="2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503B50" w:rsidRDefault="00503B50" w:rsidP="00037ABA">
      <w:pPr>
        <w:jc w:val="both"/>
        <w:rPr>
          <w:rFonts w:asciiTheme="minorHAnsi" w:hAnsiTheme="minorHAnsi" w:cs="Arial"/>
          <w:noProof/>
        </w:rPr>
      </w:pPr>
    </w:p>
    <w:p w:rsidR="00F721AC" w:rsidRPr="005F1629" w:rsidRDefault="00F721AC" w:rsidP="00037ABA">
      <w:pPr>
        <w:jc w:val="both"/>
        <w:rPr>
          <w:rFonts w:asciiTheme="minorHAnsi" w:hAnsiTheme="minorHAnsi" w:cs="Arial"/>
          <w:noProof/>
        </w:rPr>
      </w:pPr>
      <w:r w:rsidRPr="005F1629">
        <w:rPr>
          <w:rFonts w:asciiTheme="minorHAnsi" w:hAnsiTheme="minorHAnsi" w:cs="Arial"/>
          <w:noProof/>
        </w:rPr>
        <w:lastRenderedPageBreak/>
        <w:t>Graf č. 2:</w:t>
      </w:r>
    </w:p>
    <w:p w:rsidR="00F721AC" w:rsidRPr="005F1629" w:rsidRDefault="00EB1322" w:rsidP="00037ABA">
      <w:pPr>
        <w:jc w:val="both"/>
        <w:rPr>
          <w:rFonts w:asciiTheme="minorHAnsi" w:hAnsiTheme="minorHAnsi" w:cs="Arial"/>
        </w:rPr>
      </w:pPr>
      <w:r>
        <w:rPr>
          <w:noProof/>
        </w:rPr>
        <w:drawing>
          <wp:inline distT="0" distB="0" distL="0" distR="0">
            <wp:extent cx="5759450" cy="2870567"/>
            <wp:effectExtent l="0" t="0" r="12700" b="2540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0E79" w:rsidRPr="005F1629" w:rsidRDefault="00420E79" w:rsidP="00037ABA">
      <w:pPr>
        <w:ind w:firstLine="708"/>
        <w:jc w:val="both"/>
        <w:rPr>
          <w:rFonts w:asciiTheme="minorHAnsi" w:hAnsiTheme="minorHAnsi" w:cs="Arial"/>
          <w:b/>
        </w:rPr>
      </w:pPr>
    </w:p>
    <w:p w:rsidR="00420E79" w:rsidRPr="005F1629" w:rsidRDefault="00171E69" w:rsidP="007C5D12">
      <w:pPr>
        <w:spacing w:after="240"/>
        <w:ind w:firstLine="426"/>
        <w:jc w:val="both"/>
        <w:rPr>
          <w:rFonts w:asciiTheme="minorHAnsi" w:hAnsiTheme="minorHAnsi" w:cs="Arial"/>
        </w:rPr>
      </w:pPr>
      <w:r w:rsidRPr="005F1629">
        <w:rPr>
          <w:rFonts w:asciiTheme="minorHAnsi" w:hAnsiTheme="minorHAnsi" w:cs="Arial"/>
          <w:b/>
        </w:rPr>
        <w:t>Objem finančních prostředků (vratek)</w:t>
      </w:r>
      <w:r w:rsidRPr="005F1629">
        <w:rPr>
          <w:rFonts w:asciiTheme="minorHAnsi" w:hAnsiTheme="minorHAnsi" w:cs="Arial"/>
        </w:rPr>
        <w:t xml:space="preserve"> podle § 16b zákona č. 48/1997 Sb. VZP ČR plánuje ve výši 96 000 tis. Kč pro 77 000 pojištěnců, kteří v daném období překročí zákonný</w:t>
      </w:r>
      <w:r w:rsidR="00037ABA" w:rsidRPr="005F1629">
        <w:rPr>
          <w:rFonts w:asciiTheme="minorHAnsi" w:hAnsiTheme="minorHAnsi" w:cs="Arial"/>
        </w:rPr>
        <w:t xml:space="preserve"> limit 5 000 Kč, resp. 2 500 Kč</w:t>
      </w:r>
      <w:r w:rsidRPr="005F1629">
        <w:rPr>
          <w:rFonts w:asciiTheme="minorHAnsi" w:hAnsiTheme="minorHAnsi" w:cs="Arial"/>
        </w:rPr>
        <w:t xml:space="preserve"> </w:t>
      </w:r>
      <w:r w:rsidR="003973E8" w:rsidRPr="005F1629">
        <w:rPr>
          <w:rFonts w:asciiTheme="minorHAnsi" w:hAnsiTheme="minorHAnsi" w:cs="Arial"/>
        </w:rPr>
        <w:t>(</w:t>
      </w:r>
      <w:r w:rsidR="00E477F8" w:rsidRPr="005F1629">
        <w:rPr>
          <w:rFonts w:asciiTheme="minorHAnsi" w:hAnsiTheme="minorHAnsi" w:cs="Arial"/>
        </w:rPr>
        <w:t>T</w:t>
      </w:r>
      <w:r w:rsidR="003973E8" w:rsidRPr="005F1629">
        <w:rPr>
          <w:rFonts w:asciiTheme="minorHAnsi" w:hAnsiTheme="minorHAnsi" w:cs="Arial"/>
        </w:rPr>
        <w:t>abulka č. 5)</w:t>
      </w:r>
      <w:r w:rsidR="00037ABA" w:rsidRPr="005F1629">
        <w:rPr>
          <w:rFonts w:asciiTheme="minorHAnsi" w:hAnsiTheme="minorHAnsi" w:cs="Arial"/>
        </w:rPr>
        <w:t>.</w:t>
      </w:r>
      <w:r w:rsidR="003973E8" w:rsidRPr="005F1629">
        <w:rPr>
          <w:rFonts w:asciiTheme="minorHAnsi" w:hAnsiTheme="minorHAnsi" w:cs="Arial"/>
        </w:rPr>
        <w:t xml:space="preserve"> </w:t>
      </w:r>
      <w:r w:rsidRPr="005F1629">
        <w:rPr>
          <w:rFonts w:asciiTheme="minorHAnsi" w:hAnsiTheme="minorHAnsi" w:cs="Arial"/>
        </w:rPr>
        <w:t xml:space="preserve">V přepočtu na jednoho pojištěnce se tato částka </w:t>
      </w:r>
      <w:r w:rsidR="00DD62CF" w:rsidRPr="005F1629">
        <w:rPr>
          <w:rFonts w:asciiTheme="minorHAnsi" w:hAnsiTheme="minorHAnsi" w:cs="Arial"/>
        </w:rPr>
        <w:t>v posledních pěti letech výrazně nemění</w:t>
      </w:r>
      <w:r w:rsidRPr="005F1629">
        <w:rPr>
          <w:rFonts w:asciiTheme="minorHAnsi" w:hAnsiTheme="minorHAnsi" w:cs="Arial"/>
        </w:rPr>
        <w:t>.</w:t>
      </w:r>
    </w:p>
    <w:p w:rsidR="008F20B0" w:rsidRPr="005F1629" w:rsidRDefault="008F20B0" w:rsidP="002324F0">
      <w:pPr>
        <w:jc w:val="both"/>
        <w:rPr>
          <w:rFonts w:asciiTheme="minorHAnsi" w:hAnsiTheme="minorHAnsi" w:cs="Arial"/>
        </w:rPr>
      </w:pPr>
      <w:r w:rsidRPr="005F1629">
        <w:rPr>
          <w:rFonts w:asciiTheme="minorHAnsi" w:hAnsiTheme="minorHAnsi" w:cs="Arial"/>
        </w:rPr>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8F20B0" w:rsidRPr="005F1629" w:rsidTr="00517313">
        <w:tc>
          <w:tcPr>
            <w:tcW w:w="2518"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BB4B68" w:rsidRPr="005F1629" w:rsidRDefault="00BB4B68" w:rsidP="00517313">
            <w:pPr>
              <w:jc w:val="center"/>
              <w:rPr>
                <w:rFonts w:asciiTheme="minorHAnsi" w:hAnsiTheme="minorHAnsi" w:cs="Arial"/>
                <w:b/>
                <w:bCs/>
                <w:color w:val="FFFFFF"/>
                <w:sz w:val="22"/>
                <w:szCs w:val="22"/>
              </w:rPr>
            </w:pPr>
          </w:p>
        </w:tc>
        <w:tc>
          <w:tcPr>
            <w:tcW w:w="1115"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BB4B68" w:rsidRPr="005F1629" w:rsidRDefault="00BB4B68" w:rsidP="00517313">
            <w:pPr>
              <w:jc w:val="center"/>
              <w:rPr>
                <w:rFonts w:asciiTheme="minorHAnsi" w:hAnsiTheme="minorHAnsi" w:cs="Arial"/>
                <w:b/>
                <w:bCs/>
                <w:color w:val="FFFFFF"/>
                <w:sz w:val="22"/>
                <w:szCs w:val="22"/>
              </w:rPr>
            </w:pPr>
          </w:p>
        </w:tc>
        <w:tc>
          <w:tcPr>
            <w:tcW w:w="1116"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BB4B68" w:rsidRPr="005F1629" w:rsidRDefault="00BB4B68" w:rsidP="00517313">
            <w:pPr>
              <w:jc w:val="center"/>
              <w:rPr>
                <w:rFonts w:asciiTheme="minorHAnsi" w:hAnsiTheme="minorHAnsi" w:cs="Arial"/>
                <w:b/>
                <w:bCs/>
                <w:color w:val="FFFFFF"/>
                <w:sz w:val="22"/>
                <w:szCs w:val="22"/>
              </w:rPr>
            </w:pPr>
          </w:p>
        </w:tc>
        <w:tc>
          <w:tcPr>
            <w:tcW w:w="1115"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BB4B68" w:rsidRPr="005F1629" w:rsidRDefault="00BB4B68" w:rsidP="00517313">
            <w:pPr>
              <w:jc w:val="center"/>
              <w:rPr>
                <w:rFonts w:asciiTheme="minorHAnsi" w:hAnsiTheme="minorHAnsi" w:cs="Arial"/>
                <w:b/>
                <w:bCs/>
                <w:color w:val="FFFFFF"/>
                <w:sz w:val="22"/>
                <w:szCs w:val="22"/>
              </w:rPr>
            </w:pPr>
          </w:p>
        </w:tc>
        <w:tc>
          <w:tcPr>
            <w:tcW w:w="1115"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BB4B68" w:rsidRPr="005F1629" w:rsidRDefault="00920DEF"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BB4B68" w:rsidRPr="005F1629">
              <w:rPr>
                <w:rFonts w:asciiTheme="minorHAnsi" w:hAnsiTheme="minorHAnsi" w:cs="Arial"/>
                <w:b/>
                <w:bCs/>
                <w:color w:val="FFFFFF"/>
                <w:sz w:val="22"/>
                <w:szCs w:val="22"/>
              </w:rPr>
              <w:t>(oč. skut.)</w:t>
            </w:r>
          </w:p>
        </w:tc>
        <w:tc>
          <w:tcPr>
            <w:tcW w:w="1116" w:type="dxa"/>
            <w:shd w:val="solid" w:color="000080" w:fill="FFFFFF"/>
          </w:tcPr>
          <w:p w:rsidR="008F20B0" w:rsidRPr="005F1629" w:rsidRDefault="00BB4B68"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BB4B68" w:rsidRPr="005F1629" w:rsidRDefault="00920DEF" w:rsidP="00517313">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BB4B68" w:rsidRPr="005F1629">
              <w:rPr>
                <w:rFonts w:asciiTheme="minorHAnsi" w:hAnsiTheme="minorHAnsi" w:cs="Arial"/>
                <w:b/>
                <w:bCs/>
                <w:color w:val="FFFFFF"/>
                <w:sz w:val="22"/>
                <w:szCs w:val="22"/>
              </w:rPr>
              <w:t>(ZPP)</w:t>
            </w:r>
          </w:p>
        </w:tc>
      </w:tr>
      <w:tr w:rsidR="008F20B0" w:rsidRPr="005F1629" w:rsidTr="00A23007">
        <w:tc>
          <w:tcPr>
            <w:tcW w:w="2518" w:type="dxa"/>
            <w:shd w:val="clear" w:color="auto" w:fill="auto"/>
          </w:tcPr>
          <w:p w:rsidR="008F20B0" w:rsidRPr="005F1629" w:rsidRDefault="00BB4B68" w:rsidP="00920DEF">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175 277</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251 317</w:t>
            </w:r>
          </w:p>
        </w:tc>
        <w:tc>
          <w:tcPr>
            <w:tcW w:w="1116"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267 210</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199 260</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 xml:space="preserve"> 82 007</w:t>
            </w:r>
          </w:p>
        </w:tc>
        <w:tc>
          <w:tcPr>
            <w:tcW w:w="1116"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77 000</w:t>
            </w:r>
          </w:p>
        </w:tc>
      </w:tr>
      <w:tr w:rsidR="008F20B0" w:rsidRPr="005F1629" w:rsidTr="00A23007">
        <w:tc>
          <w:tcPr>
            <w:tcW w:w="2518" w:type="dxa"/>
            <w:shd w:val="clear" w:color="auto" w:fill="auto"/>
          </w:tcPr>
          <w:p w:rsidR="008F20B0" w:rsidRPr="005F1629" w:rsidRDefault="00BB4B68" w:rsidP="00517313">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sidR="00920DEF">
              <w:rPr>
                <w:rFonts w:asciiTheme="minorHAnsi" w:hAnsiTheme="minorHAnsi" w:cs="Arial"/>
                <w:b/>
                <w:sz w:val="22"/>
                <w:szCs w:val="22"/>
              </w:rPr>
              <w:t xml:space="preserve"> </w:t>
            </w:r>
            <w:r w:rsidR="001C36AC">
              <w:rPr>
                <w:rFonts w:asciiTheme="minorHAnsi" w:hAnsiTheme="minorHAnsi" w:cs="Arial"/>
                <w:b/>
                <w:bCs/>
                <w:sz w:val="22"/>
                <w:szCs w:val="22"/>
              </w:rPr>
              <w:t>(</w:t>
            </w:r>
            <w:r w:rsidR="00920DEF" w:rsidRPr="00920DEF">
              <w:rPr>
                <w:rFonts w:asciiTheme="minorHAnsi" w:hAnsiTheme="minorHAnsi" w:cs="Arial"/>
                <w:b/>
                <w:bCs/>
                <w:sz w:val="22"/>
                <w:szCs w:val="22"/>
              </w:rPr>
              <w:t>tis. Kč)</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180 008</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325 528</w:t>
            </w:r>
          </w:p>
        </w:tc>
        <w:tc>
          <w:tcPr>
            <w:tcW w:w="1116"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363 225</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310 000</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101 200</w:t>
            </w:r>
          </w:p>
        </w:tc>
        <w:tc>
          <w:tcPr>
            <w:tcW w:w="1116"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96 000</w:t>
            </w:r>
          </w:p>
        </w:tc>
      </w:tr>
      <w:tr w:rsidR="008F20B0" w:rsidRPr="005F1629" w:rsidTr="00A23007">
        <w:tc>
          <w:tcPr>
            <w:tcW w:w="2518" w:type="dxa"/>
            <w:shd w:val="clear" w:color="auto" w:fill="auto"/>
          </w:tcPr>
          <w:p w:rsidR="008F20B0" w:rsidRPr="005F1629" w:rsidRDefault="00BB4B68" w:rsidP="00517313">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sidR="00920DEF">
              <w:rPr>
                <w:rFonts w:asciiTheme="minorHAnsi" w:hAnsiTheme="minorHAnsi" w:cs="Arial"/>
                <w:b/>
                <w:sz w:val="22"/>
                <w:szCs w:val="22"/>
              </w:rPr>
              <w:t xml:space="preserve"> </w:t>
            </w:r>
            <w:r w:rsidR="001C36AC">
              <w:rPr>
                <w:rFonts w:asciiTheme="minorHAnsi" w:hAnsiTheme="minorHAnsi" w:cs="Arial"/>
                <w:b/>
                <w:bCs/>
                <w:sz w:val="22"/>
                <w:szCs w:val="22"/>
              </w:rPr>
              <w:t>(</w:t>
            </w:r>
            <w:r w:rsidR="00920DEF" w:rsidRPr="00920DEF">
              <w:rPr>
                <w:rFonts w:asciiTheme="minorHAnsi" w:hAnsiTheme="minorHAnsi" w:cs="Arial"/>
                <w:b/>
                <w:bCs/>
                <w:sz w:val="22"/>
                <w:szCs w:val="22"/>
              </w:rPr>
              <w:t>tis. Kč)</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1,03</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1,30</w:t>
            </w:r>
          </w:p>
        </w:tc>
        <w:tc>
          <w:tcPr>
            <w:tcW w:w="1116"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1,36</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1,56</w:t>
            </w:r>
          </w:p>
        </w:tc>
        <w:tc>
          <w:tcPr>
            <w:tcW w:w="1115"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1,23</w:t>
            </w:r>
          </w:p>
        </w:tc>
        <w:tc>
          <w:tcPr>
            <w:tcW w:w="1116" w:type="dxa"/>
            <w:shd w:val="clear" w:color="auto" w:fill="auto"/>
            <w:vAlign w:val="bottom"/>
          </w:tcPr>
          <w:p w:rsidR="008F20B0" w:rsidRPr="005F1629" w:rsidRDefault="00BB4B68" w:rsidP="00A23007">
            <w:pPr>
              <w:spacing w:after="120"/>
              <w:jc w:val="right"/>
              <w:rPr>
                <w:rFonts w:asciiTheme="minorHAnsi" w:hAnsiTheme="minorHAnsi" w:cs="Arial"/>
                <w:sz w:val="22"/>
                <w:szCs w:val="22"/>
              </w:rPr>
            </w:pPr>
            <w:r w:rsidRPr="005F1629">
              <w:rPr>
                <w:rFonts w:asciiTheme="minorHAnsi" w:hAnsiTheme="minorHAnsi" w:cs="Arial"/>
                <w:sz w:val="22"/>
                <w:szCs w:val="22"/>
              </w:rPr>
              <w:t>1,25</w:t>
            </w:r>
          </w:p>
        </w:tc>
      </w:tr>
    </w:tbl>
    <w:p w:rsidR="00E81D9E" w:rsidRPr="005F1629" w:rsidRDefault="00E81D9E" w:rsidP="006E4729">
      <w:pPr>
        <w:jc w:val="both"/>
        <w:rPr>
          <w:rFonts w:asciiTheme="minorHAnsi" w:hAnsiTheme="minorHAnsi" w:cs="Arial"/>
        </w:rPr>
      </w:pPr>
    </w:p>
    <w:p w:rsidR="00171E69" w:rsidRPr="005F1629" w:rsidRDefault="00171E69" w:rsidP="007C5D12">
      <w:pPr>
        <w:ind w:firstLine="426"/>
        <w:jc w:val="both"/>
        <w:rPr>
          <w:rFonts w:asciiTheme="minorHAnsi" w:hAnsiTheme="minorHAnsi" w:cs="Arial"/>
        </w:rPr>
      </w:pPr>
      <w:r w:rsidRPr="005F1629">
        <w:rPr>
          <w:rFonts w:asciiTheme="minorHAnsi" w:hAnsiTheme="minorHAnsi" w:cs="Arial"/>
          <w:b/>
        </w:rPr>
        <w:t xml:space="preserve">Náklady na léčení cizinců, </w:t>
      </w:r>
      <w:r w:rsidRPr="005F1629">
        <w:rPr>
          <w:rFonts w:asciiTheme="minorHAnsi" w:hAnsiTheme="minorHAnsi" w:cs="Arial"/>
        </w:rPr>
        <w:t>kteří si jako výpomocnou zdravotní pojišťovnu zvolí VZP ČR, jsou plánovány</w:t>
      </w:r>
      <w:r w:rsidRPr="005F1629">
        <w:rPr>
          <w:rFonts w:asciiTheme="minorHAnsi" w:hAnsiTheme="minorHAnsi" w:cs="Arial"/>
          <w:b/>
        </w:rPr>
        <w:t xml:space="preserve"> </w:t>
      </w:r>
      <w:r w:rsidRPr="005F1629">
        <w:rPr>
          <w:rFonts w:asciiTheme="minorHAnsi" w:hAnsiTheme="minorHAnsi" w:cs="Arial"/>
        </w:rPr>
        <w:t>ve výši 475 000 tis. Kč</w:t>
      </w:r>
      <w:r w:rsidR="00A10F35" w:rsidRPr="005F1629">
        <w:rPr>
          <w:rFonts w:asciiTheme="minorHAnsi" w:hAnsiTheme="minorHAnsi" w:cs="Arial"/>
        </w:rPr>
        <w:t xml:space="preserve"> (Tabulka č. 6)</w:t>
      </w:r>
      <w:r w:rsidRPr="005F1629">
        <w:rPr>
          <w:rFonts w:asciiTheme="minorHAnsi" w:hAnsiTheme="minorHAnsi" w:cs="Arial"/>
        </w:rPr>
        <w:t>. Oproti očekávané skutečnosti předchozího roku se jedná o pokles o</w:t>
      </w:r>
      <w:r w:rsidR="00A10F35" w:rsidRPr="005F1629">
        <w:rPr>
          <w:rFonts w:asciiTheme="minorHAnsi" w:hAnsiTheme="minorHAnsi" w:cs="Arial"/>
        </w:rPr>
        <w:t xml:space="preserve"> 3,06</w:t>
      </w:r>
      <w:r w:rsidRPr="005F1629">
        <w:rPr>
          <w:rFonts w:asciiTheme="minorHAnsi" w:hAnsiTheme="minorHAnsi" w:cs="Arial"/>
        </w:rPr>
        <w:t xml:space="preserve"> %. </w:t>
      </w:r>
      <w:r w:rsidR="00DD62CF" w:rsidRPr="005F1629">
        <w:rPr>
          <w:rFonts w:asciiTheme="minorHAnsi" w:hAnsiTheme="minorHAnsi" w:cs="Arial"/>
        </w:rPr>
        <w:t>Nicméně VZP</w:t>
      </w:r>
      <w:r w:rsidR="00A04661" w:rsidRPr="005F1629">
        <w:rPr>
          <w:rFonts w:asciiTheme="minorHAnsi" w:hAnsiTheme="minorHAnsi" w:cs="Arial"/>
        </w:rPr>
        <w:t xml:space="preserve"> ČR</w:t>
      </w:r>
      <w:r w:rsidR="00DD62CF" w:rsidRPr="005F1629">
        <w:rPr>
          <w:rFonts w:asciiTheme="minorHAnsi" w:hAnsiTheme="minorHAnsi" w:cs="Arial"/>
        </w:rPr>
        <w:t xml:space="preserve"> ve svém </w:t>
      </w:r>
      <w:r w:rsidR="008A3731">
        <w:rPr>
          <w:rFonts w:asciiTheme="minorHAnsi" w:hAnsiTheme="minorHAnsi" w:cs="Arial"/>
        </w:rPr>
        <w:t xml:space="preserve">zdravotně </w:t>
      </w:r>
      <w:r w:rsidR="00DD62CF" w:rsidRPr="005F1629">
        <w:rPr>
          <w:rFonts w:asciiTheme="minorHAnsi" w:hAnsiTheme="minorHAnsi" w:cs="Arial"/>
        </w:rPr>
        <w:t>pojistném plánu</w:t>
      </w:r>
      <w:r w:rsidRPr="005F1629">
        <w:rPr>
          <w:rFonts w:asciiTheme="minorHAnsi" w:hAnsiTheme="minorHAnsi" w:cs="Arial"/>
        </w:rPr>
        <w:t xml:space="preserve"> předpokládá pokles počtu ošetřených cizinců v roce 2014 a následn</w:t>
      </w:r>
      <w:r w:rsidR="00DD62CF" w:rsidRPr="005F1629">
        <w:rPr>
          <w:rFonts w:asciiTheme="minorHAnsi" w:hAnsiTheme="minorHAnsi" w:cs="Arial"/>
        </w:rPr>
        <w:t>ě tedy, v přepočtu na jednoho ošetřeného cizince, uvádí</w:t>
      </w:r>
      <w:r w:rsidRPr="005F1629">
        <w:rPr>
          <w:rFonts w:asciiTheme="minorHAnsi" w:hAnsiTheme="minorHAnsi" w:cs="Arial"/>
        </w:rPr>
        <w:t xml:space="preserve"> mírný nárůst těchto nákladů</w:t>
      </w:r>
      <w:r w:rsidR="002324F0" w:rsidRPr="005F1629">
        <w:rPr>
          <w:rFonts w:asciiTheme="minorHAnsi" w:hAnsiTheme="minorHAnsi" w:cs="Arial"/>
        </w:rPr>
        <w:t xml:space="preserve"> oproti očekávané skutečnosti roku 2013</w:t>
      </w:r>
      <w:r w:rsidRPr="005F1629">
        <w:rPr>
          <w:rFonts w:asciiTheme="minorHAnsi" w:hAnsiTheme="minorHAnsi" w:cs="Arial"/>
        </w:rPr>
        <w:t>.</w:t>
      </w:r>
    </w:p>
    <w:p w:rsidR="00B1735B" w:rsidRPr="005F1629" w:rsidRDefault="00171E69" w:rsidP="007C5D12">
      <w:pPr>
        <w:pStyle w:val="Zkladntext"/>
        <w:spacing w:line="280" w:lineRule="atLeast"/>
        <w:ind w:firstLine="426"/>
        <w:jc w:val="both"/>
        <w:rPr>
          <w:rFonts w:asciiTheme="minorHAnsi" w:hAnsiTheme="minorHAnsi" w:cs="Arial"/>
          <w:sz w:val="24"/>
        </w:rPr>
      </w:pPr>
      <w:r w:rsidRPr="005F1629">
        <w:rPr>
          <w:rFonts w:asciiTheme="minorHAnsi" w:hAnsiTheme="minorHAnsi" w:cs="Arial"/>
          <w:sz w:val="24"/>
        </w:rPr>
        <w:t xml:space="preserve">Na ZFZP je plánováno přijmout od zahraničních pojišťoven za léčení cizinců (včetně plateb vypořádaných tzv. paušálem) 401 600 tis. Kč a z prostředků ZFZP uhradit za léčení cizinců PZS 475 000 tis. Kč, což znamená rozdíl mezi těmito pohledávkami a závazky ve výši -73 400 tis. Kč. Tato částka snižuje konečný zůstatek ZFZP. </w:t>
      </w:r>
    </w:p>
    <w:p w:rsidR="00435747" w:rsidRPr="005F1629" w:rsidRDefault="00171E69" w:rsidP="002324F0">
      <w:pPr>
        <w:pStyle w:val="Zkladntext"/>
        <w:spacing w:after="0" w:line="280" w:lineRule="atLeast"/>
        <w:jc w:val="both"/>
        <w:rPr>
          <w:rFonts w:asciiTheme="minorHAnsi" w:hAnsiTheme="minorHAnsi" w:cs="Arial"/>
          <w:sz w:val="24"/>
        </w:rPr>
      </w:pPr>
      <w:r w:rsidRPr="005F1629">
        <w:rPr>
          <w:rFonts w:asciiTheme="minorHAnsi" w:hAnsiTheme="minorHAnsi" w:cs="Arial"/>
          <w:sz w:val="24"/>
        </w:rPr>
        <w:lastRenderedPageBreak/>
        <w:t>Tabulka č. 6</w:t>
      </w:r>
      <w:r w:rsidR="00435747" w:rsidRPr="005F1629">
        <w:rPr>
          <w:rFonts w:asciiTheme="minorHAnsi" w:hAnsiTheme="minorHAnsi" w:cs="Arial"/>
          <w:sz w:val="24"/>
        </w:rPr>
        <w:t>: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435747" w:rsidRPr="005F1629" w:rsidTr="003B185B">
        <w:tc>
          <w:tcPr>
            <w:tcW w:w="1951" w:type="dxa"/>
            <w:shd w:val="solid" w:color="000080" w:fill="FFFFFF"/>
          </w:tcPr>
          <w:p w:rsidR="00435747" w:rsidRPr="005F1629" w:rsidRDefault="00435747"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3B185B" w:rsidRPr="005F1629" w:rsidRDefault="003B185B"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435747" w:rsidRPr="005F1629" w:rsidRDefault="00435747" w:rsidP="003B185B">
            <w:pPr>
              <w:pStyle w:val="Zkladntext"/>
              <w:spacing w:after="0" w:line="280" w:lineRule="atLeast"/>
              <w:jc w:val="center"/>
              <w:rPr>
                <w:rFonts w:asciiTheme="minorHAnsi" w:hAnsiTheme="minorHAnsi" w:cs="Arial"/>
                <w:b/>
                <w:bCs/>
                <w:color w:val="FFFFFF"/>
                <w:sz w:val="22"/>
                <w:szCs w:val="22"/>
              </w:rPr>
            </w:pPr>
          </w:p>
        </w:tc>
        <w:tc>
          <w:tcPr>
            <w:tcW w:w="1210" w:type="dxa"/>
            <w:shd w:val="solid" w:color="000080" w:fill="FFFFFF"/>
          </w:tcPr>
          <w:p w:rsidR="003B185B" w:rsidRPr="005F1629" w:rsidRDefault="003B185B"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435747" w:rsidRPr="005F1629" w:rsidRDefault="00435747" w:rsidP="003B185B">
            <w:pPr>
              <w:pStyle w:val="Zkladntext"/>
              <w:spacing w:after="0" w:line="280" w:lineRule="atLeast"/>
              <w:jc w:val="center"/>
              <w:rPr>
                <w:rFonts w:asciiTheme="minorHAnsi" w:hAnsiTheme="minorHAnsi" w:cs="Arial"/>
                <w:b/>
                <w:bCs/>
                <w:color w:val="FFFFFF"/>
                <w:sz w:val="22"/>
                <w:szCs w:val="22"/>
              </w:rPr>
            </w:pPr>
          </w:p>
        </w:tc>
        <w:tc>
          <w:tcPr>
            <w:tcW w:w="1210" w:type="dxa"/>
            <w:shd w:val="solid" w:color="000080" w:fill="FFFFFF"/>
          </w:tcPr>
          <w:p w:rsidR="003B185B" w:rsidRPr="005F1629" w:rsidRDefault="003B185B"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435747" w:rsidRPr="005F1629" w:rsidRDefault="00435747" w:rsidP="003B185B">
            <w:pPr>
              <w:pStyle w:val="Zkladntext"/>
              <w:spacing w:after="0" w:line="280" w:lineRule="atLeast"/>
              <w:jc w:val="center"/>
              <w:rPr>
                <w:rFonts w:asciiTheme="minorHAnsi" w:hAnsiTheme="minorHAnsi" w:cs="Arial"/>
                <w:b/>
                <w:bCs/>
                <w:color w:val="FFFFFF"/>
                <w:sz w:val="22"/>
                <w:szCs w:val="22"/>
              </w:rPr>
            </w:pPr>
          </w:p>
        </w:tc>
        <w:tc>
          <w:tcPr>
            <w:tcW w:w="1210" w:type="dxa"/>
            <w:shd w:val="solid" w:color="000080" w:fill="FFFFFF"/>
          </w:tcPr>
          <w:p w:rsidR="003B185B" w:rsidRPr="005F1629" w:rsidRDefault="003B185B"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435747" w:rsidRPr="005F1629" w:rsidRDefault="00435747" w:rsidP="003B185B">
            <w:pPr>
              <w:pStyle w:val="Zkladntext"/>
              <w:spacing w:after="0" w:line="280" w:lineRule="atLeast"/>
              <w:jc w:val="center"/>
              <w:rPr>
                <w:rFonts w:asciiTheme="minorHAnsi" w:hAnsiTheme="minorHAnsi" w:cs="Arial"/>
                <w:b/>
                <w:bCs/>
                <w:color w:val="FFFFFF"/>
                <w:sz w:val="22"/>
                <w:szCs w:val="22"/>
              </w:rPr>
            </w:pPr>
          </w:p>
        </w:tc>
        <w:tc>
          <w:tcPr>
            <w:tcW w:w="1210" w:type="dxa"/>
            <w:shd w:val="solid" w:color="000080" w:fill="FFFFFF"/>
          </w:tcPr>
          <w:p w:rsidR="003B185B" w:rsidRPr="005F1629" w:rsidRDefault="003B185B"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B185B" w:rsidRPr="005F1629" w:rsidRDefault="008A3731"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3B185B" w:rsidRPr="005F1629">
              <w:rPr>
                <w:rFonts w:asciiTheme="minorHAnsi" w:hAnsiTheme="minorHAnsi" w:cs="Arial"/>
                <w:b/>
                <w:bCs/>
                <w:color w:val="FFFFFF"/>
                <w:sz w:val="22"/>
                <w:szCs w:val="22"/>
              </w:rPr>
              <w:t>(oč. skut.)</w:t>
            </w:r>
          </w:p>
        </w:tc>
        <w:tc>
          <w:tcPr>
            <w:tcW w:w="1210" w:type="dxa"/>
            <w:shd w:val="solid" w:color="000080" w:fill="FFFFFF"/>
          </w:tcPr>
          <w:p w:rsidR="003B185B" w:rsidRPr="005F1629" w:rsidRDefault="003B185B"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B185B" w:rsidRPr="005F1629" w:rsidRDefault="008A3731" w:rsidP="003B185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3B185B" w:rsidRPr="005F1629">
              <w:rPr>
                <w:rFonts w:asciiTheme="minorHAnsi" w:hAnsiTheme="minorHAnsi" w:cs="Arial"/>
                <w:b/>
                <w:bCs/>
                <w:color w:val="FFFFFF"/>
                <w:sz w:val="22"/>
                <w:szCs w:val="22"/>
              </w:rPr>
              <w:t>(ZPP)</w:t>
            </w:r>
          </w:p>
        </w:tc>
      </w:tr>
      <w:tr w:rsidR="00435747" w:rsidRPr="005F1629" w:rsidTr="00A23007">
        <w:tc>
          <w:tcPr>
            <w:tcW w:w="1951" w:type="dxa"/>
            <w:shd w:val="clear" w:color="auto" w:fill="auto"/>
          </w:tcPr>
          <w:p w:rsidR="008A3731" w:rsidRPr="005F1629" w:rsidRDefault="00435747" w:rsidP="003B185B">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Náklady na léčení cizinců</w:t>
            </w:r>
            <w:r w:rsidR="008A3731">
              <w:rPr>
                <w:rFonts w:asciiTheme="minorHAnsi" w:hAnsiTheme="minorHAnsi" w:cs="Arial"/>
                <w:b/>
                <w:sz w:val="22"/>
                <w:szCs w:val="22"/>
              </w:rPr>
              <w:t xml:space="preserve"> </w:t>
            </w:r>
            <w:r w:rsidR="008A3731" w:rsidRPr="008A3731">
              <w:rPr>
                <w:rFonts w:asciiTheme="minorHAnsi" w:hAnsiTheme="minorHAnsi" w:cs="Arial"/>
                <w:b/>
                <w:bCs/>
                <w:sz w:val="22"/>
                <w:szCs w:val="22"/>
              </w:rPr>
              <w:t>(tis. Kč)</w:t>
            </w:r>
          </w:p>
        </w:tc>
        <w:tc>
          <w:tcPr>
            <w:tcW w:w="1209"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290 292</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338 992</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460 103</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522 120</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490 000</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475 000</w:t>
            </w:r>
          </w:p>
        </w:tc>
      </w:tr>
      <w:tr w:rsidR="00435747" w:rsidRPr="005F1629" w:rsidTr="00A23007">
        <w:tc>
          <w:tcPr>
            <w:tcW w:w="1951" w:type="dxa"/>
            <w:shd w:val="clear" w:color="auto" w:fill="auto"/>
          </w:tcPr>
          <w:p w:rsidR="00435747" w:rsidRPr="005F1629" w:rsidRDefault="00435747" w:rsidP="008A373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 xml:space="preserve">Počet ošetřených </w:t>
            </w:r>
            <w:r w:rsidRPr="008A3731">
              <w:rPr>
                <w:rFonts w:asciiTheme="minorHAnsi" w:hAnsiTheme="minorHAnsi" w:cs="Arial"/>
                <w:b/>
                <w:sz w:val="22"/>
                <w:szCs w:val="22"/>
              </w:rPr>
              <w:t>cizinců</w:t>
            </w:r>
            <w:r w:rsidR="008A3731" w:rsidRPr="008A3731">
              <w:rPr>
                <w:rFonts w:asciiTheme="minorHAnsi" w:hAnsiTheme="minorHAnsi" w:cs="Arial"/>
                <w:b/>
                <w:sz w:val="22"/>
                <w:szCs w:val="22"/>
              </w:rPr>
              <w:t xml:space="preserve"> </w:t>
            </w:r>
          </w:p>
        </w:tc>
        <w:tc>
          <w:tcPr>
            <w:tcW w:w="1209"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49 599</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53 558</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64 896</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78 652</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95 000</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92 000</w:t>
            </w:r>
          </w:p>
        </w:tc>
      </w:tr>
      <w:tr w:rsidR="00435747" w:rsidRPr="005F1629" w:rsidTr="00A23007">
        <w:tc>
          <w:tcPr>
            <w:tcW w:w="1951" w:type="dxa"/>
            <w:shd w:val="clear" w:color="auto" w:fill="auto"/>
          </w:tcPr>
          <w:p w:rsidR="00435747" w:rsidRPr="005F1629" w:rsidRDefault="00435747" w:rsidP="003B185B">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sidR="008A3731">
              <w:rPr>
                <w:rFonts w:asciiTheme="minorHAnsi" w:hAnsiTheme="minorHAnsi" w:cs="Arial"/>
                <w:b/>
                <w:sz w:val="22"/>
                <w:szCs w:val="22"/>
              </w:rPr>
              <w:t xml:space="preserve"> </w:t>
            </w:r>
            <w:r w:rsidR="008A3731" w:rsidRPr="008A3731">
              <w:rPr>
                <w:rFonts w:asciiTheme="minorHAnsi" w:hAnsiTheme="minorHAnsi" w:cs="Arial"/>
                <w:b/>
                <w:bCs/>
                <w:sz w:val="22"/>
                <w:szCs w:val="22"/>
              </w:rPr>
              <w:t>(tis. Kč)</w:t>
            </w:r>
          </w:p>
        </w:tc>
        <w:tc>
          <w:tcPr>
            <w:tcW w:w="1209"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w:t>
            </w:r>
            <w:r w:rsidR="00A10F35" w:rsidRPr="005F1629">
              <w:rPr>
                <w:rFonts w:asciiTheme="minorHAnsi" w:hAnsiTheme="minorHAnsi" w:cs="Arial"/>
                <w:sz w:val="22"/>
                <w:szCs w:val="22"/>
              </w:rPr>
              <w:t>,85</w:t>
            </w:r>
          </w:p>
        </w:tc>
        <w:tc>
          <w:tcPr>
            <w:tcW w:w="1210" w:type="dxa"/>
            <w:shd w:val="clear" w:color="auto" w:fill="auto"/>
            <w:vAlign w:val="bottom"/>
          </w:tcPr>
          <w:p w:rsidR="00435747" w:rsidRPr="005F1629" w:rsidRDefault="00A10F35"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6,33</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7</w:t>
            </w:r>
            <w:r w:rsidR="00A10F35" w:rsidRPr="005F1629">
              <w:rPr>
                <w:rFonts w:asciiTheme="minorHAnsi" w:hAnsiTheme="minorHAnsi" w:cs="Arial"/>
                <w:sz w:val="22"/>
                <w:szCs w:val="22"/>
              </w:rPr>
              <w:t>,09</w:t>
            </w:r>
          </w:p>
        </w:tc>
        <w:tc>
          <w:tcPr>
            <w:tcW w:w="1210" w:type="dxa"/>
            <w:shd w:val="clear" w:color="auto" w:fill="auto"/>
            <w:vAlign w:val="bottom"/>
          </w:tcPr>
          <w:p w:rsidR="00435747" w:rsidRPr="005F1629" w:rsidRDefault="00435747"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w:t>
            </w:r>
            <w:r w:rsidR="00A10F35" w:rsidRPr="005F1629">
              <w:rPr>
                <w:rFonts w:asciiTheme="minorHAnsi" w:hAnsiTheme="minorHAnsi" w:cs="Arial"/>
                <w:sz w:val="22"/>
                <w:szCs w:val="22"/>
              </w:rPr>
              <w:t>,64</w:t>
            </w:r>
          </w:p>
        </w:tc>
        <w:tc>
          <w:tcPr>
            <w:tcW w:w="1210" w:type="dxa"/>
            <w:shd w:val="clear" w:color="auto" w:fill="auto"/>
            <w:vAlign w:val="bottom"/>
          </w:tcPr>
          <w:p w:rsidR="00435747" w:rsidRPr="005F1629" w:rsidRDefault="00A10F35"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5,16</w:t>
            </w:r>
          </w:p>
        </w:tc>
        <w:tc>
          <w:tcPr>
            <w:tcW w:w="1210" w:type="dxa"/>
            <w:shd w:val="clear" w:color="auto" w:fill="auto"/>
            <w:vAlign w:val="bottom"/>
          </w:tcPr>
          <w:p w:rsidR="00435747" w:rsidRPr="005F1629" w:rsidRDefault="00A10F35" w:rsidP="00A23007">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5,16</w:t>
            </w:r>
          </w:p>
        </w:tc>
      </w:tr>
    </w:tbl>
    <w:p w:rsidR="00D1415D" w:rsidRPr="005F1629" w:rsidRDefault="00D1415D" w:rsidP="00314E5A">
      <w:pPr>
        <w:jc w:val="both"/>
        <w:rPr>
          <w:rFonts w:asciiTheme="minorHAnsi" w:hAnsiTheme="minorHAnsi" w:cs="Arial"/>
        </w:rPr>
      </w:pPr>
    </w:p>
    <w:p w:rsidR="00DD62CF" w:rsidRPr="005F1629" w:rsidRDefault="00171E69" w:rsidP="007C5D12">
      <w:pPr>
        <w:ind w:firstLine="426"/>
        <w:jc w:val="both"/>
        <w:rPr>
          <w:rFonts w:asciiTheme="minorHAnsi" w:hAnsiTheme="minorHAnsi" w:cs="Arial"/>
        </w:rPr>
      </w:pPr>
      <w:r w:rsidRPr="005F1629">
        <w:rPr>
          <w:rFonts w:asciiTheme="minorHAnsi" w:hAnsiTheme="minorHAnsi" w:cs="Arial"/>
          <w:b/>
          <w:bCs/>
        </w:rPr>
        <w:t xml:space="preserve">Náklady na preventivní péči </w:t>
      </w:r>
      <w:r w:rsidRPr="005F1629">
        <w:rPr>
          <w:rFonts w:asciiTheme="minorHAnsi" w:hAnsiTheme="minorHAnsi" w:cs="Arial"/>
        </w:rPr>
        <w:t>čerpané z Fprev plánuje VZP ČR v celkové výši 520 000 tis. Kč, tj. meziroční pokles nákladů o 16,8</w:t>
      </w:r>
      <w:r w:rsidR="00A10F35" w:rsidRPr="005F1629">
        <w:rPr>
          <w:rFonts w:asciiTheme="minorHAnsi" w:hAnsiTheme="minorHAnsi" w:cs="Arial"/>
        </w:rPr>
        <w:t>0</w:t>
      </w:r>
      <w:r w:rsidRPr="005F1629">
        <w:rPr>
          <w:rFonts w:asciiTheme="minorHAnsi" w:hAnsiTheme="minorHAnsi" w:cs="Arial"/>
        </w:rPr>
        <w:t> %</w:t>
      </w:r>
      <w:r w:rsidR="00763F49" w:rsidRPr="005F1629">
        <w:rPr>
          <w:rFonts w:asciiTheme="minorHAnsi" w:hAnsiTheme="minorHAnsi" w:cs="Arial"/>
        </w:rPr>
        <w:t xml:space="preserve"> a</w:t>
      </w:r>
      <w:r w:rsidRPr="005F1629">
        <w:rPr>
          <w:rFonts w:asciiTheme="minorHAnsi" w:hAnsiTheme="minorHAnsi" w:cs="Arial"/>
        </w:rPr>
        <w:t xml:space="preserve"> v absolutn</w:t>
      </w:r>
      <w:r w:rsidR="00763F49" w:rsidRPr="005F1629">
        <w:rPr>
          <w:rFonts w:asciiTheme="minorHAnsi" w:hAnsiTheme="minorHAnsi" w:cs="Arial"/>
        </w:rPr>
        <w:t>ím vyjádření o 105 000 tis. Kč</w:t>
      </w:r>
      <w:r w:rsidRPr="005F1629">
        <w:rPr>
          <w:rFonts w:asciiTheme="minorHAnsi" w:hAnsiTheme="minorHAnsi" w:cs="Arial"/>
        </w:rPr>
        <w:t>.</w:t>
      </w:r>
      <w:r w:rsidR="00763F49" w:rsidRPr="005F1629">
        <w:rPr>
          <w:rFonts w:asciiTheme="minorHAnsi" w:hAnsiTheme="minorHAnsi" w:cs="Arial"/>
        </w:rPr>
        <w:t xml:space="preserve"> Tento </w:t>
      </w:r>
      <w:r w:rsidR="005A2671" w:rsidRPr="005F1629">
        <w:rPr>
          <w:rFonts w:asciiTheme="minorHAnsi" w:hAnsiTheme="minorHAnsi" w:cs="Arial"/>
        </w:rPr>
        <w:t xml:space="preserve">předpokládaný </w:t>
      </w:r>
      <w:r w:rsidR="00763F49" w:rsidRPr="005F1629">
        <w:rPr>
          <w:rFonts w:asciiTheme="minorHAnsi" w:hAnsiTheme="minorHAnsi" w:cs="Arial"/>
        </w:rPr>
        <w:t xml:space="preserve">pokles je dán </w:t>
      </w:r>
      <w:r w:rsidR="005A2671" w:rsidRPr="005F1629">
        <w:rPr>
          <w:rFonts w:asciiTheme="minorHAnsi" w:hAnsiTheme="minorHAnsi" w:cs="Arial"/>
        </w:rPr>
        <w:t>nedostatečným množstvím finančních prostředků</w:t>
      </w:r>
      <w:r w:rsidR="00D77E9F" w:rsidRPr="005F1629">
        <w:rPr>
          <w:rFonts w:asciiTheme="minorHAnsi" w:hAnsiTheme="minorHAnsi" w:cs="Arial"/>
        </w:rPr>
        <w:t>, a proto se program prevence bude zaměřovat pouze na vybraná klientská portfolia</w:t>
      </w:r>
      <w:r w:rsidR="005A2671" w:rsidRPr="005F1629">
        <w:rPr>
          <w:rFonts w:asciiTheme="minorHAnsi" w:hAnsiTheme="minorHAnsi" w:cs="Arial"/>
        </w:rPr>
        <w:t>.</w:t>
      </w:r>
    </w:p>
    <w:p w:rsidR="00171E69" w:rsidRPr="005F1629" w:rsidRDefault="00171E69" w:rsidP="007C5D12">
      <w:pPr>
        <w:ind w:firstLine="426"/>
        <w:jc w:val="both"/>
        <w:rPr>
          <w:rFonts w:asciiTheme="minorHAnsi" w:hAnsiTheme="minorHAnsi" w:cs="Arial"/>
        </w:rPr>
      </w:pPr>
      <w:r w:rsidRPr="005F1629">
        <w:rPr>
          <w:rFonts w:asciiTheme="minorHAnsi" w:hAnsiTheme="minorHAnsi" w:cs="Arial"/>
        </w:rPr>
        <w:t>Program prevence pro r. 2014 je členěn do tří základních skupin. První skupina zahrnuje zdravotně preventivní programy. Do druhé skupiny jsou zařazeny ozdravné pobyty. Do třetí skupiny patří ostatní činnosti se zaměřením na edukační a informační činnost. Ve všech třech skupinách není předpokládán růst nákladů na rok 2014</w:t>
      </w:r>
      <w:r w:rsidR="008A3731">
        <w:rPr>
          <w:rFonts w:asciiTheme="minorHAnsi" w:hAnsiTheme="minorHAnsi" w:cs="Arial"/>
        </w:rPr>
        <w:t xml:space="preserve"> (Tabulka č. 7)</w:t>
      </w:r>
      <w:r w:rsidRPr="005F1629">
        <w:rPr>
          <w:rFonts w:asciiTheme="minorHAnsi" w:hAnsiTheme="minorHAnsi" w:cs="Arial"/>
        </w:rPr>
        <w:t>.</w:t>
      </w:r>
    </w:p>
    <w:p w:rsidR="00171E69" w:rsidRPr="005F1629" w:rsidRDefault="00171E69" w:rsidP="00434DB1">
      <w:pPr>
        <w:ind w:firstLine="720"/>
        <w:jc w:val="both"/>
        <w:rPr>
          <w:rFonts w:asciiTheme="minorHAnsi" w:hAnsiTheme="minorHAnsi" w:cs="Arial"/>
        </w:rPr>
      </w:pPr>
    </w:p>
    <w:p w:rsidR="00D1415D" w:rsidRPr="005F1629" w:rsidRDefault="002324F0" w:rsidP="002324F0">
      <w:pPr>
        <w:jc w:val="both"/>
        <w:rPr>
          <w:rFonts w:asciiTheme="minorHAnsi" w:hAnsiTheme="minorHAnsi" w:cs="Arial"/>
        </w:rPr>
      </w:pPr>
      <w:r w:rsidRPr="005F1629">
        <w:rPr>
          <w:rFonts w:asciiTheme="minorHAnsi" w:hAnsiTheme="minorHAnsi" w:cs="Arial"/>
        </w:rPr>
        <w:t>Tabulka č. 7</w:t>
      </w:r>
      <w:r w:rsidR="00D1415D" w:rsidRPr="005F1629">
        <w:rPr>
          <w:rFonts w:asciiTheme="minorHAnsi" w:hAnsiTheme="minorHAnsi" w:cs="Arial"/>
        </w:rPr>
        <w:t>: Náklady na preventivní</w:t>
      </w:r>
      <w:r w:rsidR="00902AE3" w:rsidRPr="005F1629">
        <w:rPr>
          <w:rFonts w:asciiTheme="minorHAnsi" w:hAnsiTheme="minorHAnsi" w:cs="Arial"/>
        </w:rPr>
        <w:t xml:space="preserve">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902AE3" w:rsidRPr="005F1629" w:rsidTr="00314E5A">
        <w:tc>
          <w:tcPr>
            <w:tcW w:w="2660" w:type="dxa"/>
            <w:shd w:val="solid" w:color="000080" w:fill="FFFFFF"/>
          </w:tcPr>
          <w:p w:rsidR="00902AE3" w:rsidRPr="005F1629" w:rsidRDefault="00902AE3"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902AE3" w:rsidRPr="005F1629" w:rsidRDefault="006856B1"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902AE3" w:rsidRPr="005F1629" w:rsidRDefault="006856B1"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902AE3" w:rsidRPr="005F1629" w:rsidRDefault="006856B1"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902AE3" w:rsidRPr="005F1629" w:rsidRDefault="006856B1"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902AE3" w:rsidRPr="005F1629" w:rsidRDefault="006856B1"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902AE3" w:rsidRPr="005F1629" w:rsidRDefault="006856B1"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314E5A" w:rsidRPr="005F1629" w:rsidRDefault="00314E5A" w:rsidP="00314E5A">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902AE3" w:rsidRPr="005F1629" w:rsidTr="00A23007">
        <w:tc>
          <w:tcPr>
            <w:tcW w:w="2660" w:type="dxa"/>
            <w:tcBorders>
              <w:top w:val="nil"/>
              <w:left w:val="single" w:sz="8" w:space="0" w:color="auto"/>
              <w:bottom w:val="single" w:sz="8" w:space="0" w:color="auto"/>
              <w:right w:val="single" w:sz="8" w:space="0" w:color="auto"/>
            </w:tcBorders>
            <w:shd w:val="clear" w:color="auto" w:fill="auto"/>
          </w:tcPr>
          <w:p w:rsidR="00902AE3" w:rsidRPr="005F1629" w:rsidRDefault="00902AE3" w:rsidP="00314E5A">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180 476</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41 084</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98 579</w:t>
            </w:r>
          </w:p>
        </w:tc>
        <w:tc>
          <w:tcPr>
            <w:tcW w:w="1091"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257 326</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400 000</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300 000</w:t>
            </w:r>
          </w:p>
        </w:tc>
      </w:tr>
      <w:tr w:rsidR="00902AE3" w:rsidRPr="005F1629" w:rsidTr="00A23007">
        <w:tc>
          <w:tcPr>
            <w:tcW w:w="2660" w:type="dxa"/>
            <w:tcBorders>
              <w:top w:val="nil"/>
              <w:left w:val="single" w:sz="8" w:space="0" w:color="auto"/>
              <w:bottom w:val="single" w:sz="8" w:space="0" w:color="auto"/>
              <w:right w:val="single" w:sz="8" w:space="0" w:color="auto"/>
            </w:tcBorders>
            <w:shd w:val="clear" w:color="auto" w:fill="auto"/>
          </w:tcPr>
          <w:p w:rsidR="00902AE3" w:rsidRPr="005F1629" w:rsidRDefault="00902AE3" w:rsidP="00314E5A">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140 937</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90 681</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84 446</w:t>
            </w:r>
          </w:p>
        </w:tc>
        <w:tc>
          <w:tcPr>
            <w:tcW w:w="1091"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89 013</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100 000</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100 000</w:t>
            </w:r>
          </w:p>
        </w:tc>
      </w:tr>
      <w:tr w:rsidR="00902AE3" w:rsidRPr="005F1629" w:rsidTr="00A23007">
        <w:tc>
          <w:tcPr>
            <w:tcW w:w="2660" w:type="dxa"/>
            <w:tcBorders>
              <w:top w:val="nil"/>
              <w:left w:val="single" w:sz="8" w:space="0" w:color="auto"/>
              <w:bottom w:val="single" w:sz="4" w:space="0" w:color="auto"/>
              <w:right w:val="single" w:sz="8" w:space="0" w:color="auto"/>
            </w:tcBorders>
            <w:shd w:val="clear" w:color="auto" w:fill="auto"/>
          </w:tcPr>
          <w:p w:rsidR="00902AE3" w:rsidRPr="005F1629" w:rsidRDefault="00902AE3" w:rsidP="00314E5A">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165 566</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102 336</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126 934</w:t>
            </w:r>
          </w:p>
        </w:tc>
        <w:tc>
          <w:tcPr>
            <w:tcW w:w="1091"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80 518</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125 000</w:t>
            </w:r>
          </w:p>
        </w:tc>
        <w:tc>
          <w:tcPr>
            <w:tcW w:w="1092" w:type="dxa"/>
            <w:shd w:val="clear" w:color="auto" w:fill="auto"/>
            <w:vAlign w:val="bottom"/>
          </w:tcPr>
          <w:p w:rsidR="00902AE3" w:rsidRPr="005F1629" w:rsidRDefault="006856B1" w:rsidP="00A23007">
            <w:pPr>
              <w:jc w:val="right"/>
              <w:rPr>
                <w:rFonts w:asciiTheme="minorHAnsi" w:hAnsiTheme="minorHAnsi" w:cs="Arial"/>
                <w:sz w:val="22"/>
                <w:szCs w:val="22"/>
              </w:rPr>
            </w:pPr>
            <w:r w:rsidRPr="005F1629">
              <w:rPr>
                <w:rFonts w:asciiTheme="minorHAnsi" w:hAnsiTheme="minorHAnsi" w:cs="Arial"/>
                <w:sz w:val="22"/>
                <w:szCs w:val="22"/>
              </w:rPr>
              <w:t>120 000</w:t>
            </w:r>
          </w:p>
        </w:tc>
      </w:tr>
      <w:tr w:rsidR="00902AE3" w:rsidRPr="005F1629" w:rsidTr="00A23007">
        <w:tc>
          <w:tcPr>
            <w:tcW w:w="2660" w:type="dxa"/>
            <w:tcBorders>
              <w:top w:val="single" w:sz="4" w:space="0" w:color="auto"/>
              <w:left w:val="single" w:sz="4" w:space="0" w:color="auto"/>
              <w:bottom w:val="single" w:sz="4" w:space="0" w:color="auto"/>
              <w:right w:val="single" w:sz="4" w:space="0" w:color="auto"/>
            </w:tcBorders>
            <w:shd w:val="clear" w:color="auto" w:fill="auto"/>
          </w:tcPr>
          <w:p w:rsidR="00902AE3" w:rsidRPr="005F1629" w:rsidRDefault="00314E5A" w:rsidP="00314E5A">
            <w:pPr>
              <w:rPr>
                <w:rFonts w:asciiTheme="minorHAnsi" w:hAnsiTheme="minorHAnsi" w:cs="Arial"/>
                <w:b/>
                <w:bCs/>
                <w:sz w:val="22"/>
                <w:szCs w:val="22"/>
              </w:rPr>
            </w:pPr>
            <w:r w:rsidRPr="005F1629">
              <w:rPr>
                <w:rFonts w:asciiTheme="minorHAnsi" w:hAnsiTheme="minorHAnsi" w:cs="Arial"/>
                <w:b/>
                <w:bCs/>
                <w:sz w:val="22"/>
                <w:szCs w:val="22"/>
              </w:rPr>
              <w:t>Celkové n</w:t>
            </w:r>
            <w:r w:rsidR="00902AE3" w:rsidRPr="005F1629">
              <w:rPr>
                <w:rFonts w:asciiTheme="minorHAnsi" w:hAnsiTheme="minorHAnsi" w:cs="Arial"/>
                <w:b/>
                <w:bCs/>
                <w:sz w:val="22"/>
                <w:szCs w:val="22"/>
              </w:rPr>
              <w:t xml:space="preserve">áklady na </w:t>
            </w:r>
            <w:r w:rsidRPr="005F1629">
              <w:rPr>
                <w:rFonts w:asciiTheme="minorHAnsi" w:hAnsiTheme="minorHAnsi" w:cs="Arial"/>
                <w:b/>
                <w:bCs/>
                <w:sz w:val="22"/>
                <w:szCs w:val="22"/>
              </w:rPr>
              <w:t>preventivní zdravotní péči</w:t>
            </w:r>
          </w:p>
        </w:tc>
        <w:tc>
          <w:tcPr>
            <w:tcW w:w="1091" w:type="dxa"/>
            <w:tcBorders>
              <w:left w:val="single" w:sz="4" w:space="0" w:color="auto"/>
            </w:tcBorders>
            <w:shd w:val="clear" w:color="auto" w:fill="auto"/>
            <w:vAlign w:val="bottom"/>
          </w:tcPr>
          <w:p w:rsidR="00902AE3" w:rsidRPr="005F1629" w:rsidRDefault="006856B1" w:rsidP="00A23007">
            <w:pPr>
              <w:jc w:val="right"/>
              <w:rPr>
                <w:rFonts w:asciiTheme="minorHAnsi" w:hAnsiTheme="minorHAnsi" w:cs="Arial"/>
                <w:b/>
                <w:sz w:val="22"/>
                <w:szCs w:val="22"/>
              </w:rPr>
            </w:pPr>
            <w:r w:rsidRPr="005F1629">
              <w:rPr>
                <w:rFonts w:asciiTheme="minorHAnsi" w:hAnsiTheme="minorHAnsi" w:cs="Arial"/>
                <w:b/>
                <w:sz w:val="22"/>
                <w:szCs w:val="22"/>
              </w:rPr>
              <w:t>486 979</w:t>
            </w:r>
          </w:p>
        </w:tc>
        <w:tc>
          <w:tcPr>
            <w:tcW w:w="1092" w:type="dxa"/>
            <w:shd w:val="clear" w:color="auto" w:fill="auto"/>
            <w:vAlign w:val="bottom"/>
          </w:tcPr>
          <w:p w:rsidR="00902AE3" w:rsidRPr="005F1629" w:rsidRDefault="006856B1" w:rsidP="00A23007">
            <w:pPr>
              <w:jc w:val="right"/>
              <w:rPr>
                <w:rFonts w:asciiTheme="minorHAnsi" w:hAnsiTheme="minorHAnsi" w:cs="Arial"/>
                <w:b/>
                <w:sz w:val="22"/>
                <w:szCs w:val="22"/>
              </w:rPr>
            </w:pPr>
            <w:r w:rsidRPr="005F1629">
              <w:rPr>
                <w:rFonts w:asciiTheme="minorHAnsi" w:hAnsiTheme="minorHAnsi" w:cs="Arial"/>
                <w:b/>
                <w:sz w:val="22"/>
                <w:szCs w:val="22"/>
              </w:rPr>
              <w:t>234 101</w:t>
            </w:r>
          </w:p>
        </w:tc>
        <w:tc>
          <w:tcPr>
            <w:tcW w:w="1092" w:type="dxa"/>
            <w:shd w:val="clear" w:color="auto" w:fill="auto"/>
            <w:vAlign w:val="bottom"/>
          </w:tcPr>
          <w:p w:rsidR="00902AE3" w:rsidRPr="005F1629" w:rsidRDefault="006856B1" w:rsidP="00A23007">
            <w:pPr>
              <w:jc w:val="right"/>
              <w:rPr>
                <w:rFonts w:asciiTheme="minorHAnsi" w:hAnsiTheme="minorHAnsi" w:cs="Arial"/>
                <w:b/>
                <w:sz w:val="22"/>
                <w:szCs w:val="22"/>
              </w:rPr>
            </w:pPr>
            <w:r w:rsidRPr="005F1629">
              <w:rPr>
                <w:rFonts w:asciiTheme="minorHAnsi" w:hAnsiTheme="minorHAnsi" w:cs="Arial"/>
                <w:b/>
                <w:sz w:val="22"/>
                <w:szCs w:val="22"/>
              </w:rPr>
              <w:t>309 959</w:t>
            </w:r>
          </w:p>
        </w:tc>
        <w:tc>
          <w:tcPr>
            <w:tcW w:w="1091" w:type="dxa"/>
            <w:shd w:val="clear" w:color="auto" w:fill="auto"/>
            <w:vAlign w:val="bottom"/>
          </w:tcPr>
          <w:p w:rsidR="00902AE3" w:rsidRPr="005F1629" w:rsidRDefault="006856B1" w:rsidP="00A23007">
            <w:pPr>
              <w:jc w:val="right"/>
              <w:rPr>
                <w:rFonts w:asciiTheme="minorHAnsi" w:hAnsiTheme="minorHAnsi" w:cs="Arial"/>
                <w:b/>
                <w:sz w:val="22"/>
                <w:szCs w:val="22"/>
              </w:rPr>
            </w:pPr>
            <w:r w:rsidRPr="005F1629">
              <w:rPr>
                <w:rFonts w:asciiTheme="minorHAnsi" w:hAnsiTheme="minorHAnsi" w:cs="Arial"/>
                <w:b/>
                <w:sz w:val="22"/>
                <w:szCs w:val="22"/>
              </w:rPr>
              <w:t>426 857</w:t>
            </w:r>
          </w:p>
        </w:tc>
        <w:tc>
          <w:tcPr>
            <w:tcW w:w="1092" w:type="dxa"/>
            <w:shd w:val="clear" w:color="auto" w:fill="auto"/>
            <w:vAlign w:val="bottom"/>
          </w:tcPr>
          <w:p w:rsidR="00902AE3" w:rsidRPr="005F1629" w:rsidRDefault="006856B1" w:rsidP="00A23007">
            <w:pPr>
              <w:jc w:val="right"/>
              <w:rPr>
                <w:rFonts w:asciiTheme="minorHAnsi" w:hAnsiTheme="minorHAnsi" w:cs="Arial"/>
                <w:b/>
                <w:sz w:val="22"/>
                <w:szCs w:val="22"/>
              </w:rPr>
            </w:pPr>
            <w:r w:rsidRPr="005F1629">
              <w:rPr>
                <w:rFonts w:asciiTheme="minorHAnsi" w:hAnsiTheme="minorHAnsi" w:cs="Arial"/>
                <w:b/>
                <w:sz w:val="22"/>
                <w:szCs w:val="22"/>
              </w:rPr>
              <w:t>625 000</w:t>
            </w:r>
          </w:p>
        </w:tc>
        <w:tc>
          <w:tcPr>
            <w:tcW w:w="1092" w:type="dxa"/>
            <w:shd w:val="clear" w:color="auto" w:fill="auto"/>
            <w:vAlign w:val="bottom"/>
          </w:tcPr>
          <w:p w:rsidR="00902AE3" w:rsidRPr="005F1629" w:rsidRDefault="006856B1" w:rsidP="00A23007">
            <w:pPr>
              <w:jc w:val="right"/>
              <w:rPr>
                <w:rFonts w:asciiTheme="minorHAnsi" w:hAnsiTheme="minorHAnsi" w:cs="Arial"/>
                <w:b/>
                <w:sz w:val="22"/>
                <w:szCs w:val="22"/>
              </w:rPr>
            </w:pPr>
            <w:r w:rsidRPr="005F1629">
              <w:rPr>
                <w:rFonts w:asciiTheme="minorHAnsi" w:hAnsiTheme="minorHAnsi" w:cs="Arial"/>
                <w:b/>
                <w:sz w:val="22"/>
                <w:szCs w:val="22"/>
              </w:rPr>
              <w:t>520 000</w:t>
            </w:r>
          </w:p>
        </w:tc>
      </w:tr>
    </w:tbl>
    <w:p w:rsidR="00902AE3" w:rsidRPr="005F1629" w:rsidRDefault="00902AE3" w:rsidP="00DD62CF">
      <w:pPr>
        <w:jc w:val="both"/>
        <w:rPr>
          <w:rFonts w:asciiTheme="minorHAnsi" w:hAnsiTheme="minorHAnsi" w:cs="Arial"/>
        </w:rPr>
      </w:pPr>
    </w:p>
    <w:p w:rsidR="00DD62CF" w:rsidRPr="005F1629" w:rsidRDefault="00AD4F9B" w:rsidP="00DE0C41">
      <w:pPr>
        <w:pStyle w:val="Odstavecseseznamem"/>
        <w:spacing w:before="120" w:after="0" w:line="240" w:lineRule="auto"/>
        <w:ind w:left="0" w:firstLine="426"/>
        <w:jc w:val="both"/>
        <w:rPr>
          <w:rFonts w:asciiTheme="minorHAnsi" w:hAnsiTheme="minorHAnsi" w:cs="Arial"/>
          <w:sz w:val="24"/>
          <w:szCs w:val="24"/>
        </w:rPr>
      </w:pPr>
      <w:r w:rsidRPr="005F1629">
        <w:rPr>
          <w:rFonts w:asciiTheme="minorHAnsi" w:hAnsiTheme="minorHAnsi" w:cs="Arial"/>
          <w:sz w:val="24"/>
          <w:szCs w:val="24"/>
        </w:rPr>
        <w:t xml:space="preserve">Zdravotně preventivní programy zahrnují klientské programy, které VZP ČR realizuje formou finančního příspěvku pojištěnci. V roce 2014 bude vyhlášen jeden ucelený klientský program s názvem Klub pevného zdraví. Tento program bude zahrnovat standardní nabídku příspěvku, kterou si bude moci klient rozšířit o nabídku v programu BEneFIT. </w:t>
      </w:r>
    </w:p>
    <w:p w:rsidR="00DD62CF" w:rsidRPr="005F1629" w:rsidRDefault="00AD4F9B" w:rsidP="00DE0C41">
      <w:pPr>
        <w:pStyle w:val="Odstavecseseznamem"/>
        <w:spacing w:before="120" w:after="0" w:line="240" w:lineRule="auto"/>
        <w:ind w:left="0" w:firstLine="426"/>
        <w:jc w:val="both"/>
        <w:rPr>
          <w:rFonts w:asciiTheme="minorHAnsi" w:hAnsiTheme="minorHAnsi" w:cs="Arial"/>
          <w:sz w:val="24"/>
          <w:szCs w:val="24"/>
        </w:rPr>
      </w:pPr>
      <w:r w:rsidRPr="005F1629">
        <w:rPr>
          <w:rFonts w:asciiTheme="minorHAnsi" w:hAnsiTheme="minorHAnsi" w:cs="Arial"/>
          <w:sz w:val="24"/>
          <w:szCs w:val="24"/>
        </w:rPr>
        <w:t xml:space="preserve">V roce 2014 VZP ČR bude pořádat léčebně ozdravné pobyty u moře pro děti s vybraným onemocněním. Pobyt bude umožněn vždy pro nejméně 3 tisíce dětí, které jsou chronicky nemocné. Cílem programu je zlepšit zdravotní stav těchto dětí, a tím snížit náklady na jejich budoucí léčbu. </w:t>
      </w:r>
    </w:p>
    <w:p w:rsidR="00517293" w:rsidRPr="005F1629" w:rsidRDefault="007C7793" w:rsidP="00DE0C41">
      <w:pPr>
        <w:pStyle w:val="Odstavecseseznamem"/>
        <w:spacing w:before="120" w:after="0" w:line="240" w:lineRule="auto"/>
        <w:ind w:left="0" w:firstLine="426"/>
        <w:jc w:val="both"/>
        <w:rPr>
          <w:rFonts w:asciiTheme="minorHAnsi" w:hAnsiTheme="minorHAnsi" w:cs="Arial"/>
          <w:sz w:val="24"/>
          <w:szCs w:val="24"/>
        </w:rPr>
      </w:pPr>
      <w:r w:rsidRPr="005F1629">
        <w:rPr>
          <w:rFonts w:asciiTheme="minorHAnsi" w:hAnsiTheme="minorHAnsi" w:cs="Arial"/>
          <w:sz w:val="24"/>
          <w:szCs w:val="24"/>
        </w:rPr>
        <w:t>Mezi ostatní</w:t>
      </w:r>
      <w:r w:rsidR="00AD4F9B" w:rsidRPr="005F1629">
        <w:rPr>
          <w:rFonts w:asciiTheme="minorHAnsi" w:hAnsiTheme="minorHAnsi" w:cs="Arial"/>
          <w:sz w:val="24"/>
          <w:szCs w:val="24"/>
        </w:rPr>
        <w:t xml:space="preserve"> činnosti</w:t>
      </w:r>
      <w:r w:rsidRPr="005F1629">
        <w:rPr>
          <w:rFonts w:asciiTheme="minorHAnsi" w:hAnsiTheme="minorHAnsi" w:cs="Arial"/>
          <w:sz w:val="24"/>
          <w:szCs w:val="24"/>
        </w:rPr>
        <w:t xml:space="preserve"> jsou zařazeny </w:t>
      </w:r>
      <w:r w:rsidR="00AD4F9B" w:rsidRPr="005F1629">
        <w:rPr>
          <w:rFonts w:asciiTheme="minorHAnsi" w:hAnsiTheme="minorHAnsi" w:cs="Arial"/>
          <w:sz w:val="24"/>
          <w:szCs w:val="24"/>
        </w:rPr>
        <w:t xml:space="preserve">vzdělávací programy a preventivní programy zaměřené na širokou veřejnost. </w:t>
      </w:r>
      <w:r w:rsidR="00AD4F9B" w:rsidRPr="005F1629">
        <w:rPr>
          <w:rFonts w:asciiTheme="minorHAnsi" w:hAnsiTheme="minorHAnsi" w:cs="Arial"/>
          <w:sz w:val="24"/>
          <w:szCs w:val="24"/>
          <w:u w:val="single"/>
        </w:rPr>
        <w:t>Program Zdravý životní styl</w:t>
      </w:r>
      <w:r w:rsidR="00AD4F9B" w:rsidRPr="005F1629">
        <w:rPr>
          <w:rFonts w:asciiTheme="minorHAnsi" w:hAnsiTheme="minorHAnsi" w:cs="Arial"/>
          <w:sz w:val="24"/>
          <w:szCs w:val="24"/>
        </w:rPr>
        <w:t xml:space="preserve"> zahrnu</w:t>
      </w:r>
      <w:r w:rsidR="00A04661" w:rsidRPr="005F1629">
        <w:rPr>
          <w:rFonts w:asciiTheme="minorHAnsi" w:hAnsiTheme="minorHAnsi" w:cs="Arial"/>
          <w:sz w:val="24"/>
          <w:szCs w:val="24"/>
        </w:rPr>
        <w:t>je</w:t>
      </w:r>
      <w:r w:rsidR="00AD4F9B" w:rsidRPr="005F1629">
        <w:rPr>
          <w:rFonts w:asciiTheme="minorHAnsi" w:hAnsiTheme="minorHAnsi" w:cs="Arial"/>
          <w:sz w:val="24"/>
          <w:szCs w:val="24"/>
        </w:rPr>
        <w:t xml:space="preserve"> prevenci obezity, prevenci kardiovaskulárních chorob, prevenci diabetu, prevenci užívání nelegálních drog, prevenci legálních závislostí a prevenci pohlavně přenosných nemocí. </w:t>
      </w:r>
      <w:r w:rsidR="00AD4F9B" w:rsidRPr="005F1629">
        <w:rPr>
          <w:rFonts w:asciiTheme="minorHAnsi" w:hAnsiTheme="minorHAnsi" w:cs="Arial"/>
          <w:sz w:val="24"/>
          <w:szCs w:val="24"/>
          <w:u w:val="single"/>
        </w:rPr>
        <w:t xml:space="preserve">Program pro prevenci </w:t>
      </w:r>
      <w:r w:rsidR="00AD4F9B" w:rsidRPr="005F1629">
        <w:rPr>
          <w:rFonts w:asciiTheme="minorHAnsi" w:hAnsiTheme="minorHAnsi" w:cs="Arial"/>
          <w:sz w:val="24"/>
          <w:szCs w:val="24"/>
          <w:u w:val="single"/>
        </w:rPr>
        <w:lastRenderedPageBreak/>
        <w:t>onkologických onemocnění</w:t>
      </w:r>
      <w:r w:rsidR="00AD4F9B" w:rsidRPr="005F1629">
        <w:rPr>
          <w:rFonts w:asciiTheme="minorHAnsi" w:hAnsiTheme="minorHAnsi" w:cs="Arial"/>
          <w:sz w:val="24"/>
          <w:szCs w:val="24"/>
        </w:rPr>
        <w:t xml:space="preserve"> zahrnuj</w:t>
      </w:r>
      <w:r w:rsidR="00A04661" w:rsidRPr="005F1629">
        <w:rPr>
          <w:rFonts w:asciiTheme="minorHAnsi" w:hAnsiTheme="minorHAnsi" w:cs="Arial"/>
          <w:sz w:val="24"/>
          <w:szCs w:val="24"/>
        </w:rPr>
        <w:t>e</w:t>
      </w:r>
      <w:r w:rsidR="00AD4F9B" w:rsidRPr="005F1629">
        <w:rPr>
          <w:rFonts w:asciiTheme="minorHAnsi" w:hAnsiTheme="minorHAnsi" w:cs="Arial"/>
          <w:sz w:val="24"/>
          <w:szCs w:val="24"/>
        </w:rPr>
        <w:t xml:space="preserve"> prevenci </w:t>
      </w:r>
      <w:r w:rsidR="00A04661" w:rsidRPr="005F1629">
        <w:rPr>
          <w:rFonts w:asciiTheme="minorHAnsi" w:hAnsiTheme="minorHAnsi" w:cs="Arial"/>
          <w:sz w:val="24"/>
          <w:szCs w:val="24"/>
        </w:rPr>
        <w:t>rakoviny</w:t>
      </w:r>
      <w:r w:rsidR="00AD4F9B" w:rsidRPr="005F1629">
        <w:rPr>
          <w:rFonts w:asciiTheme="minorHAnsi" w:hAnsiTheme="minorHAnsi" w:cs="Arial"/>
          <w:sz w:val="24"/>
          <w:szCs w:val="24"/>
        </w:rPr>
        <w:t xml:space="preserve"> prostaty a</w:t>
      </w:r>
      <w:r w:rsidR="00AD4F9B" w:rsidRPr="005F1629">
        <w:rPr>
          <w:rFonts w:asciiTheme="minorHAnsi" w:hAnsiTheme="minorHAnsi" w:cs="Arial"/>
          <w:bCs/>
          <w:sz w:val="24"/>
          <w:szCs w:val="24"/>
        </w:rPr>
        <w:t> </w:t>
      </w:r>
      <w:r w:rsidR="00AD4F9B" w:rsidRPr="005F1629">
        <w:rPr>
          <w:rFonts w:asciiTheme="minorHAnsi" w:hAnsiTheme="minorHAnsi" w:cs="Arial"/>
          <w:sz w:val="24"/>
          <w:szCs w:val="24"/>
        </w:rPr>
        <w:t xml:space="preserve">kolorektálního karcinomu tlustého střeva, </w:t>
      </w:r>
      <w:r w:rsidR="00A04661" w:rsidRPr="005F1629">
        <w:rPr>
          <w:rFonts w:asciiTheme="minorHAnsi" w:hAnsiTheme="minorHAnsi" w:cs="Arial"/>
          <w:sz w:val="24"/>
          <w:szCs w:val="24"/>
        </w:rPr>
        <w:t>rakoviny</w:t>
      </w:r>
      <w:r w:rsidR="00AD4F9B" w:rsidRPr="005F1629">
        <w:rPr>
          <w:rFonts w:asciiTheme="minorHAnsi" w:hAnsiTheme="minorHAnsi" w:cs="Arial"/>
          <w:sz w:val="24"/>
          <w:szCs w:val="24"/>
        </w:rPr>
        <w:t xml:space="preserve"> děložního čípku a prsu. </w:t>
      </w:r>
      <w:r w:rsidR="00AD4F9B" w:rsidRPr="005F1629">
        <w:rPr>
          <w:rFonts w:asciiTheme="minorHAnsi" w:hAnsiTheme="minorHAnsi" w:cs="Arial"/>
          <w:sz w:val="24"/>
          <w:szCs w:val="24"/>
          <w:u w:val="single"/>
        </w:rPr>
        <w:t>Programy pro děti</w:t>
      </w:r>
      <w:r w:rsidR="00AD4F9B" w:rsidRPr="005F1629">
        <w:rPr>
          <w:rFonts w:asciiTheme="minorHAnsi" w:hAnsiTheme="minorHAnsi" w:cs="Arial"/>
          <w:sz w:val="24"/>
          <w:szCs w:val="24"/>
        </w:rPr>
        <w:t xml:space="preserve"> zahrnují prevenci užívání nelegálních drog, prevenci legálních závislostí, prevenci úrazů, preventivní zubní prohlídky, prevenci obezity a očních vad. </w:t>
      </w:r>
    </w:p>
    <w:p w:rsidR="000113F6" w:rsidRPr="005F1629" w:rsidRDefault="000113F6" w:rsidP="00DE0C41">
      <w:pPr>
        <w:ind w:firstLine="426"/>
        <w:jc w:val="both"/>
        <w:rPr>
          <w:rFonts w:asciiTheme="minorHAnsi" w:hAnsiTheme="minorHAnsi" w:cs="Arial"/>
        </w:rPr>
      </w:pPr>
      <w:r w:rsidRPr="005F1629">
        <w:rPr>
          <w:rFonts w:asciiTheme="minorHAnsi" w:hAnsiTheme="minorHAnsi" w:cs="Arial"/>
        </w:rPr>
        <w:t xml:space="preserve">Ministerstvo zdravotnictví vytváří vlastní modelaci </w:t>
      </w:r>
      <w:r w:rsidRPr="005F1629">
        <w:rPr>
          <w:rFonts w:asciiTheme="minorHAnsi" w:hAnsiTheme="minorHAnsi" w:cs="Arial"/>
          <w:b/>
        </w:rPr>
        <w:t>příjmů z pojistného</w:t>
      </w:r>
      <w:r w:rsidRPr="005F1629">
        <w:rPr>
          <w:rFonts w:asciiTheme="minorHAnsi" w:hAnsiTheme="minorHAnsi" w:cs="Arial"/>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0113F6" w:rsidRPr="005F1629" w:rsidRDefault="000113F6" w:rsidP="00DE0C41">
      <w:pPr>
        <w:spacing w:after="240"/>
        <w:ind w:firstLine="426"/>
        <w:jc w:val="both"/>
        <w:rPr>
          <w:rFonts w:asciiTheme="minorHAnsi" w:hAnsiTheme="minorHAnsi" w:cs="Arial"/>
        </w:rPr>
      </w:pPr>
      <w:r w:rsidRPr="005F1629">
        <w:rPr>
          <w:rFonts w:asciiTheme="minorHAnsi" w:hAnsiTheme="minorHAnsi" w:cs="Arial"/>
        </w:rPr>
        <w:t>VZP</w:t>
      </w:r>
      <w:r w:rsidR="00A04661" w:rsidRPr="005F1629">
        <w:rPr>
          <w:rFonts w:asciiTheme="minorHAnsi" w:hAnsiTheme="minorHAnsi" w:cs="Arial"/>
        </w:rPr>
        <w:t xml:space="preserve"> ČR</w:t>
      </w:r>
      <w:r w:rsidRPr="005F1629">
        <w:rPr>
          <w:rFonts w:asciiTheme="minorHAnsi" w:hAnsiTheme="minorHAnsi" w:cs="Arial"/>
        </w:rPr>
        <w:t xml:space="preserve"> plánuje na straně příjmů pro rok 2014 objem prostředků z pojistného po přerozdělení ve výši 146,62 mld. Kč. Lze konstatovat, že tento odhad je ve shodě s výše popsanou modelací Ministerstva zdravotnictví, které pro VZP </w:t>
      </w:r>
      <w:r w:rsidR="008A3731">
        <w:rPr>
          <w:rFonts w:asciiTheme="minorHAnsi" w:hAnsiTheme="minorHAnsi" w:cs="Arial"/>
        </w:rPr>
        <w:t xml:space="preserve">ČR </w:t>
      </w:r>
      <w:r w:rsidRPr="005F1629">
        <w:rPr>
          <w:rFonts w:asciiTheme="minorHAnsi" w:hAnsiTheme="minorHAnsi" w:cs="Arial"/>
        </w:rPr>
        <w:t>předpokládá v roce 2014 příjmy ve výši 146,28 mld. Kč.</w:t>
      </w:r>
    </w:p>
    <w:p w:rsidR="000113F6" w:rsidRPr="005F1629" w:rsidRDefault="000113F6" w:rsidP="00DE0C41">
      <w:pPr>
        <w:ind w:firstLine="426"/>
        <w:jc w:val="both"/>
        <w:rPr>
          <w:rFonts w:asciiTheme="minorHAnsi" w:hAnsiTheme="minorHAnsi" w:cs="Arial"/>
        </w:rPr>
      </w:pPr>
      <w:r w:rsidRPr="005F1629">
        <w:rPr>
          <w:rFonts w:asciiTheme="minorHAnsi" w:hAnsiTheme="minorHAnsi" w:cs="Arial"/>
        </w:rPr>
        <w:t xml:space="preserve">V oblasti zdravotní politiky Ministerstvo zdravotnictví hodnotí především </w:t>
      </w:r>
      <w:r w:rsidRPr="005F1629">
        <w:rPr>
          <w:rFonts w:asciiTheme="minorHAnsi" w:hAnsiTheme="minorHAnsi" w:cs="Arial"/>
          <w:b/>
        </w:rPr>
        <w:t>soulad s modelacemi dopadů úhradové vyhlášky na rok 2014</w:t>
      </w:r>
      <w:r w:rsidRPr="005F1629">
        <w:rPr>
          <w:rFonts w:asciiTheme="minorHAnsi" w:hAnsiTheme="minorHAnsi" w:cs="Arial"/>
        </w:rPr>
        <w:t>. Úhradová vyhláška je na smluvní vztahy aplikována pouze v případě, kdy nedojd</w:t>
      </w:r>
      <w:r w:rsidR="005111C5">
        <w:rPr>
          <w:rFonts w:asciiTheme="minorHAnsi" w:hAnsiTheme="minorHAnsi" w:cs="Arial"/>
        </w:rPr>
        <w:t>e k dohodě na úhradovém dodatku.</w:t>
      </w:r>
      <w:r w:rsidRPr="005F1629">
        <w:rPr>
          <w:rFonts w:asciiTheme="minorHAnsi" w:hAnsiTheme="minorHAnsi" w:cs="Arial"/>
        </w:rPr>
        <w:t xml:space="preserve"> </w:t>
      </w:r>
      <w:r w:rsidR="005111C5">
        <w:rPr>
          <w:rFonts w:asciiTheme="minorHAnsi" w:hAnsiTheme="minorHAnsi" w:cs="Arial"/>
        </w:rPr>
        <w:t xml:space="preserve">Pro </w:t>
      </w:r>
      <w:r w:rsidRPr="005F1629">
        <w:rPr>
          <w:rFonts w:asciiTheme="minorHAnsi" w:hAnsiTheme="minorHAnsi" w:cs="Arial"/>
        </w:rPr>
        <w:t>hypotetický případ, kdy k dohodám nedojde, a kdy by celý systém fungoval právě podle úhradové vyhlášky, je nutné dohlédnout na konstrukci zdravotně pojistného plánu v takové podobě, aby úhrady podle úhradové vyhlášky umožňoval.</w:t>
      </w:r>
    </w:p>
    <w:p w:rsidR="000113F6" w:rsidRPr="005F1629" w:rsidRDefault="000113F6" w:rsidP="00DE0C41">
      <w:pPr>
        <w:ind w:firstLine="426"/>
        <w:jc w:val="both"/>
        <w:rPr>
          <w:rFonts w:asciiTheme="minorHAnsi" w:hAnsiTheme="minorHAnsi" w:cs="Arial"/>
        </w:rPr>
      </w:pPr>
      <w:r w:rsidRPr="005F1629">
        <w:rPr>
          <w:rFonts w:asciiTheme="minorHAnsi" w:hAnsiTheme="minorHAnsi" w:cs="Arial"/>
        </w:rPr>
        <w:t xml:space="preserve">Ministerstvo hodnotí jednotlivé plánované položky dle segmentů uvedených v příloze </w:t>
      </w:r>
      <w:r w:rsidR="00DF0448">
        <w:rPr>
          <w:rFonts w:asciiTheme="minorHAnsi" w:hAnsiTheme="minorHAnsi" w:cs="Arial"/>
        </w:rPr>
        <w:t xml:space="preserve">ZPP </w:t>
      </w:r>
      <w:r w:rsidRPr="005F1629">
        <w:rPr>
          <w:rFonts w:asciiTheme="minorHAnsi" w:hAnsiTheme="minorHAnsi" w:cs="Arial"/>
        </w:rPr>
        <w:t xml:space="preserve">v tabulce č. 12 tím způsobem, že umožňuje zdravotní pojišťovně odchylku směrem nahoru, tedy plánování vyšších nákladů na daný segment, než jaké předpokládá modelace na základě úhradové vyhlášky. V opačném směru je tolerována odchylka do výše 10 </w:t>
      </w:r>
      <w:r w:rsidRPr="00AF782B">
        <w:rPr>
          <w:rFonts w:asciiTheme="minorHAnsi" w:hAnsiTheme="minorHAnsi" w:cs="Arial"/>
        </w:rPr>
        <w:t>%</w:t>
      </w:r>
      <w:r w:rsidRPr="005F1629">
        <w:rPr>
          <w:rFonts w:asciiTheme="minorHAnsi" w:hAnsiTheme="minorHAnsi" w:cs="Arial"/>
        </w:rPr>
        <w:t xml:space="preserve"> z důvodu skutečnosti, že výsledky výpočtů zdravotní pojišťovny a ministerstva jsou modelací, nikoli přesným odhadem.</w:t>
      </w:r>
    </w:p>
    <w:p w:rsidR="004B7948" w:rsidRPr="005F1629" w:rsidRDefault="000113F6" w:rsidP="00DE0C41">
      <w:pPr>
        <w:spacing w:after="240"/>
        <w:ind w:firstLine="426"/>
        <w:jc w:val="both"/>
        <w:rPr>
          <w:rFonts w:asciiTheme="minorHAnsi" w:hAnsiTheme="minorHAnsi" w:cs="Arial"/>
        </w:rPr>
      </w:pPr>
      <w:r w:rsidRPr="005F1629">
        <w:rPr>
          <w:rFonts w:asciiTheme="minorHAnsi" w:hAnsiTheme="minorHAnsi" w:cs="Arial"/>
        </w:rPr>
        <w:t>V případě VZP</w:t>
      </w:r>
      <w:r w:rsidR="00A04661" w:rsidRPr="005F1629">
        <w:rPr>
          <w:rFonts w:asciiTheme="minorHAnsi" w:hAnsiTheme="minorHAnsi" w:cs="Arial"/>
        </w:rPr>
        <w:t xml:space="preserve"> ČR</w:t>
      </w:r>
      <w:r w:rsidRPr="005F1629">
        <w:rPr>
          <w:rFonts w:asciiTheme="minorHAnsi" w:hAnsiTheme="minorHAnsi" w:cs="Arial"/>
        </w:rPr>
        <w:t xml:space="preserve"> lze konstatovat, že struktura nákladů dle s</w:t>
      </w:r>
      <w:r w:rsidR="004B7948" w:rsidRPr="005F1629">
        <w:rPr>
          <w:rFonts w:asciiTheme="minorHAnsi" w:hAnsiTheme="minorHAnsi" w:cs="Arial"/>
        </w:rPr>
        <w:t xml:space="preserve">egmentů v příloze </w:t>
      </w:r>
      <w:r w:rsidR="00FA7E41">
        <w:rPr>
          <w:rFonts w:asciiTheme="minorHAnsi" w:hAnsiTheme="minorHAnsi" w:cs="Arial"/>
        </w:rPr>
        <w:t xml:space="preserve">ZPP </w:t>
      </w:r>
      <w:r w:rsidR="004B7948" w:rsidRPr="005F1629">
        <w:rPr>
          <w:rFonts w:asciiTheme="minorHAnsi" w:hAnsiTheme="minorHAnsi" w:cs="Arial"/>
        </w:rPr>
        <w:t>v tabulce č. </w:t>
      </w:r>
      <w:r w:rsidRPr="005F1629">
        <w:rPr>
          <w:rFonts w:asciiTheme="minorHAnsi" w:hAnsiTheme="minorHAnsi" w:cs="Arial"/>
        </w:rPr>
        <w:t>12 je ve všech položkách v souladu s modelací Ministerstva zdravotnictví.</w:t>
      </w:r>
    </w:p>
    <w:p w:rsidR="004B7948" w:rsidRPr="005F1629" w:rsidRDefault="004B7948" w:rsidP="004B7948">
      <w:pPr>
        <w:spacing w:after="240"/>
        <w:jc w:val="both"/>
        <w:rPr>
          <w:rFonts w:asciiTheme="minorHAnsi" w:hAnsiTheme="minorHAnsi" w:cs="Arial"/>
          <w:b/>
          <w:sz w:val="28"/>
          <w:szCs w:val="28"/>
          <w:u w:val="single"/>
        </w:rPr>
      </w:pPr>
      <w:r w:rsidRPr="005F1629">
        <w:rPr>
          <w:rFonts w:asciiTheme="minorHAnsi" w:hAnsiTheme="minorHAnsi" w:cs="Arial"/>
          <w:b/>
          <w:sz w:val="28"/>
          <w:szCs w:val="28"/>
          <w:u w:val="single"/>
        </w:rPr>
        <w:t>Závěr</w:t>
      </w:r>
    </w:p>
    <w:p w:rsidR="004B7948" w:rsidRPr="005F1629" w:rsidRDefault="00F721AC" w:rsidP="00DE0C41">
      <w:pPr>
        <w:ind w:firstLine="426"/>
        <w:jc w:val="both"/>
        <w:rPr>
          <w:rFonts w:asciiTheme="minorHAnsi" w:hAnsiTheme="minorHAnsi" w:cs="Arial"/>
          <w:b/>
        </w:rPr>
      </w:pPr>
      <w:r w:rsidRPr="005F1629">
        <w:rPr>
          <w:rFonts w:asciiTheme="minorHAnsi" w:hAnsiTheme="minorHAnsi" w:cs="Arial"/>
          <w:b/>
        </w:rPr>
        <w:t xml:space="preserve">Z obdržených podkladů lze soudit, že </w:t>
      </w:r>
      <w:r w:rsidR="004B7948" w:rsidRPr="005F1629">
        <w:rPr>
          <w:rFonts w:asciiTheme="minorHAnsi" w:hAnsiTheme="minorHAnsi" w:cs="Arial"/>
          <w:b/>
        </w:rPr>
        <w:t xml:space="preserve">návrh </w:t>
      </w:r>
      <w:r w:rsidRPr="005F1629">
        <w:rPr>
          <w:rFonts w:asciiTheme="minorHAnsi" w:hAnsiTheme="minorHAnsi" w:cs="Arial"/>
          <w:b/>
        </w:rPr>
        <w:t xml:space="preserve">ZPP </w:t>
      </w:r>
      <w:r w:rsidR="004B7948" w:rsidRPr="005F1629">
        <w:rPr>
          <w:rFonts w:asciiTheme="minorHAnsi" w:hAnsiTheme="minorHAnsi" w:cs="Arial"/>
          <w:b/>
        </w:rPr>
        <w:t xml:space="preserve">2014 Všeobecné zdravotní pojišťovny </w:t>
      </w:r>
      <w:r w:rsidRPr="005F1629">
        <w:rPr>
          <w:rFonts w:asciiTheme="minorHAnsi" w:hAnsiTheme="minorHAnsi" w:cs="Arial"/>
          <w:b/>
        </w:rPr>
        <w:t>je v souladu s práv</w:t>
      </w:r>
      <w:r w:rsidR="004B7948" w:rsidRPr="005F1629">
        <w:rPr>
          <w:rFonts w:asciiTheme="minorHAnsi" w:hAnsiTheme="minorHAnsi" w:cs="Arial"/>
          <w:b/>
        </w:rPr>
        <w:t xml:space="preserve">ními předpisy a veřejným zájmem. </w:t>
      </w:r>
      <w:r w:rsidR="00945D34" w:rsidRPr="005F1629">
        <w:rPr>
          <w:rFonts w:asciiTheme="minorHAnsi" w:hAnsiTheme="minorHAnsi" w:cs="Arial"/>
          <w:b/>
        </w:rPr>
        <w:t>Ministerstvo zdravotnictví a Ministerstvo financí doporučují v</w:t>
      </w:r>
      <w:r w:rsidR="004B7948" w:rsidRPr="005F1629">
        <w:rPr>
          <w:rFonts w:asciiTheme="minorHAnsi" w:hAnsiTheme="minorHAnsi" w:cs="Arial"/>
          <w:b/>
        </w:rPr>
        <w:t>lád</w:t>
      </w:r>
      <w:r w:rsidR="00945D34" w:rsidRPr="005F1629">
        <w:rPr>
          <w:rFonts w:asciiTheme="minorHAnsi" w:hAnsiTheme="minorHAnsi" w:cs="Arial"/>
          <w:b/>
        </w:rPr>
        <w:t>ě</w:t>
      </w:r>
      <w:r w:rsidR="004B7948" w:rsidRPr="005F1629">
        <w:rPr>
          <w:rFonts w:asciiTheme="minorHAnsi" w:hAnsiTheme="minorHAnsi" w:cs="Arial"/>
          <w:b/>
        </w:rPr>
        <w:t xml:space="preserve"> </w:t>
      </w:r>
      <w:r w:rsidR="00945D34" w:rsidRPr="005F1629">
        <w:rPr>
          <w:rFonts w:asciiTheme="minorHAnsi" w:hAnsiTheme="minorHAnsi" w:cs="Arial"/>
          <w:b/>
        </w:rPr>
        <w:t xml:space="preserve">ČR </w:t>
      </w:r>
      <w:r w:rsidR="004B7948" w:rsidRPr="005F1629">
        <w:rPr>
          <w:rFonts w:asciiTheme="minorHAnsi" w:hAnsiTheme="minorHAnsi" w:cs="Arial"/>
          <w:b/>
        </w:rPr>
        <w:t>předložit tento návrh Poslanecké sněmovně Parlamentu České republiky k projednání s návrhem na jeho schválení.</w:t>
      </w:r>
    </w:p>
    <w:p w:rsidR="000113F6" w:rsidRPr="005F1629" w:rsidRDefault="000113F6" w:rsidP="004B7948">
      <w:pPr>
        <w:spacing w:after="240"/>
        <w:jc w:val="both"/>
        <w:rPr>
          <w:rFonts w:asciiTheme="minorHAnsi" w:hAnsiTheme="minorHAnsi" w:cs="Arial"/>
        </w:rPr>
      </w:pPr>
    </w:p>
    <w:p w:rsidR="000113F6" w:rsidRPr="005F1629" w:rsidRDefault="000113F6" w:rsidP="000113F6">
      <w:pPr>
        <w:ind w:firstLine="567"/>
        <w:jc w:val="both"/>
        <w:rPr>
          <w:rFonts w:asciiTheme="minorHAnsi" w:hAnsiTheme="minorHAnsi" w:cs="Arial"/>
        </w:rPr>
      </w:pPr>
    </w:p>
    <w:p w:rsidR="000113F6" w:rsidRPr="005F1629" w:rsidRDefault="000113F6" w:rsidP="00B1735B">
      <w:pPr>
        <w:pStyle w:val="Odstavecseseznamem"/>
        <w:spacing w:before="120" w:after="0"/>
        <w:ind w:left="0" w:firstLine="567"/>
        <w:rPr>
          <w:rFonts w:asciiTheme="minorHAnsi" w:hAnsiTheme="minorHAnsi" w:cs="Arial"/>
          <w:sz w:val="24"/>
          <w:szCs w:val="24"/>
        </w:rPr>
      </w:pPr>
    </w:p>
    <w:p w:rsidR="00302527" w:rsidRDefault="00171E69" w:rsidP="004F6633">
      <w:pPr>
        <w:ind w:left="993" w:hanging="993"/>
        <w:jc w:val="both"/>
        <w:rPr>
          <w:rFonts w:asciiTheme="minorHAnsi" w:hAnsiTheme="minorHAnsi" w:cs="Arial"/>
          <w:b/>
          <w:sz w:val="28"/>
          <w:szCs w:val="28"/>
        </w:rPr>
      </w:pPr>
      <w:r w:rsidRPr="005F1629">
        <w:rPr>
          <w:rFonts w:asciiTheme="minorHAnsi" w:hAnsiTheme="minorHAnsi" w:cs="Arial"/>
          <w:b/>
          <w:sz w:val="28"/>
          <w:szCs w:val="28"/>
        </w:rPr>
        <w:br w:type="page"/>
      </w:r>
    </w:p>
    <w:p w:rsidR="00302527" w:rsidRPr="005F1629" w:rsidRDefault="00302527" w:rsidP="00302527">
      <w:pPr>
        <w:pStyle w:val="Zkladntext3"/>
        <w:rPr>
          <w:rFonts w:asciiTheme="minorHAnsi" w:hAnsiTheme="minorHAnsi" w:cs="Arial"/>
          <w:sz w:val="28"/>
          <w:szCs w:val="28"/>
          <w:u w:val="single"/>
        </w:rPr>
      </w:pPr>
      <w:r>
        <w:rPr>
          <w:rFonts w:asciiTheme="minorHAnsi" w:hAnsiTheme="minorHAnsi" w:cs="Arial"/>
          <w:sz w:val="28"/>
          <w:szCs w:val="28"/>
          <w:u w:val="single"/>
        </w:rPr>
        <w:lastRenderedPageBreak/>
        <w:t>201</w:t>
      </w:r>
      <w:r w:rsidRPr="005F1629">
        <w:rPr>
          <w:rFonts w:asciiTheme="minorHAnsi" w:hAnsiTheme="minorHAnsi" w:cs="Arial"/>
          <w:sz w:val="28"/>
          <w:szCs w:val="28"/>
          <w:u w:val="single"/>
        </w:rPr>
        <w:t xml:space="preserve"> – </w:t>
      </w:r>
      <w:r w:rsidRPr="002B6E5A">
        <w:rPr>
          <w:rFonts w:asciiTheme="minorHAnsi" w:hAnsiTheme="minorHAnsi" w:cs="Arial"/>
          <w:sz w:val="28"/>
          <w:szCs w:val="28"/>
          <w:u w:val="single"/>
        </w:rPr>
        <w:t xml:space="preserve">Vojenská zdravotní pojišťovna České republiky </w:t>
      </w:r>
      <w:r w:rsidRPr="005F1629">
        <w:rPr>
          <w:rFonts w:asciiTheme="minorHAnsi" w:hAnsiTheme="minorHAnsi" w:cs="Arial"/>
          <w:sz w:val="28"/>
          <w:szCs w:val="28"/>
          <w:u w:val="single"/>
        </w:rPr>
        <w:t>(</w:t>
      </w:r>
      <w:r>
        <w:rPr>
          <w:rFonts w:asciiTheme="minorHAnsi" w:hAnsiTheme="minorHAnsi" w:cs="Arial"/>
          <w:sz w:val="28"/>
          <w:szCs w:val="28"/>
          <w:u w:val="single"/>
        </w:rPr>
        <w:t>VoZP</w:t>
      </w:r>
      <w:r w:rsidRPr="005F1629">
        <w:rPr>
          <w:rFonts w:asciiTheme="minorHAnsi" w:hAnsiTheme="minorHAnsi" w:cs="Arial"/>
          <w:sz w:val="28"/>
          <w:szCs w:val="28"/>
          <w:u w:val="single"/>
        </w:rPr>
        <w:t xml:space="preserve">) </w:t>
      </w:r>
    </w:p>
    <w:p w:rsidR="00302527" w:rsidRPr="005F1629" w:rsidRDefault="00302527" w:rsidP="00302527">
      <w:pPr>
        <w:pStyle w:val="Zkladntext3"/>
        <w:rPr>
          <w:rFonts w:asciiTheme="minorHAnsi" w:hAnsiTheme="minorHAnsi" w:cs="Arial"/>
        </w:rPr>
      </w:pPr>
    </w:p>
    <w:p w:rsidR="00302527" w:rsidRPr="005F1629" w:rsidRDefault="00302527" w:rsidP="00302527">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302527" w:rsidRPr="00207D5B" w:rsidRDefault="00302527" w:rsidP="00207D5B">
      <w:pPr>
        <w:spacing w:after="240"/>
        <w:ind w:left="357" w:hanging="357"/>
        <w:jc w:val="both"/>
        <w:rPr>
          <w:rFonts w:asciiTheme="minorHAnsi" w:hAnsiTheme="minorHAnsi" w:cs="Arial"/>
          <w:i/>
          <w:sz w:val="20"/>
          <w:szCs w:val="20"/>
        </w:rPr>
      </w:pPr>
      <w:r w:rsidRPr="005F1629">
        <w:rPr>
          <w:rFonts w:asciiTheme="minorHAnsi" w:hAnsiTheme="minorHAnsi" w:cs="Arial"/>
          <w:i/>
          <w:sz w:val="20"/>
          <w:szCs w:val="20"/>
        </w:rPr>
        <w:t xml:space="preserve">(použité číselné údaje jsou obsaženy v příloze, v tabulkách č. 1, 1a),1b,) 1c), případně v ZPP 2014) </w:t>
      </w:r>
    </w:p>
    <w:p w:rsidR="00302527" w:rsidRPr="007814E4" w:rsidRDefault="00302527" w:rsidP="00DE0C41">
      <w:pPr>
        <w:spacing w:after="240"/>
        <w:ind w:firstLine="426"/>
        <w:jc w:val="both"/>
        <w:rPr>
          <w:rFonts w:asciiTheme="minorHAnsi" w:hAnsiTheme="minorHAnsi" w:cs="Arial"/>
        </w:rPr>
      </w:pPr>
      <w:r w:rsidRPr="007814E4">
        <w:rPr>
          <w:rFonts w:asciiTheme="minorHAnsi" w:hAnsiTheme="minorHAnsi" w:cs="Arial"/>
        </w:rPr>
        <w:t>Původně předložený návrh ZPP 2014 Vojenské zdravotní pojišťovny ČR (VoZP ČR) byl vrácen k přepracování. Ministerstvo zdravotnictví konstatovalo nesoulad plánu s tzv. úhradovou vyhláškou v segmentu lůžkové péče. Následně bylo stanoveno provizorium, které navyšovalo výdaje na tento segment o 600 mil. Kč. V následujících týdnech probíhalo jed</w:t>
      </w:r>
      <w:r>
        <w:rPr>
          <w:rFonts w:asciiTheme="minorHAnsi" w:hAnsiTheme="minorHAnsi" w:cs="Arial"/>
        </w:rPr>
        <w:t>nání zástupců pojišťovny i MZ</w:t>
      </w:r>
      <w:r w:rsidRPr="007814E4">
        <w:rPr>
          <w:rFonts w:asciiTheme="minorHAnsi" w:hAnsiTheme="minorHAnsi" w:cs="Arial"/>
        </w:rPr>
        <w:t xml:space="preserve">, na základě kterého došlo k upřesnění modelací u obou subjektů. Upravený ZPP 2014 tedy obsahuje zvýšení výdajů v segmentu lůžkové péče o 230 mil. Kč. </w:t>
      </w:r>
    </w:p>
    <w:p w:rsidR="00302527" w:rsidRPr="007814E4" w:rsidRDefault="00302527" w:rsidP="00DE0C41">
      <w:pPr>
        <w:spacing w:after="240"/>
        <w:ind w:firstLine="426"/>
        <w:jc w:val="both"/>
        <w:rPr>
          <w:rFonts w:asciiTheme="minorHAnsi" w:hAnsiTheme="minorHAnsi" w:cs="Arial"/>
        </w:rPr>
      </w:pPr>
      <w:r w:rsidRPr="007814E4">
        <w:rPr>
          <w:rFonts w:asciiTheme="minorHAnsi" w:hAnsiTheme="minorHAnsi" w:cs="Arial"/>
        </w:rPr>
        <w:t>VoZP ČR je pojišťovnou s celostá</w:t>
      </w:r>
      <w:r>
        <w:rPr>
          <w:rFonts w:asciiTheme="minorHAnsi" w:hAnsiTheme="minorHAnsi" w:cs="Arial"/>
        </w:rPr>
        <w:t>tní působností, která</w:t>
      </w:r>
      <w:r w:rsidRPr="007814E4">
        <w:rPr>
          <w:rFonts w:asciiTheme="minorHAnsi" w:hAnsiTheme="minorHAnsi" w:cs="Arial"/>
        </w:rPr>
        <w:t xml:space="preserve"> zajišťuje financování zdravotních služeb i pro AČR, popř. i pro ozbrojené jednotky NATO v době jejich působení v ČR. </w:t>
      </w:r>
      <w:r w:rsidRPr="007814E4">
        <w:rPr>
          <w:rFonts w:asciiTheme="minorHAnsi" w:hAnsiTheme="minorHAnsi" w:cs="Arial"/>
          <w:b/>
        </w:rPr>
        <w:t>Organizační strukturu</w:t>
      </w:r>
      <w:r w:rsidRPr="007814E4">
        <w:rPr>
          <w:rFonts w:asciiTheme="minorHAnsi" w:hAnsiTheme="minorHAnsi" w:cs="Arial"/>
        </w:rPr>
        <w:t xml:space="preserve"> tvoří Ústředí v Praze a sedm poboček.</w:t>
      </w:r>
    </w:p>
    <w:p w:rsidR="00302527" w:rsidRPr="007814E4" w:rsidRDefault="00302527" w:rsidP="00DE0C41">
      <w:pPr>
        <w:ind w:firstLine="426"/>
        <w:jc w:val="both"/>
        <w:rPr>
          <w:rFonts w:asciiTheme="minorHAnsi" w:hAnsiTheme="minorHAnsi"/>
        </w:rPr>
      </w:pPr>
      <w:r w:rsidRPr="007814E4">
        <w:rPr>
          <w:rFonts w:asciiTheme="minorHAnsi" w:hAnsiTheme="minorHAnsi" w:cs="Arial"/>
        </w:rPr>
        <w:t>Plánovaný průměrný počet</w:t>
      </w:r>
      <w:r w:rsidRPr="007814E4">
        <w:rPr>
          <w:rFonts w:asciiTheme="minorHAnsi" w:hAnsiTheme="minorHAnsi" w:cs="Arial"/>
          <w:b/>
        </w:rPr>
        <w:t xml:space="preserve"> </w:t>
      </w:r>
      <w:r w:rsidRPr="007814E4">
        <w:rPr>
          <w:rFonts w:asciiTheme="minorHAnsi" w:hAnsiTheme="minorHAnsi" w:cs="Arial"/>
        </w:rPr>
        <w:t xml:space="preserve">694 584 pojištěnců meziročně roste o 26 984 (o 4,0 %). </w:t>
      </w:r>
      <w:r w:rsidRPr="007814E4">
        <w:rPr>
          <w:rFonts w:asciiTheme="minorHAnsi" w:hAnsiTheme="minorHAnsi" w:cs="Arial"/>
          <w:b/>
        </w:rPr>
        <w:t>Stav počtu pojištěnců</w:t>
      </w:r>
      <w:r w:rsidRPr="007814E4">
        <w:rPr>
          <w:rFonts w:asciiTheme="minorHAnsi" w:hAnsiTheme="minorHAnsi" w:cs="Arial"/>
        </w:rPr>
        <w:t xml:space="preserve"> k 31. 12. 2014 je odhadován na 695 000, z toho počet státem hrazených činí 384 435 (55,3 %), rovněž s meziročním nárůstem o 4,0 %. Na jednoho zaměstnance připadá v průměru 1 763 pojištěnců, což je meziročně více o 69 pojištěnců.</w:t>
      </w:r>
    </w:p>
    <w:p w:rsidR="00302527" w:rsidRPr="007814E4" w:rsidRDefault="00302527" w:rsidP="00302527">
      <w:pPr>
        <w:jc w:val="both"/>
        <w:rPr>
          <w:rFonts w:asciiTheme="minorHAnsi" w:hAnsiTheme="minorHAnsi" w:cs="Arial"/>
          <w:b/>
          <w:i/>
          <w:u w:val="single"/>
        </w:rPr>
      </w:pPr>
    </w:p>
    <w:p w:rsidR="00302527" w:rsidRPr="00207D5B" w:rsidRDefault="00302527" w:rsidP="00207D5B">
      <w:pPr>
        <w:spacing w:after="240"/>
        <w:rPr>
          <w:rFonts w:asciiTheme="minorHAnsi" w:hAnsiTheme="minorHAnsi" w:cs="Arial"/>
          <w:b/>
          <w:i/>
          <w:u w:val="single"/>
        </w:rPr>
      </w:pPr>
      <w:r w:rsidRPr="007814E4">
        <w:rPr>
          <w:rFonts w:asciiTheme="minorHAnsi" w:hAnsiTheme="minorHAnsi" w:cs="Arial"/>
          <w:b/>
          <w:i/>
          <w:u w:val="single"/>
        </w:rPr>
        <w:t xml:space="preserve">Plánované ukazatele na rok 2014 </w:t>
      </w:r>
    </w:p>
    <w:p w:rsidR="00302527" w:rsidRPr="007814E4" w:rsidRDefault="00302527" w:rsidP="00207D5B">
      <w:pPr>
        <w:pStyle w:val="Odstavecseseznamem"/>
        <w:numPr>
          <w:ilvl w:val="0"/>
          <w:numId w:val="29"/>
        </w:numPr>
        <w:spacing w:after="0" w:line="240" w:lineRule="auto"/>
        <w:ind w:left="284" w:hanging="284"/>
        <w:jc w:val="both"/>
        <w:rPr>
          <w:rFonts w:asciiTheme="minorHAnsi" w:hAnsiTheme="minorHAnsi" w:cs="Arial"/>
          <w:sz w:val="24"/>
          <w:szCs w:val="24"/>
        </w:rPr>
      </w:pPr>
      <w:r w:rsidRPr="007814E4">
        <w:rPr>
          <w:rFonts w:asciiTheme="minorHAnsi" w:hAnsiTheme="minorHAnsi" w:cs="Arial"/>
          <w:b/>
          <w:sz w:val="24"/>
          <w:szCs w:val="24"/>
        </w:rPr>
        <w:t>Příjmy celkem včetně zdaňovaných</w:t>
      </w:r>
      <w:r w:rsidRPr="007814E4">
        <w:rPr>
          <w:rFonts w:asciiTheme="minorHAnsi" w:hAnsiTheme="minorHAnsi" w:cs="Arial"/>
          <w:sz w:val="24"/>
          <w:szCs w:val="24"/>
        </w:rPr>
        <w:t xml:space="preserve"> jsou odhadovány ve výši 14 332 565 tis. Kč s meziročním nárůstem o 7,8 % a pokrývají výdaje včetně zdaňovaných z 99,2 %.  Zbytek představuje zapojení peněžních zůstatků fondů z minulých let.</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b/>
          <w:sz w:val="24"/>
          <w:szCs w:val="24"/>
        </w:rPr>
        <w:t xml:space="preserve">     </w:t>
      </w:r>
      <w:r w:rsidR="00AB352E">
        <w:rPr>
          <w:rFonts w:asciiTheme="minorHAnsi" w:hAnsiTheme="minorHAnsi" w:cs="Arial"/>
          <w:b/>
          <w:sz w:val="24"/>
          <w:szCs w:val="24"/>
        </w:rPr>
        <w:tab/>
      </w:r>
      <w:r w:rsidRPr="007814E4">
        <w:rPr>
          <w:rFonts w:asciiTheme="minorHAnsi" w:hAnsiTheme="minorHAnsi" w:cs="Arial"/>
          <w:b/>
          <w:sz w:val="24"/>
          <w:szCs w:val="24"/>
        </w:rPr>
        <w:t xml:space="preserve">Příjmy z pojistného po přerozdělování </w:t>
      </w:r>
      <w:r w:rsidRPr="007814E4">
        <w:rPr>
          <w:rFonts w:asciiTheme="minorHAnsi" w:hAnsiTheme="minorHAnsi" w:cs="Arial"/>
          <w:sz w:val="24"/>
          <w:szCs w:val="24"/>
        </w:rPr>
        <w:t>se plánují</w:t>
      </w:r>
      <w:r w:rsidRPr="007814E4">
        <w:rPr>
          <w:rFonts w:asciiTheme="minorHAnsi" w:hAnsiTheme="minorHAnsi" w:cs="Arial"/>
          <w:b/>
          <w:sz w:val="24"/>
          <w:szCs w:val="24"/>
        </w:rPr>
        <w:t xml:space="preserve"> </w:t>
      </w:r>
      <w:r w:rsidRPr="007814E4">
        <w:rPr>
          <w:rFonts w:asciiTheme="minorHAnsi" w:hAnsiTheme="minorHAnsi" w:cs="Arial"/>
          <w:sz w:val="24"/>
          <w:szCs w:val="24"/>
        </w:rPr>
        <w:t>ve výši</w:t>
      </w:r>
      <w:r w:rsidRPr="007814E4">
        <w:rPr>
          <w:rFonts w:asciiTheme="minorHAnsi" w:hAnsiTheme="minorHAnsi" w:cs="Arial"/>
          <w:b/>
          <w:sz w:val="24"/>
          <w:szCs w:val="24"/>
        </w:rPr>
        <w:t xml:space="preserve"> </w:t>
      </w:r>
      <w:r w:rsidRPr="007814E4">
        <w:rPr>
          <w:rFonts w:asciiTheme="minorHAnsi" w:hAnsiTheme="minorHAnsi" w:cs="Arial"/>
          <w:sz w:val="24"/>
          <w:szCs w:val="24"/>
        </w:rPr>
        <w:t xml:space="preserve">14 188 445 tis. Kč s meziročním nárůstem o 8,0 %, v tom příjmy z  výběru pojistného představují 12 465 488 tis. Kč s meziročním nárůstem o 6,6 % a peněžní prostředky plynoucí z přerozdělování v systému v.z.p. 1 722 957 tis. Kč s meziročním nárůstem o 18,8 %. Odhad této meziroční změny je ovlivněn zejména zvýšením platby státu za osoby, za které je plátcem stát. </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b/>
          <w:sz w:val="24"/>
          <w:szCs w:val="24"/>
        </w:rPr>
        <w:t xml:space="preserve">     Průměrný příjem pojistného po přerozdělování na 1 pojištěnce </w:t>
      </w:r>
      <w:r w:rsidRPr="007814E4">
        <w:rPr>
          <w:rFonts w:asciiTheme="minorHAnsi" w:hAnsiTheme="minorHAnsi" w:cs="Arial"/>
          <w:sz w:val="24"/>
          <w:szCs w:val="24"/>
        </w:rPr>
        <w:t>tak bude</w:t>
      </w:r>
      <w:r w:rsidRPr="007814E4">
        <w:rPr>
          <w:rFonts w:asciiTheme="minorHAnsi" w:hAnsiTheme="minorHAnsi" w:cs="Arial"/>
          <w:b/>
          <w:sz w:val="24"/>
          <w:szCs w:val="24"/>
        </w:rPr>
        <w:t xml:space="preserve"> </w:t>
      </w:r>
      <w:r w:rsidRPr="007814E4">
        <w:rPr>
          <w:rFonts w:asciiTheme="minorHAnsi" w:hAnsiTheme="minorHAnsi" w:cs="Arial"/>
          <w:sz w:val="24"/>
          <w:szCs w:val="24"/>
        </w:rPr>
        <w:t xml:space="preserve">činit 20 427 Kč </w:t>
      </w:r>
      <w:r w:rsidR="000E74F9">
        <w:rPr>
          <w:rFonts w:asciiTheme="minorHAnsi" w:hAnsiTheme="minorHAnsi" w:cs="Arial"/>
          <w:sz w:val="24"/>
          <w:szCs w:val="24"/>
        </w:rPr>
        <w:br/>
      </w:r>
      <w:r w:rsidRPr="007814E4">
        <w:rPr>
          <w:rFonts w:asciiTheme="minorHAnsi" w:hAnsiTheme="minorHAnsi" w:cs="Arial"/>
          <w:sz w:val="24"/>
          <w:szCs w:val="24"/>
        </w:rPr>
        <w:t>s meziročním nárůstem o 3,8 %.</w:t>
      </w:r>
    </w:p>
    <w:p w:rsidR="00302527" w:rsidRPr="007814E4" w:rsidRDefault="00302527" w:rsidP="00302527">
      <w:pPr>
        <w:pStyle w:val="Odstavecseseznamem"/>
        <w:numPr>
          <w:ilvl w:val="0"/>
          <w:numId w:val="29"/>
        </w:numPr>
        <w:spacing w:after="0" w:line="240" w:lineRule="auto"/>
        <w:ind w:left="330" w:hanging="330"/>
        <w:jc w:val="both"/>
        <w:rPr>
          <w:rFonts w:asciiTheme="minorHAnsi" w:hAnsiTheme="minorHAnsi" w:cs="Arial"/>
          <w:sz w:val="24"/>
          <w:szCs w:val="24"/>
        </w:rPr>
      </w:pPr>
      <w:r w:rsidRPr="007814E4">
        <w:rPr>
          <w:rFonts w:asciiTheme="minorHAnsi" w:hAnsiTheme="minorHAnsi" w:cs="Arial"/>
          <w:b/>
          <w:sz w:val="24"/>
          <w:szCs w:val="24"/>
        </w:rPr>
        <w:t>Výdaje celkem včetně zdaňovaných</w:t>
      </w:r>
      <w:r w:rsidRPr="007814E4">
        <w:rPr>
          <w:rFonts w:asciiTheme="minorHAnsi" w:hAnsiTheme="minorHAnsi" w:cs="Arial"/>
          <w:sz w:val="24"/>
          <w:szCs w:val="24"/>
        </w:rPr>
        <w:t xml:space="preserve"> se plánují v částce 14 453 129 tis. Kč s meziročním nárůstem o 8,8 %, který umožňuje realizovat záměry smluvní politiky, respektovat v ZFZP kritéria nastavená pro jednotlivé segmenty zdravotních služeb úhradovou vyhláškou </w:t>
      </w:r>
      <w:r w:rsidR="000E74F9">
        <w:rPr>
          <w:rFonts w:asciiTheme="minorHAnsi" w:hAnsiTheme="minorHAnsi" w:cs="Arial"/>
          <w:sz w:val="24"/>
          <w:szCs w:val="24"/>
        </w:rPr>
        <w:br/>
      </w:r>
      <w:r w:rsidRPr="007814E4">
        <w:rPr>
          <w:rFonts w:asciiTheme="minorHAnsi" w:hAnsiTheme="minorHAnsi" w:cs="Arial"/>
          <w:sz w:val="24"/>
          <w:szCs w:val="24"/>
        </w:rPr>
        <w:t xml:space="preserve">a naplnit RF v zákonné výši. Největší podíl 95,9 % tvoří </w:t>
      </w:r>
      <w:r w:rsidRPr="007814E4">
        <w:rPr>
          <w:rFonts w:asciiTheme="minorHAnsi" w:hAnsiTheme="minorHAnsi" w:cs="Arial"/>
          <w:b/>
          <w:sz w:val="24"/>
          <w:szCs w:val="24"/>
        </w:rPr>
        <w:t>výdaje na zdravotní služby hrazené</w:t>
      </w:r>
      <w:r w:rsidRPr="007814E4">
        <w:rPr>
          <w:rFonts w:asciiTheme="minorHAnsi" w:hAnsiTheme="minorHAnsi" w:cs="Arial"/>
          <w:sz w:val="24"/>
          <w:szCs w:val="24"/>
        </w:rPr>
        <w:t xml:space="preserve"> </w:t>
      </w:r>
      <w:r w:rsidRPr="007814E4">
        <w:rPr>
          <w:rFonts w:asciiTheme="minorHAnsi" w:hAnsiTheme="minorHAnsi" w:cs="Arial"/>
          <w:b/>
          <w:sz w:val="24"/>
          <w:szCs w:val="24"/>
        </w:rPr>
        <w:t>ze ZFZP</w:t>
      </w:r>
      <w:r w:rsidRPr="007814E4">
        <w:rPr>
          <w:rFonts w:asciiTheme="minorHAnsi" w:hAnsiTheme="minorHAnsi" w:cs="Arial"/>
          <w:sz w:val="24"/>
          <w:szCs w:val="24"/>
        </w:rPr>
        <w:t xml:space="preserve"> ve výši 13 852 755 tis. Kč s  meziročním nárůstem o 9 %. </w:t>
      </w:r>
      <w:r w:rsidRPr="007814E4">
        <w:rPr>
          <w:rFonts w:asciiTheme="minorHAnsi" w:hAnsiTheme="minorHAnsi" w:cs="Arial"/>
          <w:b/>
          <w:sz w:val="24"/>
          <w:szCs w:val="24"/>
        </w:rPr>
        <w:t>Výdaje na zdravotní služby ze ZFZP</w:t>
      </w:r>
      <w:r w:rsidRPr="007814E4">
        <w:rPr>
          <w:rFonts w:asciiTheme="minorHAnsi" w:hAnsiTheme="minorHAnsi" w:cs="Arial"/>
          <w:sz w:val="24"/>
          <w:szCs w:val="24"/>
        </w:rPr>
        <w:t xml:space="preserve"> </w:t>
      </w:r>
      <w:r w:rsidRPr="007814E4">
        <w:rPr>
          <w:rFonts w:asciiTheme="minorHAnsi" w:hAnsiTheme="minorHAnsi" w:cs="Arial"/>
          <w:b/>
          <w:sz w:val="24"/>
          <w:szCs w:val="24"/>
        </w:rPr>
        <w:t xml:space="preserve">na 1 pojištěnce </w:t>
      </w:r>
      <w:r w:rsidRPr="007814E4">
        <w:rPr>
          <w:rFonts w:asciiTheme="minorHAnsi" w:hAnsiTheme="minorHAnsi" w:cs="Arial"/>
          <w:sz w:val="24"/>
          <w:szCs w:val="24"/>
        </w:rPr>
        <w:t xml:space="preserve">činí 19 943 Kč s meziročním nárůstem o 4,8 %. </w:t>
      </w:r>
      <w:r w:rsidRPr="007814E4">
        <w:rPr>
          <w:rFonts w:asciiTheme="minorHAnsi" w:hAnsiTheme="minorHAnsi" w:cs="Arial"/>
          <w:b/>
          <w:sz w:val="24"/>
          <w:szCs w:val="24"/>
        </w:rPr>
        <w:t xml:space="preserve">Výdaje na zdravotní služby hrazené z fondu prevence </w:t>
      </w:r>
      <w:r w:rsidRPr="007814E4">
        <w:rPr>
          <w:rFonts w:asciiTheme="minorHAnsi" w:hAnsiTheme="minorHAnsi" w:cs="Arial"/>
          <w:sz w:val="24"/>
          <w:szCs w:val="24"/>
        </w:rPr>
        <w:t xml:space="preserve">ve výši 87 000 tis. Kč jsou plánovány na úrovni 99,3 % očekávané </w:t>
      </w:r>
      <w:r w:rsidR="00AB352E">
        <w:rPr>
          <w:rFonts w:asciiTheme="minorHAnsi" w:hAnsiTheme="minorHAnsi" w:cs="Arial"/>
          <w:sz w:val="24"/>
          <w:szCs w:val="24"/>
        </w:rPr>
        <w:t xml:space="preserve">skutečnosti </w:t>
      </w:r>
      <w:r w:rsidRPr="007814E4">
        <w:rPr>
          <w:rFonts w:asciiTheme="minorHAnsi" w:hAnsiTheme="minorHAnsi" w:cs="Arial"/>
          <w:sz w:val="24"/>
          <w:szCs w:val="24"/>
        </w:rPr>
        <w:t>v roce 2013.</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b/>
          <w:sz w:val="24"/>
          <w:szCs w:val="24"/>
        </w:rPr>
        <w:t xml:space="preserve">     Výdaje  PF</w:t>
      </w:r>
      <w:r w:rsidRPr="007814E4">
        <w:rPr>
          <w:rFonts w:asciiTheme="minorHAnsi" w:hAnsiTheme="minorHAnsi" w:cs="Arial"/>
          <w:sz w:val="24"/>
          <w:szCs w:val="24"/>
        </w:rPr>
        <w:t xml:space="preserve">  VoZP ČR plánuje ve výši 448 051 tis. Kč s meziročním růstem o 3,9 %. S výjimkou přídělu 26 000 tis. Kč do FRM ve výši celkových odpisů s meziročním nárůstem o 8,3 % a přídělu do SF ve výši 3 013 tis. Kč nejsou uvažovány žádné převody mezi PF </w:t>
      </w:r>
      <w:r w:rsidR="000E74F9">
        <w:rPr>
          <w:rFonts w:asciiTheme="minorHAnsi" w:hAnsiTheme="minorHAnsi" w:cs="Arial"/>
          <w:sz w:val="24"/>
          <w:szCs w:val="24"/>
        </w:rPr>
        <w:br/>
      </w:r>
      <w:r w:rsidRPr="007814E4">
        <w:rPr>
          <w:rFonts w:asciiTheme="minorHAnsi" w:hAnsiTheme="minorHAnsi" w:cs="Arial"/>
          <w:sz w:val="24"/>
          <w:szCs w:val="24"/>
        </w:rPr>
        <w:t xml:space="preserve">a ostatními fondy. </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sz w:val="24"/>
          <w:szCs w:val="24"/>
        </w:rPr>
        <w:lastRenderedPageBreak/>
        <w:t xml:space="preserve">     </w:t>
      </w:r>
      <w:r w:rsidRPr="007814E4">
        <w:rPr>
          <w:rFonts w:asciiTheme="minorHAnsi" w:hAnsiTheme="minorHAnsi" w:cs="Arial"/>
          <w:b/>
          <w:sz w:val="24"/>
          <w:szCs w:val="24"/>
        </w:rPr>
        <w:t>Skutečný příděl ze ZFZP do PF</w:t>
      </w:r>
      <w:r w:rsidRPr="007814E4">
        <w:rPr>
          <w:rFonts w:asciiTheme="minorHAnsi" w:hAnsiTheme="minorHAnsi" w:cs="Arial"/>
          <w:sz w:val="24"/>
          <w:szCs w:val="24"/>
        </w:rPr>
        <w:t xml:space="preserve"> v částce 480 174 tis. Kč s meziročním nárůstem o 27,2 % je o 4 374 tis. Kč nižší proti limitu nákladů na činnost </w:t>
      </w:r>
      <w:r w:rsidR="00AB352E">
        <w:rPr>
          <w:rFonts w:asciiTheme="minorHAnsi" w:hAnsiTheme="minorHAnsi" w:cs="Arial"/>
          <w:sz w:val="24"/>
          <w:szCs w:val="24"/>
        </w:rPr>
        <w:t xml:space="preserve">ve výši </w:t>
      </w:r>
      <w:r w:rsidRPr="007814E4">
        <w:rPr>
          <w:rFonts w:asciiTheme="minorHAnsi" w:hAnsiTheme="minorHAnsi" w:cs="Arial"/>
          <w:sz w:val="24"/>
          <w:szCs w:val="24"/>
        </w:rPr>
        <w:t>3,39 % vypočtenému z dosažené rozvrhové základny 14 293 445 tis. Kč.</w:t>
      </w:r>
      <w:r w:rsidRPr="007814E4">
        <w:rPr>
          <w:rFonts w:asciiTheme="minorHAnsi" w:hAnsiTheme="minorHAnsi" w:cs="Arial"/>
          <w:b/>
          <w:sz w:val="24"/>
          <w:szCs w:val="24"/>
        </w:rPr>
        <w:t xml:space="preserve"> </w:t>
      </w:r>
    </w:p>
    <w:p w:rsidR="00302527" w:rsidRPr="007814E4" w:rsidRDefault="00302527" w:rsidP="00302527">
      <w:pPr>
        <w:pStyle w:val="Odstavecseseznamem"/>
        <w:ind w:left="330"/>
        <w:jc w:val="both"/>
        <w:rPr>
          <w:rFonts w:asciiTheme="minorHAnsi" w:hAnsiTheme="minorHAnsi" w:cs="Arial"/>
          <w:sz w:val="24"/>
          <w:szCs w:val="24"/>
        </w:rPr>
      </w:pPr>
      <w:r w:rsidRPr="007814E4">
        <w:rPr>
          <w:rFonts w:asciiTheme="minorHAnsi" w:hAnsiTheme="minorHAnsi" w:cs="Arial"/>
          <w:b/>
          <w:sz w:val="24"/>
          <w:szCs w:val="24"/>
        </w:rPr>
        <w:t>Výdaje FRM</w:t>
      </w:r>
      <w:r w:rsidRPr="007814E4">
        <w:rPr>
          <w:rFonts w:asciiTheme="minorHAnsi" w:hAnsiTheme="minorHAnsi" w:cs="Arial"/>
          <w:sz w:val="24"/>
          <w:szCs w:val="24"/>
        </w:rPr>
        <w:t xml:space="preserve"> jsou plánovány ve výši 39 604 tis. Kč s meziročním poklesem na 47,7 %, jehož příčinou je zpětný převod prostředků do PF v roce 2013, se kterým VoZP ČR již v roce 2014 neuvažuje. Vlastní výdaje na pořízení majetku ve výši 39 600 tis. Kč vykazují meziroční nárůst o 20,1 %.</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sz w:val="24"/>
          <w:szCs w:val="24"/>
        </w:rPr>
        <w:t xml:space="preserve">3. </w:t>
      </w:r>
      <w:r w:rsidRPr="007814E4">
        <w:rPr>
          <w:rFonts w:asciiTheme="minorHAnsi" w:hAnsiTheme="minorHAnsi" w:cs="Arial"/>
          <w:b/>
          <w:sz w:val="24"/>
          <w:szCs w:val="24"/>
        </w:rPr>
        <w:t xml:space="preserve">Saldo plánovaných příjmů a výdajů celkem včetně zdaňovaných </w:t>
      </w:r>
      <w:r w:rsidRPr="007814E4">
        <w:rPr>
          <w:rFonts w:asciiTheme="minorHAnsi" w:hAnsiTheme="minorHAnsi" w:cs="Arial"/>
          <w:sz w:val="24"/>
          <w:szCs w:val="24"/>
        </w:rPr>
        <w:t xml:space="preserve">je záporné ve výši  - </w:t>
      </w:r>
      <w:r w:rsidR="000E74F9">
        <w:rPr>
          <w:rFonts w:asciiTheme="minorHAnsi" w:hAnsiTheme="minorHAnsi" w:cs="Arial"/>
          <w:sz w:val="24"/>
          <w:szCs w:val="24"/>
        </w:rPr>
        <w:br/>
      </w:r>
      <w:r w:rsidRPr="007814E4">
        <w:rPr>
          <w:rFonts w:asciiTheme="minorHAnsi" w:hAnsiTheme="minorHAnsi" w:cs="Arial"/>
          <w:sz w:val="24"/>
          <w:szCs w:val="24"/>
        </w:rPr>
        <w:t xml:space="preserve">120 564 tis. Kč a vykazuje meziroční zvýšení o 126 609 tis. Kč. Z toho saldo plánovaných příjmů a výdajů ZFZP je záporné ve výši  - 139 197 tis. Kč a je plně kryté finančními prostředky BÚ ZFZP. Saldo příjmů z pojistného po přerozdělování a výdajů na zdravotní služby ze ZFZP ve výši 336 316 tis. Kč se meziročně snižuje o 22,5 % ve prospěch zvýšení úhrad za zdravotní služby. Saldo disponibilních příjmů ZFZP a nákladů (plánovaného čerpání zdrojů) ZFZP je záporné ve výši - 99 929 tis. Kč s meziroční změnou proti očekávanému kladnému saldu v roce 2013 o 137 552 tis. Kč. </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sz w:val="24"/>
          <w:szCs w:val="24"/>
        </w:rPr>
        <w:t>4.</w:t>
      </w:r>
      <w:r w:rsidRPr="007814E4">
        <w:rPr>
          <w:rFonts w:asciiTheme="minorHAnsi" w:hAnsiTheme="minorHAnsi" w:cs="Arial"/>
          <w:b/>
          <w:sz w:val="24"/>
          <w:szCs w:val="24"/>
        </w:rPr>
        <w:t xml:space="preserve"> Stav pohledávek celkem</w:t>
      </w:r>
      <w:r w:rsidRPr="007814E4">
        <w:rPr>
          <w:rFonts w:asciiTheme="minorHAnsi" w:hAnsiTheme="minorHAnsi" w:cs="Arial"/>
          <w:sz w:val="24"/>
          <w:szCs w:val="24"/>
        </w:rPr>
        <w:t xml:space="preserve"> (bez dohadných položek) k 31. 12. 2014 je plánován ve výši 1 982 663 tis. Kč, tj. o 1,6 % nad úrovní stavu očekávaného na konci roku 2013. </w:t>
      </w:r>
      <w:r w:rsidRPr="007814E4">
        <w:rPr>
          <w:rFonts w:asciiTheme="minorHAnsi" w:hAnsiTheme="minorHAnsi" w:cs="Arial"/>
          <w:b/>
          <w:sz w:val="24"/>
          <w:szCs w:val="24"/>
        </w:rPr>
        <w:t>Z toho pohledávky po lhůtě splatnosti za plátci pojistného</w:t>
      </w:r>
      <w:r w:rsidRPr="007814E4">
        <w:rPr>
          <w:rFonts w:asciiTheme="minorHAnsi" w:hAnsiTheme="minorHAnsi" w:cs="Arial"/>
          <w:sz w:val="24"/>
          <w:szCs w:val="24"/>
        </w:rPr>
        <w:t xml:space="preserve"> VoZP </w:t>
      </w:r>
      <w:r w:rsidR="00AB352E">
        <w:rPr>
          <w:rFonts w:asciiTheme="minorHAnsi" w:hAnsiTheme="minorHAnsi" w:cs="Arial"/>
          <w:sz w:val="24"/>
          <w:szCs w:val="24"/>
        </w:rPr>
        <w:t xml:space="preserve">ČR </w:t>
      </w:r>
      <w:r w:rsidR="000E74F9">
        <w:rPr>
          <w:rFonts w:asciiTheme="minorHAnsi" w:hAnsiTheme="minorHAnsi" w:cs="Arial"/>
          <w:sz w:val="24"/>
          <w:szCs w:val="24"/>
        </w:rPr>
        <w:t xml:space="preserve">plánuje snížit o 2,0 % na </w:t>
      </w:r>
      <w:r w:rsidRPr="007814E4">
        <w:rPr>
          <w:rFonts w:asciiTheme="minorHAnsi" w:hAnsiTheme="minorHAnsi" w:cs="Arial"/>
          <w:sz w:val="24"/>
          <w:szCs w:val="24"/>
        </w:rPr>
        <w:t xml:space="preserve">637 263 tis. Kč. </w:t>
      </w:r>
      <w:r w:rsidRPr="007814E4">
        <w:rPr>
          <w:rFonts w:asciiTheme="minorHAnsi" w:hAnsiTheme="minorHAnsi" w:cs="Arial"/>
          <w:b/>
          <w:sz w:val="24"/>
          <w:szCs w:val="24"/>
        </w:rPr>
        <w:t xml:space="preserve">Dohadné položky aktivní </w:t>
      </w:r>
      <w:r w:rsidRPr="007814E4">
        <w:rPr>
          <w:rFonts w:asciiTheme="minorHAnsi" w:hAnsiTheme="minorHAnsi" w:cs="Arial"/>
          <w:sz w:val="24"/>
          <w:szCs w:val="24"/>
        </w:rPr>
        <w:t xml:space="preserve">ve výši 100 000 tis. Kč jsou na úrovni roku 2013. </w:t>
      </w:r>
      <w:r w:rsidRPr="007814E4">
        <w:rPr>
          <w:rFonts w:asciiTheme="minorHAnsi" w:hAnsiTheme="minorHAnsi" w:cs="Arial"/>
          <w:b/>
          <w:sz w:val="24"/>
          <w:szCs w:val="24"/>
        </w:rPr>
        <w:t>Stav opravných položek</w:t>
      </w:r>
      <w:r w:rsidRPr="007814E4">
        <w:rPr>
          <w:rFonts w:asciiTheme="minorHAnsi" w:hAnsiTheme="minorHAnsi" w:cs="Arial"/>
          <w:sz w:val="24"/>
          <w:szCs w:val="24"/>
        </w:rPr>
        <w:t xml:space="preserve"> dosáhne částky 1 719 849 tis. Kč s meziročním nárůstem o 3,0 %.</w:t>
      </w:r>
    </w:p>
    <w:p w:rsidR="00302527" w:rsidRPr="007814E4" w:rsidRDefault="00302527" w:rsidP="00302527">
      <w:pPr>
        <w:pStyle w:val="Odstavecseseznamem"/>
        <w:ind w:left="330" w:hanging="330"/>
        <w:jc w:val="both"/>
        <w:rPr>
          <w:rFonts w:asciiTheme="minorHAnsi" w:hAnsiTheme="minorHAnsi" w:cs="Arial"/>
          <w:sz w:val="24"/>
          <w:szCs w:val="24"/>
        </w:rPr>
      </w:pPr>
      <w:r w:rsidRPr="007814E4">
        <w:rPr>
          <w:rFonts w:asciiTheme="minorHAnsi" w:hAnsiTheme="minorHAnsi" w:cs="Arial"/>
          <w:b/>
          <w:sz w:val="24"/>
          <w:szCs w:val="24"/>
        </w:rPr>
        <w:t xml:space="preserve">     Stav závazků celkem</w:t>
      </w:r>
      <w:r w:rsidRPr="007814E4">
        <w:rPr>
          <w:rFonts w:asciiTheme="minorHAnsi" w:hAnsiTheme="minorHAnsi" w:cs="Arial"/>
          <w:sz w:val="24"/>
          <w:szCs w:val="24"/>
        </w:rPr>
        <w:t xml:space="preserve"> (bez dohadných polož</w:t>
      </w:r>
      <w:r w:rsidR="00AB352E">
        <w:rPr>
          <w:rFonts w:asciiTheme="minorHAnsi" w:hAnsiTheme="minorHAnsi" w:cs="Arial"/>
          <w:sz w:val="24"/>
          <w:szCs w:val="24"/>
        </w:rPr>
        <w:t xml:space="preserve">ek) k 31. 12. 2014 je plánován </w:t>
      </w:r>
      <w:r w:rsidRPr="007814E4">
        <w:rPr>
          <w:rFonts w:asciiTheme="minorHAnsi" w:hAnsiTheme="minorHAnsi" w:cs="Arial"/>
          <w:sz w:val="24"/>
          <w:szCs w:val="24"/>
        </w:rPr>
        <w:t xml:space="preserve">ve výši 2 140 395 tis. Kč s meziročním nárůstem o 5,5 %, z toho závazky ve lhůtě splatnosti vůči poskytovatelům zdravotních služeb představují 97 % a ve výši 2 075 395 tis. Kč meziročně rostou o 5,4 %. Ostatní závazky 65 000 tis. Kč vykazují růst o 8,3 %. VoZP ČR nepředpokládá na konci roku 2014 vznik </w:t>
      </w:r>
      <w:r w:rsidRPr="007814E4">
        <w:rPr>
          <w:rFonts w:asciiTheme="minorHAnsi" w:hAnsiTheme="minorHAnsi" w:cs="Arial"/>
          <w:b/>
          <w:sz w:val="24"/>
          <w:szCs w:val="24"/>
        </w:rPr>
        <w:t>závazků po lhůtě splatnosti vůči poskytovatelům zdravotních služeb</w:t>
      </w:r>
      <w:r w:rsidRPr="007814E4">
        <w:rPr>
          <w:rFonts w:asciiTheme="minorHAnsi" w:hAnsiTheme="minorHAnsi" w:cs="Arial"/>
          <w:sz w:val="24"/>
          <w:szCs w:val="24"/>
        </w:rPr>
        <w:t xml:space="preserve">. </w:t>
      </w:r>
      <w:r w:rsidRPr="007814E4">
        <w:rPr>
          <w:rFonts w:asciiTheme="minorHAnsi" w:hAnsiTheme="minorHAnsi" w:cs="Arial"/>
          <w:b/>
          <w:sz w:val="24"/>
          <w:szCs w:val="24"/>
        </w:rPr>
        <w:t xml:space="preserve">Dohadné položky pasivní </w:t>
      </w:r>
      <w:r w:rsidRPr="007814E4">
        <w:rPr>
          <w:rFonts w:asciiTheme="minorHAnsi" w:hAnsiTheme="minorHAnsi" w:cs="Arial"/>
          <w:sz w:val="24"/>
          <w:szCs w:val="24"/>
        </w:rPr>
        <w:t xml:space="preserve">jsou zapracovány do návrhu ZPP 2014 ve výši 313 651 tis. Kč, která je očekávána i na konci roku 2013. Stejně tak </w:t>
      </w:r>
      <w:r w:rsidRPr="007814E4">
        <w:rPr>
          <w:rFonts w:asciiTheme="minorHAnsi" w:hAnsiTheme="minorHAnsi" w:cs="Arial"/>
          <w:b/>
          <w:sz w:val="24"/>
          <w:szCs w:val="24"/>
        </w:rPr>
        <w:t xml:space="preserve">rezervy na soudní spory </w:t>
      </w:r>
      <w:r w:rsidRPr="007814E4">
        <w:rPr>
          <w:rFonts w:asciiTheme="minorHAnsi" w:hAnsiTheme="minorHAnsi" w:cs="Arial"/>
          <w:sz w:val="24"/>
          <w:szCs w:val="24"/>
        </w:rPr>
        <w:t>ve výši 14 887 tis. Kč.</w:t>
      </w:r>
    </w:p>
    <w:p w:rsidR="00302527" w:rsidRPr="007814E4" w:rsidRDefault="00302527" w:rsidP="00302527">
      <w:pPr>
        <w:pStyle w:val="Odstavecseseznamem"/>
        <w:ind w:left="330" w:hanging="330"/>
        <w:jc w:val="both"/>
        <w:rPr>
          <w:rFonts w:asciiTheme="minorHAnsi" w:hAnsiTheme="minorHAnsi" w:cs="Arial"/>
          <w:sz w:val="24"/>
          <w:szCs w:val="24"/>
        </w:rPr>
      </w:pPr>
      <w:r w:rsidRPr="00AB352E">
        <w:rPr>
          <w:rFonts w:asciiTheme="minorHAnsi" w:hAnsiTheme="minorHAnsi" w:cs="Arial"/>
          <w:sz w:val="24"/>
          <w:szCs w:val="24"/>
        </w:rPr>
        <w:t>5.</w:t>
      </w:r>
      <w:r w:rsidRPr="007814E4">
        <w:rPr>
          <w:rFonts w:asciiTheme="minorHAnsi" w:hAnsiTheme="minorHAnsi" w:cs="Arial"/>
          <w:b/>
          <w:sz w:val="24"/>
          <w:szCs w:val="24"/>
        </w:rPr>
        <w:t xml:space="preserve"> Stav peněžních prostředků na všech BÚ fondů </w:t>
      </w:r>
      <w:r w:rsidRPr="007814E4">
        <w:rPr>
          <w:rFonts w:asciiTheme="minorHAnsi" w:hAnsiTheme="minorHAnsi" w:cs="Arial"/>
          <w:sz w:val="24"/>
          <w:szCs w:val="24"/>
        </w:rPr>
        <w:t>k  31. 12. 2014 je odhadován ve výši 686 887 tis</w:t>
      </w:r>
      <w:r w:rsidRPr="007814E4">
        <w:rPr>
          <w:rFonts w:asciiTheme="minorHAnsi" w:hAnsiTheme="minorHAnsi" w:cs="Arial"/>
          <w:b/>
          <w:sz w:val="24"/>
          <w:szCs w:val="24"/>
        </w:rPr>
        <w:t>.</w:t>
      </w:r>
      <w:r w:rsidRPr="007814E4">
        <w:rPr>
          <w:rFonts w:asciiTheme="minorHAnsi" w:hAnsiTheme="minorHAnsi" w:cs="Arial"/>
          <w:sz w:val="24"/>
          <w:szCs w:val="24"/>
        </w:rPr>
        <w:t xml:space="preserve"> Kč s meziročním poklesem na 85,1 %, který je způsoben zejména meziročním snížením stavu BÚ ZFZP o 28,9 % (o 139 197 tis. Kč) a BÚ FRM  o 18,7 % (o 11 154 tis. Kč).   VoZP ČR není zatížena splátkami bankovních úvěrů, a ani jejich přijetí v roce 2014 neplánuje.</w:t>
      </w:r>
    </w:p>
    <w:p w:rsidR="00302527" w:rsidRPr="007814E4" w:rsidRDefault="00302527" w:rsidP="00302527">
      <w:pPr>
        <w:pStyle w:val="Odstavecseseznamem"/>
        <w:ind w:left="330" w:hanging="330"/>
        <w:jc w:val="both"/>
        <w:rPr>
          <w:rFonts w:asciiTheme="minorHAnsi" w:hAnsiTheme="minorHAnsi" w:cs="Arial"/>
          <w:sz w:val="24"/>
          <w:szCs w:val="24"/>
        </w:rPr>
      </w:pPr>
      <w:r w:rsidRPr="00AB352E">
        <w:rPr>
          <w:rFonts w:asciiTheme="minorHAnsi" w:hAnsiTheme="minorHAnsi" w:cs="Arial"/>
          <w:sz w:val="24"/>
          <w:szCs w:val="24"/>
        </w:rPr>
        <w:t>6.</w:t>
      </w:r>
      <w:r w:rsidRPr="007814E4">
        <w:rPr>
          <w:rFonts w:asciiTheme="minorHAnsi" w:hAnsiTheme="minorHAnsi" w:cs="Arial"/>
          <w:b/>
          <w:sz w:val="24"/>
          <w:szCs w:val="24"/>
        </w:rPr>
        <w:t xml:space="preserve"> V ostatní zdaňované činnost</w:t>
      </w:r>
      <w:r w:rsidRPr="007814E4">
        <w:rPr>
          <w:rFonts w:asciiTheme="minorHAnsi" w:hAnsiTheme="minorHAnsi" w:cs="Arial"/>
          <w:sz w:val="24"/>
          <w:szCs w:val="24"/>
        </w:rPr>
        <w:t>i je plánován hospodářský výsledek ve výši 1 305 tis. Kč s meziročním zvýšením o 3,9 %. Výnosy se odhadují ve výši 1 800 tis. Kč a náklady ve výši 495 tis. Kč. Jedná se o výnosy z pronájmu dočasně volných prostor v objektech poboček VoZP ČR.</w:t>
      </w:r>
    </w:p>
    <w:p w:rsidR="00302527" w:rsidRPr="007814E4" w:rsidRDefault="00302527" w:rsidP="00AB352E">
      <w:pPr>
        <w:pStyle w:val="Odstavecseseznamem"/>
        <w:spacing w:after="0"/>
        <w:ind w:left="330" w:hanging="330"/>
        <w:jc w:val="both"/>
        <w:rPr>
          <w:rFonts w:asciiTheme="minorHAnsi" w:hAnsiTheme="minorHAnsi" w:cs="Arial"/>
          <w:b/>
          <w:sz w:val="24"/>
          <w:szCs w:val="24"/>
        </w:rPr>
      </w:pPr>
      <w:r w:rsidRPr="00AB352E">
        <w:rPr>
          <w:rFonts w:asciiTheme="minorHAnsi" w:hAnsiTheme="minorHAnsi" w:cs="Arial"/>
          <w:sz w:val="24"/>
          <w:szCs w:val="24"/>
        </w:rPr>
        <w:t>7.</w:t>
      </w:r>
      <w:r w:rsidRPr="007814E4">
        <w:rPr>
          <w:rFonts w:asciiTheme="minorHAnsi" w:hAnsiTheme="minorHAnsi" w:cs="Arial"/>
          <w:b/>
          <w:sz w:val="24"/>
          <w:szCs w:val="24"/>
        </w:rPr>
        <w:t xml:space="preserve"> Specifické informace</w:t>
      </w:r>
    </w:p>
    <w:p w:rsidR="00302527" w:rsidRPr="007814E4" w:rsidRDefault="00302527" w:rsidP="007C5D12">
      <w:pPr>
        <w:pStyle w:val="Zkladntext"/>
        <w:ind w:left="330" w:firstLine="379"/>
        <w:jc w:val="both"/>
        <w:rPr>
          <w:rFonts w:asciiTheme="minorHAnsi" w:hAnsiTheme="minorHAnsi" w:cs="Arial"/>
          <w:sz w:val="24"/>
        </w:rPr>
      </w:pPr>
      <w:r w:rsidRPr="007814E4">
        <w:rPr>
          <w:rFonts w:asciiTheme="minorHAnsi" w:hAnsiTheme="minorHAnsi" w:cs="Arial"/>
          <w:sz w:val="24"/>
        </w:rPr>
        <w:t>VoZP ČR výhradně zajišťuje úhrady za zdravotní služby z</w:t>
      </w:r>
      <w:r w:rsidR="00AB352E">
        <w:rPr>
          <w:rFonts w:asciiTheme="minorHAnsi" w:hAnsiTheme="minorHAnsi" w:cs="Arial"/>
          <w:sz w:val="24"/>
        </w:rPr>
        <w:t> v.z.p.</w:t>
      </w:r>
      <w:r w:rsidRPr="007814E4">
        <w:rPr>
          <w:rFonts w:asciiTheme="minorHAnsi" w:hAnsiTheme="minorHAnsi" w:cs="Arial"/>
          <w:sz w:val="24"/>
        </w:rPr>
        <w:t xml:space="preserve"> pro AČR a zprostředkovává rovněž úhrady za zdravotní a preventivní zdravotní služby pro vojáky v činné službě ze dvou specifických fondů k tomu zřízených podle zákona, jejichž zdrojem jsou prostředky z kapitoly státního rozpočtu MO ČR. Výdaje </w:t>
      </w:r>
      <w:r w:rsidRPr="007814E4">
        <w:rPr>
          <w:rFonts w:asciiTheme="minorHAnsi" w:hAnsiTheme="minorHAnsi" w:cs="Arial"/>
          <w:spacing w:val="-4"/>
          <w:sz w:val="24"/>
        </w:rPr>
        <w:t xml:space="preserve">z obou těchto specifických </w:t>
      </w:r>
      <w:r w:rsidRPr="007814E4">
        <w:rPr>
          <w:rFonts w:asciiTheme="minorHAnsi" w:hAnsiTheme="minorHAnsi" w:cs="Arial"/>
          <w:spacing w:val="-4"/>
          <w:sz w:val="24"/>
        </w:rPr>
        <w:lastRenderedPageBreak/>
        <w:t>fondů jsou plánovány v celkové výši 12 938 tis.</w:t>
      </w:r>
      <w:r w:rsidRPr="007814E4">
        <w:rPr>
          <w:rFonts w:asciiTheme="minorHAnsi" w:hAnsiTheme="minorHAnsi" w:cs="Arial"/>
          <w:sz w:val="24"/>
        </w:rPr>
        <w:t xml:space="preserve"> Kč a jsou finančně kryty z plánované celkové dotace z rozpočtu MO ČR ve výši 12 500 tis. Kč s meziročním zvýšením o 4 500 mil. Kč. I za těchto podmínek je odhadován celkový pokles výdajů z obou fondů na 93,5 % (v tom u FPZÚZP snížení na 86,5 %, u FPÚPP zvýšení na 103,5 %). </w:t>
      </w:r>
    </w:p>
    <w:p w:rsidR="00302527" w:rsidRPr="00A23007" w:rsidRDefault="00302527" w:rsidP="007C5D12">
      <w:pPr>
        <w:pStyle w:val="Odstavecseseznamem"/>
        <w:ind w:left="284" w:firstLine="425"/>
        <w:jc w:val="both"/>
        <w:rPr>
          <w:rFonts w:asciiTheme="minorHAnsi" w:hAnsiTheme="minorHAnsi" w:cs="Arial"/>
          <w:sz w:val="24"/>
          <w:szCs w:val="24"/>
        </w:rPr>
      </w:pPr>
      <w:r w:rsidRPr="007814E4">
        <w:rPr>
          <w:rFonts w:asciiTheme="minorHAnsi" w:hAnsiTheme="minorHAnsi" w:cs="Arial"/>
          <w:sz w:val="24"/>
          <w:szCs w:val="24"/>
        </w:rPr>
        <w:t xml:space="preserve">I v roce 2014 je VoZP ČR povinna plnit a zajistit ve své činnosti, včetně svých informačních systémů, zákonné podmínky zabezpečení utajovaných skutečností souvisejících s AČR a ozbrojenými silami NATO na území ČR i v zahraničních misích, včetně nakládání s osobními údaji příslušníků AČR.  </w:t>
      </w:r>
    </w:p>
    <w:p w:rsidR="00302527" w:rsidRPr="005F1629" w:rsidRDefault="00302527" w:rsidP="00302527">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zdravotní</w:t>
      </w:r>
    </w:p>
    <w:p w:rsidR="00302527" w:rsidRDefault="00302527" w:rsidP="00302527">
      <w:pPr>
        <w:jc w:val="both"/>
        <w:rPr>
          <w:rFonts w:asciiTheme="minorHAnsi" w:hAnsiTheme="minorHAnsi" w:cs="Arial"/>
          <w:i/>
          <w:sz w:val="20"/>
          <w:szCs w:val="20"/>
        </w:rPr>
      </w:pPr>
      <w:r w:rsidRPr="005F1629">
        <w:rPr>
          <w:rFonts w:asciiTheme="minorHAnsi" w:hAnsiTheme="minorHAnsi" w:cs="Arial"/>
          <w:i/>
          <w:sz w:val="20"/>
          <w:szCs w:val="20"/>
        </w:rPr>
        <w:t>(použité číselné údaje jsou obsaženy v příloze, v tabulkách č. 4, 4a), 4b), 4c), příp. ve ZPP 2014</w:t>
      </w:r>
    </w:p>
    <w:p w:rsidR="00302527" w:rsidRPr="002B6E5A" w:rsidRDefault="00302527" w:rsidP="00302527">
      <w:pPr>
        <w:jc w:val="both"/>
        <w:rPr>
          <w:rFonts w:asciiTheme="minorHAnsi" w:hAnsiTheme="minorHAnsi" w:cs="Arial"/>
          <w:i/>
        </w:rPr>
      </w:pPr>
    </w:p>
    <w:p w:rsidR="00302527" w:rsidRPr="002B6E5A" w:rsidRDefault="00302527" w:rsidP="00DE0C41">
      <w:pPr>
        <w:ind w:firstLine="426"/>
        <w:jc w:val="both"/>
        <w:rPr>
          <w:rFonts w:asciiTheme="minorHAnsi" w:hAnsiTheme="minorHAnsi"/>
        </w:rPr>
      </w:pPr>
      <w:r w:rsidRPr="002B6E5A">
        <w:rPr>
          <w:rFonts w:asciiTheme="minorHAnsi" w:hAnsiTheme="minorHAnsi"/>
        </w:rPr>
        <w:t xml:space="preserve">VoZP </w:t>
      </w:r>
      <w:r>
        <w:rPr>
          <w:rFonts w:asciiTheme="minorHAnsi" w:hAnsiTheme="minorHAnsi"/>
        </w:rPr>
        <w:t xml:space="preserve">ČR </w:t>
      </w:r>
      <w:r w:rsidRPr="002B6E5A">
        <w:rPr>
          <w:rFonts w:asciiTheme="minorHAnsi" w:hAnsiTheme="minorHAnsi"/>
        </w:rPr>
        <w:t xml:space="preserve">je ZP s celostátní působností a v oblasti </w:t>
      </w:r>
      <w:r w:rsidRPr="006F58C9">
        <w:rPr>
          <w:rFonts w:asciiTheme="minorHAnsi" w:hAnsiTheme="minorHAnsi"/>
          <w:b/>
        </w:rPr>
        <w:t>smluvní politiky</w:t>
      </w:r>
      <w:r>
        <w:rPr>
          <w:rFonts w:asciiTheme="minorHAnsi" w:hAnsiTheme="minorHAnsi"/>
        </w:rPr>
        <w:t xml:space="preserve"> </w:t>
      </w:r>
      <w:r w:rsidRPr="002B6E5A">
        <w:rPr>
          <w:rFonts w:asciiTheme="minorHAnsi" w:hAnsiTheme="minorHAnsi"/>
        </w:rPr>
        <w:t xml:space="preserve">nepředpokládá v roce 2014 žádné výrazné změny. Svoji síť smluvních poskytovatelů zdravotních služeb považuje v současné době za stabilizovanou a smluvní vztahy bude přizpůsobovat jen v případech nezbytně </w:t>
      </w:r>
      <w:r w:rsidR="00AB352E">
        <w:rPr>
          <w:rFonts w:asciiTheme="minorHAnsi" w:hAnsiTheme="minorHAnsi"/>
        </w:rPr>
        <w:t xml:space="preserve">nutných k zajištění optimální místní, medicínské a časové </w:t>
      </w:r>
      <w:r w:rsidRPr="002B6E5A">
        <w:rPr>
          <w:rFonts w:asciiTheme="minorHAnsi" w:hAnsiTheme="minorHAnsi"/>
        </w:rPr>
        <w:t>dostupnosti.</w:t>
      </w:r>
    </w:p>
    <w:p w:rsidR="00302527" w:rsidRDefault="00302527" w:rsidP="00DE0C41">
      <w:pPr>
        <w:ind w:firstLine="426"/>
        <w:jc w:val="both"/>
        <w:rPr>
          <w:rFonts w:asciiTheme="minorHAnsi" w:hAnsiTheme="minorHAnsi"/>
        </w:rPr>
      </w:pPr>
      <w:r w:rsidRPr="002B6E5A">
        <w:rPr>
          <w:rFonts w:asciiTheme="minorHAnsi" w:hAnsiTheme="minorHAnsi"/>
        </w:rPr>
        <w:t xml:space="preserve">Prioritou VoZP </w:t>
      </w:r>
      <w:r>
        <w:rPr>
          <w:rFonts w:asciiTheme="minorHAnsi" w:hAnsiTheme="minorHAnsi"/>
        </w:rPr>
        <w:t xml:space="preserve">ČR </w:t>
      </w:r>
      <w:r w:rsidRPr="002B6E5A">
        <w:rPr>
          <w:rFonts w:asciiTheme="minorHAnsi" w:hAnsiTheme="minorHAnsi"/>
        </w:rPr>
        <w:t xml:space="preserve">bude v roce 2014 udržet stávající stav sítě smluvních poskytovatelů a případně </w:t>
      </w:r>
      <w:r>
        <w:rPr>
          <w:rFonts w:asciiTheme="minorHAnsi" w:hAnsiTheme="minorHAnsi"/>
        </w:rPr>
        <w:t>rozšíři</w:t>
      </w:r>
      <w:r w:rsidRPr="002B6E5A">
        <w:rPr>
          <w:rFonts w:asciiTheme="minorHAnsi" w:hAnsiTheme="minorHAnsi"/>
        </w:rPr>
        <w:t>t segment praktických lékařů a stomatologů, kde se projevuje stárnoucí populace lékařů.</w:t>
      </w:r>
    </w:p>
    <w:p w:rsidR="00302527" w:rsidRDefault="00302527" w:rsidP="00DE0C41">
      <w:pPr>
        <w:ind w:firstLine="426"/>
        <w:jc w:val="both"/>
        <w:rPr>
          <w:rFonts w:asciiTheme="minorHAnsi" w:hAnsiTheme="minorHAnsi"/>
        </w:rPr>
      </w:pPr>
      <w:r>
        <w:rPr>
          <w:rFonts w:asciiTheme="minorHAnsi" w:hAnsiTheme="minorHAnsi"/>
        </w:rPr>
        <w:t>Tento plánovaný vývoj lze vidět i v Tabulce č. 1, počet smluvních PZS se v roce 2014 nebude výrazně měnit, VoZP ČR plánuje pouze mírný nárůst</w:t>
      </w:r>
      <w:r w:rsidR="00F20591">
        <w:rPr>
          <w:rFonts w:asciiTheme="minorHAnsi" w:hAnsiTheme="minorHAnsi"/>
        </w:rPr>
        <w:t>,</w:t>
      </w:r>
      <w:r>
        <w:rPr>
          <w:rFonts w:asciiTheme="minorHAnsi" w:hAnsiTheme="minorHAnsi"/>
        </w:rPr>
        <w:t xml:space="preserve"> a to zejména z důvodů případného zajištění dostupnosti zdravotní péče v segmentu praktických lékařů a stomatologů, v následujícím roce bude tedy docházet pouze ke kultivaci stávající sítě smluvních poskytovatelů.</w:t>
      </w:r>
    </w:p>
    <w:p w:rsidR="00302527" w:rsidRPr="005F1629" w:rsidRDefault="00302527" w:rsidP="00302527">
      <w:pPr>
        <w:pStyle w:val="Zkladntext210"/>
        <w:spacing w:before="120"/>
        <w:rPr>
          <w:rFonts w:asciiTheme="minorHAnsi" w:hAnsiTheme="minorHAnsi" w:cs="Arial"/>
          <w:szCs w:val="24"/>
        </w:rPr>
      </w:pPr>
      <w:r w:rsidRPr="005F1629">
        <w:rPr>
          <w:rFonts w:asciiTheme="minorHAnsi" w:hAnsiTheme="minorHAnsi" w:cs="Arial"/>
          <w:szCs w:val="24"/>
        </w:rPr>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302527" w:rsidRPr="005F1629" w:rsidTr="00F20591">
        <w:tc>
          <w:tcPr>
            <w:tcW w:w="534" w:type="dxa"/>
            <w:shd w:val="solid" w:color="000080" w:fill="FFFFFF"/>
          </w:tcPr>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20 935</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21 100</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20 845</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20 918</w:t>
            </w:r>
          </w:p>
        </w:tc>
        <w:tc>
          <w:tcPr>
            <w:tcW w:w="1016" w:type="dxa"/>
            <w:shd w:val="clear" w:color="auto" w:fill="auto"/>
            <w:vAlign w:val="center"/>
          </w:tcPr>
          <w:p w:rsidR="00302527" w:rsidRPr="00A120D8" w:rsidRDefault="00302527" w:rsidP="00F20591">
            <w:pPr>
              <w:jc w:val="right"/>
              <w:rPr>
                <w:rFonts w:asciiTheme="minorHAnsi" w:hAnsiTheme="minorHAnsi"/>
                <w:iCs/>
                <w:color w:val="000000"/>
                <w:sz w:val="22"/>
                <w:szCs w:val="22"/>
              </w:rPr>
            </w:pPr>
            <w:r w:rsidRPr="00A120D8">
              <w:rPr>
                <w:rFonts w:asciiTheme="minorHAnsi" w:hAnsiTheme="minorHAnsi"/>
                <w:iCs/>
                <w:color w:val="000000"/>
                <w:sz w:val="22"/>
                <w:szCs w:val="22"/>
              </w:rPr>
              <w:t>21 791</w:t>
            </w:r>
          </w:p>
        </w:tc>
        <w:tc>
          <w:tcPr>
            <w:tcW w:w="1016" w:type="dxa"/>
            <w:shd w:val="clear" w:color="auto" w:fill="auto"/>
            <w:vAlign w:val="center"/>
          </w:tcPr>
          <w:p w:rsidR="00302527" w:rsidRPr="00A120D8" w:rsidRDefault="00302527" w:rsidP="00F20591">
            <w:pPr>
              <w:jc w:val="right"/>
              <w:rPr>
                <w:rFonts w:asciiTheme="minorHAnsi" w:hAnsiTheme="minorHAnsi"/>
                <w:iCs/>
                <w:color w:val="000000"/>
                <w:sz w:val="22"/>
                <w:szCs w:val="22"/>
              </w:rPr>
            </w:pPr>
            <w:r w:rsidRPr="00A120D8">
              <w:rPr>
                <w:rFonts w:asciiTheme="minorHAnsi" w:hAnsiTheme="minorHAnsi"/>
                <w:iCs/>
                <w:color w:val="000000"/>
                <w:sz w:val="22"/>
                <w:szCs w:val="22"/>
              </w:rPr>
              <w:t>21 951</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 </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 </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 </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 </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 </w:t>
            </w:r>
          </w:p>
        </w:tc>
        <w:tc>
          <w:tcPr>
            <w:tcW w:w="1016" w:type="dxa"/>
            <w:shd w:val="clear" w:color="auto" w:fill="auto"/>
            <w:vAlign w:val="center"/>
          </w:tcPr>
          <w:p w:rsidR="00302527" w:rsidRPr="00A120D8" w:rsidRDefault="00302527" w:rsidP="00F20591">
            <w:pPr>
              <w:jc w:val="right"/>
              <w:rPr>
                <w:rFonts w:asciiTheme="minorHAnsi" w:hAnsiTheme="minorHAnsi"/>
                <w:iCs/>
                <w:color w:val="000000"/>
                <w:sz w:val="22"/>
                <w:szCs w:val="22"/>
              </w:rPr>
            </w:pPr>
            <w:r w:rsidRPr="00A120D8">
              <w:rPr>
                <w:rFonts w:asciiTheme="minorHAnsi" w:hAnsiTheme="minorHAnsi"/>
                <w:iCs/>
                <w:color w:val="000000"/>
                <w:sz w:val="22"/>
                <w:szCs w:val="22"/>
              </w:rPr>
              <w:t> </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4 340</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4 334</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4 312</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4 325</w:t>
            </w:r>
          </w:p>
        </w:tc>
        <w:tc>
          <w:tcPr>
            <w:tcW w:w="1016" w:type="dxa"/>
            <w:shd w:val="clear" w:color="auto" w:fill="auto"/>
            <w:vAlign w:val="center"/>
          </w:tcPr>
          <w:p w:rsidR="00302527" w:rsidRPr="00A120D8" w:rsidRDefault="00302527" w:rsidP="00F20591">
            <w:pPr>
              <w:jc w:val="right"/>
              <w:rPr>
                <w:rFonts w:asciiTheme="minorHAnsi" w:hAnsiTheme="minorHAnsi"/>
                <w:iCs/>
                <w:color w:val="000000"/>
                <w:sz w:val="22"/>
                <w:szCs w:val="22"/>
              </w:rPr>
            </w:pPr>
            <w:r w:rsidRPr="00A120D8">
              <w:rPr>
                <w:rFonts w:asciiTheme="minorHAnsi" w:hAnsiTheme="minorHAnsi"/>
                <w:iCs/>
                <w:color w:val="000000"/>
                <w:sz w:val="22"/>
                <w:szCs w:val="22"/>
              </w:rPr>
              <w:t>4 450</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4 500</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1</w:t>
            </w:r>
            <w:r>
              <w:rPr>
                <w:rFonts w:asciiTheme="minorHAnsi" w:hAnsiTheme="minorHAnsi"/>
                <w:color w:val="000000"/>
                <w:sz w:val="22"/>
                <w:szCs w:val="22"/>
              </w:rPr>
              <w:t xml:space="preserve"> </w:t>
            </w:r>
            <w:r w:rsidRPr="00A120D8">
              <w:rPr>
                <w:rFonts w:asciiTheme="minorHAnsi" w:hAnsiTheme="minorHAnsi"/>
                <w:color w:val="000000"/>
                <w:sz w:val="22"/>
                <w:szCs w:val="22"/>
              </w:rPr>
              <w:t>983</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1</w:t>
            </w:r>
            <w:r>
              <w:rPr>
                <w:rFonts w:asciiTheme="minorHAnsi" w:hAnsiTheme="minorHAnsi"/>
                <w:color w:val="000000"/>
                <w:sz w:val="22"/>
                <w:szCs w:val="22"/>
              </w:rPr>
              <w:t xml:space="preserve"> </w:t>
            </w:r>
            <w:r w:rsidRPr="00A120D8">
              <w:rPr>
                <w:rFonts w:asciiTheme="minorHAnsi" w:hAnsiTheme="minorHAnsi"/>
                <w:color w:val="000000"/>
                <w:sz w:val="22"/>
                <w:szCs w:val="22"/>
              </w:rPr>
              <w:t>988</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1</w:t>
            </w:r>
            <w:r>
              <w:rPr>
                <w:rFonts w:asciiTheme="minorHAnsi" w:hAnsiTheme="minorHAnsi"/>
                <w:color w:val="000000"/>
                <w:sz w:val="22"/>
                <w:szCs w:val="22"/>
              </w:rPr>
              <w:t xml:space="preserve"> </w:t>
            </w:r>
            <w:r w:rsidRPr="00A120D8">
              <w:rPr>
                <w:rFonts w:asciiTheme="minorHAnsi" w:hAnsiTheme="minorHAnsi"/>
                <w:color w:val="000000"/>
                <w:sz w:val="22"/>
                <w:szCs w:val="22"/>
              </w:rPr>
              <w:t>971</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1</w:t>
            </w:r>
            <w:r>
              <w:rPr>
                <w:rFonts w:asciiTheme="minorHAnsi" w:hAnsiTheme="minorHAnsi"/>
                <w:color w:val="000000"/>
                <w:sz w:val="22"/>
                <w:szCs w:val="22"/>
              </w:rPr>
              <w:t xml:space="preserve"> </w:t>
            </w:r>
            <w:r w:rsidRPr="00A120D8">
              <w:rPr>
                <w:rFonts w:asciiTheme="minorHAnsi" w:hAnsiTheme="minorHAnsi"/>
                <w:color w:val="000000"/>
                <w:sz w:val="22"/>
                <w:szCs w:val="22"/>
              </w:rPr>
              <w:t>974</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2 004</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2 024</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5 366</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5 415</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5 438</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5 480</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5 618</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5 680</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vAlign w:val="bottom"/>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9 246</w:t>
            </w:r>
          </w:p>
        </w:tc>
        <w:tc>
          <w:tcPr>
            <w:tcW w:w="1016" w:type="dxa"/>
            <w:shd w:val="clear" w:color="auto" w:fill="auto"/>
            <w:vAlign w:val="bottom"/>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9 363</w:t>
            </w:r>
          </w:p>
        </w:tc>
        <w:tc>
          <w:tcPr>
            <w:tcW w:w="1016" w:type="dxa"/>
            <w:shd w:val="clear" w:color="auto" w:fill="auto"/>
            <w:vAlign w:val="bottom"/>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9 124</w:t>
            </w:r>
          </w:p>
        </w:tc>
        <w:tc>
          <w:tcPr>
            <w:tcW w:w="1016" w:type="dxa"/>
            <w:shd w:val="clear" w:color="auto" w:fill="auto"/>
            <w:vAlign w:val="bottom"/>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9 139</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9 719</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9 747</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400</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402</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425</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412</w:t>
            </w:r>
          </w:p>
        </w:tc>
        <w:tc>
          <w:tcPr>
            <w:tcW w:w="1016" w:type="dxa"/>
            <w:shd w:val="clear" w:color="auto" w:fill="auto"/>
            <w:vAlign w:val="center"/>
          </w:tcPr>
          <w:p w:rsidR="00302527" w:rsidRPr="00A120D8" w:rsidRDefault="00302527" w:rsidP="00F20591">
            <w:pPr>
              <w:jc w:val="right"/>
              <w:rPr>
                <w:rFonts w:asciiTheme="minorHAnsi" w:hAnsiTheme="minorHAnsi"/>
                <w:iCs/>
                <w:color w:val="000000"/>
                <w:sz w:val="22"/>
                <w:szCs w:val="22"/>
              </w:rPr>
            </w:pPr>
            <w:r w:rsidRPr="00A120D8">
              <w:rPr>
                <w:rFonts w:asciiTheme="minorHAnsi" w:hAnsiTheme="minorHAnsi"/>
                <w:iCs/>
                <w:color w:val="000000"/>
                <w:sz w:val="22"/>
                <w:szCs w:val="22"/>
              </w:rPr>
              <w:t>412</w:t>
            </w:r>
          </w:p>
        </w:tc>
        <w:tc>
          <w:tcPr>
            <w:tcW w:w="1016" w:type="dxa"/>
            <w:shd w:val="clear" w:color="auto" w:fill="auto"/>
            <w:vAlign w:val="center"/>
          </w:tcPr>
          <w:p w:rsidR="00302527" w:rsidRPr="00A120D8" w:rsidRDefault="00302527" w:rsidP="00F20591">
            <w:pPr>
              <w:jc w:val="right"/>
              <w:rPr>
                <w:rFonts w:asciiTheme="minorHAnsi" w:hAnsiTheme="minorHAnsi"/>
                <w:iCs/>
                <w:color w:val="000000"/>
                <w:sz w:val="22"/>
                <w:szCs w:val="22"/>
              </w:rPr>
            </w:pPr>
            <w:r w:rsidRPr="00A120D8">
              <w:rPr>
                <w:rFonts w:asciiTheme="minorHAnsi" w:hAnsiTheme="minorHAnsi"/>
                <w:iCs/>
                <w:color w:val="000000"/>
                <w:sz w:val="22"/>
                <w:szCs w:val="22"/>
              </w:rPr>
              <w:t>417</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2 563</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2 574</w:t>
            </w:r>
          </w:p>
        </w:tc>
        <w:tc>
          <w:tcPr>
            <w:tcW w:w="1016" w:type="dxa"/>
            <w:shd w:val="clear" w:color="auto" w:fill="auto"/>
            <w:vAlign w:val="bottom"/>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2 632</w:t>
            </w:r>
          </w:p>
        </w:tc>
        <w:tc>
          <w:tcPr>
            <w:tcW w:w="1016" w:type="dxa"/>
            <w:shd w:val="clear" w:color="auto" w:fill="auto"/>
            <w:vAlign w:val="bottom"/>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2 682</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2 824</w:t>
            </w:r>
          </w:p>
        </w:tc>
        <w:tc>
          <w:tcPr>
            <w:tcW w:w="1016" w:type="dxa"/>
            <w:shd w:val="clear" w:color="auto" w:fill="auto"/>
            <w:vAlign w:val="center"/>
          </w:tcPr>
          <w:p w:rsidR="00302527" w:rsidRPr="00A120D8" w:rsidRDefault="00302527" w:rsidP="00F20591">
            <w:pPr>
              <w:jc w:val="right"/>
              <w:rPr>
                <w:rFonts w:asciiTheme="minorHAnsi" w:hAnsiTheme="minorHAnsi"/>
                <w:color w:val="000000"/>
                <w:sz w:val="22"/>
                <w:szCs w:val="22"/>
              </w:rPr>
            </w:pPr>
            <w:r w:rsidRPr="00A120D8">
              <w:rPr>
                <w:rFonts w:asciiTheme="minorHAnsi" w:hAnsiTheme="minorHAnsi"/>
                <w:color w:val="000000"/>
                <w:sz w:val="22"/>
                <w:szCs w:val="22"/>
              </w:rPr>
              <w:t>2 862</w:t>
            </w:r>
          </w:p>
        </w:tc>
      </w:tr>
      <w:tr w:rsidR="00302527" w:rsidRPr="005F1629" w:rsidTr="00F20591">
        <w:tc>
          <w:tcPr>
            <w:tcW w:w="534"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vAlign w:val="center"/>
          </w:tcPr>
          <w:p w:rsidR="00302527" w:rsidRPr="00A120D8" w:rsidRDefault="00302527" w:rsidP="00F20591">
            <w:pPr>
              <w:jc w:val="right"/>
              <w:rPr>
                <w:rFonts w:asciiTheme="minorHAnsi" w:hAnsiTheme="minorHAnsi"/>
                <w:b/>
                <w:bCs/>
                <w:color w:val="000000"/>
                <w:sz w:val="22"/>
                <w:szCs w:val="22"/>
              </w:rPr>
            </w:pPr>
            <w:r w:rsidRPr="00A120D8">
              <w:rPr>
                <w:rFonts w:asciiTheme="minorHAnsi" w:hAnsiTheme="minorHAnsi"/>
                <w:b/>
                <w:bCs/>
                <w:color w:val="000000"/>
                <w:sz w:val="22"/>
                <w:szCs w:val="22"/>
              </w:rPr>
              <w:t>23 898</w:t>
            </w:r>
          </w:p>
        </w:tc>
        <w:tc>
          <w:tcPr>
            <w:tcW w:w="1016" w:type="dxa"/>
            <w:shd w:val="clear" w:color="auto" w:fill="auto"/>
            <w:vAlign w:val="center"/>
          </w:tcPr>
          <w:p w:rsidR="00302527" w:rsidRPr="00A120D8" w:rsidRDefault="00302527" w:rsidP="00F20591">
            <w:pPr>
              <w:jc w:val="right"/>
              <w:rPr>
                <w:rFonts w:asciiTheme="minorHAnsi" w:hAnsiTheme="minorHAnsi"/>
                <w:b/>
                <w:bCs/>
                <w:color w:val="000000"/>
                <w:sz w:val="22"/>
                <w:szCs w:val="22"/>
              </w:rPr>
            </w:pPr>
            <w:r w:rsidRPr="00A120D8">
              <w:rPr>
                <w:rFonts w:asciiTheme="minorHAnsi" w:hAnsiTheme="minorHAnsi"/>
                <w:b/>
                <w:bCs/>
                <w:color w:val="000000"/>
                <w:sz w:val="22"/>
                <w:szCs w:val="22"/>
              </w:rPr>
              <w:t>24 076</w:t>
            </w:r>
          </w:p>
        </w:tc>
        <w:tc>
          <w:tcPr>
            <w:tcW w:w="1016" w:type="dxa"/>
            <w:shd w:val="clear" w:color="auto" w:fill="auto"/>
            <w:vAlign w:val="center"/>
          </w:tcPr>
          <w:p w:rsidR="00302527" w:rsidRPr="00A120D8" w:rsidRDefault="00302527" w:rsidP="00F20591">
            <w:pPr>
              <w:jc w:val="right"/>
              <w:rPr>
                <w:rFonts w:asciiTheme="minorHAnsi" w:hAnsiTheme="minorHAnsi"/>
                <w:b/>
                <w:bCs/>
                <w:color w:val="000000"/>
                <w:sz w:val="22"/>
                <w:szCs w:val="22"/>
              </w:rPr>
            </w:pPr>
            <w:r w:rsidRPr="00A120D8">
              <w:rPr>
                <w:rFonts w:asciiTheme="minorHAnsi" w:hAnsiTheme="minorHAnsi"/>
                <w:b/>
                <w:bCs/>
                <w:color w:val="000000"/>
                <w:sz w:val="22"/>
                <w:szCs w:val="22"/>
              </w:rPr>
              <w:t>23 902</w:t>
            </w:r>
          </w:p>
        </w:tc>
        <w:tc>
          <w:tcPr>
            <w:tcW w:w="1016" w:type="dxa"/>
            <w:shd w:val="clear" w:color="auto" w:fill="auto"/>
            <w:vAlign w:val="center"/>
          </w:tcPr>
          <w:p w:rsidR="00302527" w:rsidRPr="00A120D8" w:rsidRDefault="00302527" w:rsidP="00F20591">
            <w:pPr>
              <w:jc w:val="right"/>
              <w:rPr>
                <w:rFonts w:asciiTheme="minorHAnsi" w:hAnsiTheme="minorHAnsi"/>
                <w:b/>
                <w:bCs/>
                <w:color w:val="000000"/>
                <w:sz w:val="22"/>
                <w:szCs w:val="22"/>
              </w:rPr>
            </w:pPr>
            <w:r w:rsidRPr="00A120D8">
              <w:rPr>
                <w:rFonts w:asciiTheme="minorHAnsi" w:hAnsiTheme="minorHAnsi"/>
                <w:b/>
                <w:bCs/>
                <w:color w:val="000000"/>
                <w:sz w:val="22"/>
                <w:szCs w:val="22"/>
              </w:rPr>
              <w:t>24 012</w:t>
            </w:r>
          </w:p>
        </w:tc>
        <w:tc>
          <w:tcPr>
            <w:tcW w:w="1016" w:type="dxa"/>
            <w:shd w:val="clear" w:color="auto" w:fill="auto"/>
            <w:vAlign w:val="center"/>
          </w:tcPr>
          <w:p w:rsidR="00302527" w:rsidRPr="00A120D8" w:rsidRDefault="00302527" w:rsidP="00F20591">
            <w:pPr>
              <w:jc w:val="right"/>
              <w:rPr>
                <w:rFonts w:asciiTheme="minorHAnsi" w:hAnsiTheme="minorHAnsi"/>
                <w:b/>
                <w:bCs/>
                <w:color w:val="000000"/>
                <w:sz w:val="22"/>
                <w:szCs w:val="22"/>
              </w:rPr>
            </w:pPr>
            <w:r w:rsidRPr="00A120D8">
              <w:rPr>
                <w:rFonts w:asciiTheme="minorHAnsi" w:hAnsiTheme="minorHAnsi"/>
                <w:b/>
                <w:bCs/>
                <w:color w:val="000000"/>
                <w:sz w:val="22"/>
                <w:szCs w:val="22"/>
              </w:rPr>
              <w:t>25 027</w:t>
            </w:r>
          </w:p>
        </w:tc>
        <w:tc>
          <w:tcPr>
            <w:tcW w:w="1016" w:type="dxa"/>
            <w:shd w:val="clear" w:color="auto" w:fill="auto"/>
            <w:vAlign w:val="center"/>
          </w:tcPr>
          <w:p w:rsidR="00302527" w:rsidRPr="00A120D8" w:rsidRDefault="00302527" w:rsidP="00F20591">
            <w:pPr>
              <w:jc w:val="right"/>
              <w:rPr>
                <w:rFonts w:asciiTheme="minorHAnsi" w:hAnsiTheme="minorHAnsi"/>
                <w:b/>
                <w:bCs/>
                <w:color w:val="000000"/>
                <w:sz w:val="22"/>
                <w:szCs w:val="22"/>
              </w:rPr>
            </w:pPr>
            <w:r w:rsidRPr="00A120D8">
              <w:rPr>
                <w:rFonts w:asciiTheme="minorHAnsi" w:hAnsiTheme="minorHAnsi"/>
                <w:b/>
                <w:bCs/>
                <w:color w:val="000000"/>
                <w:sz w:val="22"/>
                <w:szCs w:val="22"/>
              </w:rPr>
              <w:t>25 230</w:t>
            </w:r>
          </w:p>
        </w:tc>
      </w:tr>
    </w:tbl>
    <w:p w:rsidR="00302527" w:rsidRDefault="00302527" w:rsidP="00302527">
      <w:pPr>
        <w:spacing w:after="120"/>
        <w:jc w:val="both"/>
        <w:rPr>
          <w:rFonts w:asciiTheme="minorHAnsi" w:hAnsiTheme="minorHAnsi" w:cs="Arial"/>
          <w:b/>
        </w:rPr>
      </w:pPr>
    </w:p>
    <w:p w:rsidR="00302527" w:rsidRDefault="00302527" w:rsidP="00DE0C41">
      <w:pPr>
        <w:spacing w:after="120"/>
        <w:ind w:firstLine="426"/>
        <w:jc w:val="both"/>
        <w:rPr>
          <w:rFonts w:asciiTheme="minorHAnsi" w:hAnsiTheme="minorHAnsi" w:cs="Arial"/>
        </w:rPr>
      </w:pPr>
      <w:r w:rsidRPr="004F5532">
        <w:rPr>
          <w:rFonts w:asciiTheme="minorHAnsi" w:hAnsiTheme="minorHAnsi" w:cs="Arial"/>
        </w:rPr>
        <w:t xml:space="preserve">V roce 2014 </w:t>
      </w:r>
      <w:r>
        <w:rPr>
          <w:rFonts w:asciiTheme="minorHAnsi" w:hAnsiTheme="minorHAnsi" w:cs="Arial"/>
        </w:rPr>
        <w:t xml:space="preserve">bude VoZP ČR mít jako prioritní úkol prohloubení účinnosti </w:t>
      </w:r>
      <w:r w:rsidRPr="009C6201">
        <w:rPr>
          <w:rFonts w:asciiTheme="minorHAnsi" w:hAnsiTheme="minorHAnsi" w:cs="Arial"/>
          <w:b/>
        </w:rPr>
        <w:t>revizní a kontrolní činnosti</w:t>
      </w:r>
      <w:r>
        <w:rPr>
          <w:rFonts w:asciiTheme="minorHAnsi" w:hAnsiTheme="minorHAnsi" w:cs="Arial"/>
        </w:rPr>
        <w:t xml:space="preserve"> jak v oblasti automatických revizí, tak v oblasti fyzických revizí. Elektronizace agendy umožní ve </w:t>
      </w:r>
      <w:r w:rsidRPr="009C6201">
        <w:rPr>
          <w:rFonts w:asciiTheme="minorHAnsi" w:hAnsiTheme="minorHAnsi" w:cs="Arial"/>
        </w:rPr>
        <w:t>větší míře zpracovat a kontrolovat objemy vykazova</w:t>
      </w:r>
      <w:r>
        <w:rPr>
          <w:rFonts w:asciiTheme="minorHAnsi" w:hAnsiTheme="minorHAnsi" w:cs="Arial"/>
        </w:rPr>
        <w:t>ných zdravotních služeb. Dále r</w:t>
      </w:r>
      <w:r w:rsidRPr="002920C8">
        <w:rPr>
          <w:rFonts w:asciiTheme="minorHAnsi" w:hAnsiTheme="minorHAnsi" w:cs="Arial"/>
        </w:rPr>
        <w:t>ealizací centralizac</w:t>
      </w:r>
      <w:r>
        <w:rPr>
          <w:rFonts w:asciiTheme="minorHAnsi" w:hAnsiTheme="minorHAnsi" w:cs="Arial"/>
        </w:rPr>
        <w:t>e revizních činností očekává VoZP ČR rozšíření</w:t>
      </w:r>
      <w:r w:rsidRPr="002920C8">
        <w:rPr>
          <w:rFonts w:asciiTheme="minorHAnsi" w:hAnsiTheme="minorHAnsi" w:cs="Arial"/>
        </w:rPr>
        <w:t xml:space="preserve"> aktivit na úseku fyzických revizí u </w:t>
      </w:r>
      <w:r w:rsidR="00AB352E">
        <w:rPr>
          <w:rFonts w:asciiTheme="minorHAnsi" w:hAnsiTheme="minorHAnsi" w:cs="Arial"/>
        </w:rPr>
        <w:t>PZS</w:t>
      </w:r>
      <w:r w:rsidRPr="002920C8">
        <w:rPr>
          <w:rFonts w:asciiTheme="minorHAnsi" w:hAnsiTheme="minorHAnsi" w:cs="Arial"/>
        </w:rPr>
        <w:t>.</w:t>
      </w:r>
      <w:r>
        <w:rPr>
          <w:rFonts w:asciiTheme="minorHAnsi" w:hAnsiTheme="minorHAnsi" w:cs="Arial"/>
        </w:rPr>
        <w:t xml:space="preserve"> </w:t>
      </w:r>
      <w:r w:rsidRPr="002920C8">
        <w:rPr>
          <w:rFonts w:asciiTheme="minorHAnsi" w:hAnsiTheme="minorHAnsi" w:cs="Arial"/>
        </w:rPr>
        <w:t xml:space="preserve">VoZP ČR bude v případě závažných zjištění dávat </w:t>
      </w:r>
      <w:r w:rsidRPr="002920C8">
        <w:rPr>
          <w:rFonts w:asciiTheme="minorHAnsi" w:hAnsiTheme="minorHAnsi" w:cs="Arial"/>
        </w:rPr>
        <w:lastRenderedPageBreak/>
        <w:t>podněty ČLK a orgánům činným v trestním řízení k postihu daného PZS. Samozřejmostí bude rozvázání smlouvy s takovýmto PZS</w:t>
      </w:r>
      <w:r>
        <w:rPr>
          <w:rFonts w:asciiTheme="minorHAnsi" w:hAnsiTheme="minorHAnsi" w:cs="Arial"/>
        </w:rPr>
        <w:t>.</w:t>
      </w:r>
    </w:p>
    <w:p w:rsidR="00302527" w:rsidRDefault="00302527" w:rsidP="00DE0C41">
      <w:pPr>
        <w:ind w:firstLine="426"/>
        <w:jc w:val="both"/>
        <w:rPr>
          <w:rFonts w:asciiTheme="minorHAnsi" w:hAnsiTheme="minorHAnsi" w:cs="Arial"/>
        </w:rPr>
      </w:pPr>
      <w:r>
        <w:rPr>
          <w:rFonts w:asciiTheme="minorHAnsi" w:hAnsiTheme="minorHAnsi" w:cs="Arial"/>
        </w:rPr>
        <w:t xml:space="preserve">Plánovaná </w:t>
      </w:r>
      <w:r w:rsidRPr="00C55B99">
        <w:rPr>
          <w:rFonts w:asciiTheme="minorHAnsi" w:hAnsiTheme="minorHAnsi" w:cs="Arial"/>
          <w:b/>
        </w:rPr>
        <w:t>struktura a výše nákladů na zdravotní služby</w:t>
      </w:r>
      <w:r>
        <w:rPr>
          <w:rFonts w:asciiTheme="minorHAnsi" w:hAnsiTheme="minorHAnsi" w:cs="Arial"/>
        </w:rPr>
        <w:t xml:space="preserve"> respektuje požadavky dodržení vyrovnané platební bilance a je dále určena úhradovou vyhláškou, uzavřenými dohodami v dohodovacím řízení a zaznamenanou situací v minulých letech.</w:t>
      </w:r>
    </w:p>
    <w:p w:rsidR="00302527" w:rsidRDefault="00302527" w:rsidP="00DE0C41">
      <w:pPr>
        <w:ind w:firstLine="426"/>
        <w:jc w:val="both"/>
        <w:rPr>
          <w:rFonts w:asciiTheme="minorHAnsi" w:hAnsiTheme="minorHAnsi" w:cs="Arial"/>
        </w:rPr>
      </w:pPr>
      <w:r w:rsidRPr="00C55B99">
        <w:rPr>
          <w:rFonts w:asciiTheme="minorHAnsi" w:hAnsiTheme="minorHAnsi" w:cs="Arial"/>
          <w:b/>
        </w:rPr>
        <w:t>Celkové náklady na zdravotní služby</w:t>
      </w:r>
      <w:r>
        <w:rPr>
          <w:rFonts w:asciiTheme="minorHAnsi" w:hAnsiTheme="minorHAnsi" w:cs="Arial"/>
        </w:rPr>
        <w:t xml:space="preserve"> čerpané ze ZFZP plánuje VoZP ČR ve výši </w:t>
      </w:r>
      <w:r w:rsidR="000E74F9">
        <w:rPr>
          <w:rFonts w:asciiTheme="minorHAnsi" w:hAnsiTheme="minorHAnsi" w:cs="Arial"/>
        </w:rPr>
        <w:br/>
      </w:r>
      <w:r>
        <w:rPr>
          <w:rFonts w:asciiTheme="minorHAnsi" w:hAnsiTheme="minorHAnsi" w:cs="Arial"/>
        </w:rPr>
        <w:t>13</w:t>
      </w:r>
      <w:r w:rsidR="00AB352E">
        <w:rPr>
          <w:rFonts w:asciiTheme="minorHAnsi" w:hAnsiTheme="minorHAnsi" w:cs="Arial"/>
        </w:rPr>
        <w:t> </w:t>
      </w:r>
      <w:r>
        <w:rPr>
          <w:rFonts w:asciiTheme="minorHAnsi" w:hAnsiTheme="minorHAnsi" w:cs="Arial"/>
        </w:rPr>
        <w:t>813</w:t>
      </w:r>
      <w:r w:rsidR="00AB352E">
        <w:rPr>
          <w:rFonts w:asciiTheme="minorHAnsi" w:hAnsiTheme="minorHAnsi" w:cs="Arial"/>
        </w:rPr>
        <w:t xml:space="preserve"> </w:t>
      </w:r>
      <w:r>
        <w:rPr>
          <w:rFonts w:asciiTheme="minorHAnsi" w:hAnsiTheme="minorHAnsi" w:cs="Arial"/>
        </w:rPr>
        <w:t xml:space="preserve">mil. Kč, což představuje meziroční nárůst o 8,56 % oproti očekávané skutečnosti roku 2013 (Tabulka č. 2 a 3). </w:t>
      </w:r>
      <w:r w:rsidRPr="008A1AAD">
        <w:rPr>
          <w:rFonts w:asciiTheme="minorHAnsi" w:hAnsiTheme="minorHAnsi" w:cs="Arial"/>
          <w:b/>
        </w:rPr>
        <w:t>Průměrné náklady</w:t>
      </w:r>
      <w:r>
        <w:rPr>
          <w:rFonts w:asciiTheme="minorHAnsi" w:hAnsiTheme="minorHAnsi" w:cs="Arial"/>
        </w:rPr>
        <w:t xml:space="preserve"> na zdravotní služby na 1 pojištěnce jsou plánovány ve výši 19 888 Kč, což v meziročním porovnání znamená nárůst o 4,34 %. Pro rok 2014 jsou plánovány nejvyšší průměrné náklady na pojištěnce posledních několika let, což lze vidět v Grafu č. 1 či v Tabulce č. 4.</w:t>
      </w:r>
    </w:p>
    <w:p w:rsidR="00302527" w:rsidRPr="00F86CA9" w:rsidRDefault="00302527" w:rsidP="00DE0C41">
      <w:pPr>
        <w:spacing w:after="240"/>
        <w:ind w:firstLine="426"/>
        <w:jc w:val="both"/>
        <w:rPr>
          <w:rFonts w:asciiTheme="minorHAnsi" w:hAnsiTheme="minorHAnsi" w:cs="Arial"/>
        </w:rPr>
      </w:pPr>
      <w:r>
        <w:rPr>
          <w:rFonts w:asciiTheme="minorHAnsi" w:hAnsiTheme="minorHAnsi" w:cs="Arial"/>
        </w:rPr>
        <w:t xml:space="preserve">Tento nárůst je dán zejména nárůstem v objemově největším segmentu, segmentu </w:t>
      </w:r>
      <w:r w:rsidRPr="00C65526">
        <w:rPr>
          <w:rFonts w:asciiTheme="minorHAnsi" w:hAnsiTheme="minorHAnsi" w:cs="Arial"/>
          <w:b/>
        </w:rPr>
        <w:t>lůžkové péče</w:t>
      </w:r>
      <w:r>
        <w:rPr>
          <w:rFonts w:asciiTheme="minorHAnsi" w:hAnsiTheme="minorHAnsi" w:cs="Arial"/>
        </w:rPr>
        <w:t>, kde VoZP ČR plánuje nárůst o 13,67 % na 7 084 mi</w:t>
      </w:r>
      <w:r w:rsidR="00AB352E">
        <w:rPr>
          <w:rFonts w:asciiTheme="minorHAnsi" w:hAnsiTheme="minorHAnsi" w:cs="Arial"/>
        </w:rPr>
        <w:t>l. Kč, což je dáno zejména</w:t>
      </w:r>
      <w:r>
        <w:rPr>
          <w:rFonts w:asciiTheme="minorHAnsi" w:hAnsiTheme="minorHAnsi" w:cs="Arial"/>
        </w:rPr>
        <w:t xml:space="preserve"> úhradovou vyhláškou. V segmentu </w:t>
      </w:r>
      <w:r w:rsidRPr="00C65526">
        <w:rPr>
          <w:rFonts w:asciiTheme="minorHAnsi" w:hAnsiTheme="minorHAnsi" w:cs="Arial"/>
          <w:b/>
        </w:rPr>
        <w:t>ambulantní péče</w:t>
      </w:r>
      <w:r>
        <w:rPr>
          <w:rFonts w:asciiTheme="minorHAnsi" w:hAnsiTheme="minorHAnsi" w:cs="Arial"/>
        </w:rPr>
        <w:t xml:space="preserve"> VoZP ČR plánuje mírné navýšení nákladů celkem o 1,98 % (Graf č. 2).</w:t>
      </w:r>
    </w:p>
    <w:p w:rsidR="00302527" w:rsidRPr="005F1629" w:rsidRDefault="00302527" w:rsidP="00302527">
      <w:pPr>
        <w:jc w:val="both"/>
        <w:rPr>
          <w:rFonts w:asciiTheme="minorHAnsi" w:hAnsiTheme="minorHAnsi" w:cs="Arial"/>
        </w:rPr>
      </w:pPr>
      <w:r w:rsidRPr="005F1629">
        <w:rPr>
          <w:rFonts w:asciiTheme="minorHAnsi" w:hAnsiTheme="minorHAnsi" w:cs="Arial"/>
        </w:rPr>
        <w:t>Tabulka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302527" w:rsidRPr="005F1629" w:rsidTr="00F20591">
        <w:tc>
          <w:tcPr>
            <w:tcW w:w="1951" w:type="dxa"/>
            <w:shd w:val="solid" w:color="000080" w:fill="FFFFFF"/>
          </w:tcPr>
          <w:p w:rsidR="00302527" w:rsidRPr="005F1629" w:rsidRDefault="00302527" w:rsidP="00F20591">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2 915</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3 034</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3 230</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3 419</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3 603</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3 674</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5 456</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5 693</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5 791</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5 887</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6 233</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7 084</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2 603</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2 551</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2 557</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2 768</w:t>
            </w:r>
          </w:p>
        </w:tc>
        <w:tc>
          <w:tcPr>
            <w:tcW w:w="1228"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2 889</w:t>
            </w:r>
          </w:p>
        </w:tc>
        <w:tc>
          <w:tcPr>
            <w:tcW w:w="1229" w:type="dxa"/>
            <w:shd w:val="clear" w:color="auto" w:fill="auto"/>
            <w:vAlign w:val="bottom"/>
          </w:tcPr>
          <w:p w:rsidR="00302527" w:rsidRPr="00ED42B9" w:rsidRDefault="00302527" w:rsidP="00F20591">
            <w:pPr>
              <w:jc w:val="right"/>
              <w:rPr>
                <w:rFonts w:asciiTheme="minorHAnsi" w:hAnsiTheme="minorHAnsi"/>
                <w:color w:val="000000"/>
                <w:sz w:val="22"/>
                <w:szCs w:val="22"/>
              </w:rPr>
            </w:pPr>
            <w:r w:rsidRPr="00ED42B9">
              <w:rPr>
                <w:rFonts w:asciiTheme="minorHAnsi" w:hAnsiTheme="minorHAnsi"/>
                <w:color w:val="000000"/>
                <w:sz w:val="22"/>
                <w:szCs w:val="22"/>
              </w:rPr>
              <w:t>3 055</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302527" w:rsidRPr="00ED42B9" w:rsidRDefault="00302527" w:rsidP="00F20591">
            <w:pPr>
              <w:jc w:val="right"/>
              <w:rPr>
                <w:rFonts w:asciiTheme="minorHAnsi" w:hAnsiTheme="minorHAnsi"/>
                <w:b/>
                <w:color w:val="000000"/>
                <w:sz w:val="22"/>
                <w:szCs w:val="22"/>
              </w:rPr>
            </w:pPr>
            <w:r w:rsidRPr="00ED42B9">
              <w:rPr>
                <w:rFonts w:asciiTheme="minorHAnsi" w:hAnsiTheme="minorHAnsi"/>
                <w:b/>
                <w:color w:val="000000"/>
                <w:sz w:val="22"/>
                <w:szCs w:val="22"/>
              </w:rPr>
              <w:t>10 974</w:t>
            </w:r>
          </w:p>
        </w:tc>
        <w:tc>
          <w:tcPr>
            <w:tcW w:w="1229" w:type="dxa"/>
            <w:shd w:val="clear" w:color="auto" w:fill="auto"/>
            <w:vAlign w:val="bottom"/>
          </w:tcPr>
          <w:p w:rsidR="00302527" w:rsidRPr="00ED42B9" w:rsidRDefault="00302527" w:rsidP="00F20591">
            <w:pPr>
              <w:jc w:val="right"/>
              <w:rPr>
                <w:rFonts w:asciiTheme="minorHAnsi" w:hAnsiTheme="minorHAnsi"/>
                <w:b/>
                <w:color w:val="000000"/>
                <w:sz w:val="22"/>
                <w:szCs w:val="22"/>
              </w:rPr>
            </w:pPr>
            <w:r w:rsidRPr="00ED42B9">
              <w:rPr>
                <w:rFonts w:asciiTheme="minorHAnsi" w:hAnsiTheme="minorHAnsi"/>
                <w:b/>
                <w:color w:val="000000"/>
                <w:sz w:val="22"/>
                <w:szCs w:val="22"/>
              </w:rPr>
              <w:t>11 278</w:t>
            </w:r>
          </w:p>
        </w:tc>
        <w:tc>
          <w:tcPr>
            <w:tcW w:w="1228" w:type="dxa"/>
            <w:shd w:val="clear" w:color="auto" w:fill="auto"/>
            <w:vAlign w:val="bottom"/>
          </w:tcPr>
          <w:p w:rsidR="00302527" w:rsidRPr="00ED42B9" w:rsidRDefault="00302527" w:rsidP="00F20591">
            <w:pPr>
              <w:jc w:val="right"/>
              <w:rPr>
                <w:rFonts w:asciiTheme="minorHAnsi" w:hAnsiTheme="minorHAnsi"/>
                <w:b/>
                <w:color w:val="000000"/>
                <w:sz w:val="22"/>
                <w:szCs w:val="22"/>
              </w:rPr>
            </w:pPr>
            <w:r w:rsidRPr="00ED42B9">
              <w:rPr>
                <w:rFonts w:asciiTheme="minorHAnsi" w:hAnsiTheme="minorHAnsi"/>
                <w:b/>
                <w:color w:val="000000"/>
                <w:sz w:val="22"/>
                <w:szCs w:val="22"/>
              </w:rPr>
              <w:t>11 578</w:t>
            </w:r>
          </w:p>
        </w:tc>
        <w:tc>
          <w:tcPr>
            <w:tcW w:w="1229" w:type="dxa"/>
            <w:shd w:val="clear" w:color="auto" w:fill="auto"/>
            <w:vAlign w:val="bottom"/>
          </w:tcPr>
          <w:p w:rsidR="00302527" w:rsidRPr="00ED42B9" w:rsidRDefault="00302527" w:rsidP="00F20591">
            <w:pPr>
              <w:jc w:val="right"/>
              <w:rPr>
                <w:rFonts w:asciiTheme="minorHAnsi" w:hAnsiTheme="minorHAnsi"/>
                <w:b/>
                <w:color w:val="000000"/>
                <w:sz w:val="22"/>
                <w:szCs w:val="22"/>
              </w:rPr>
            </w:pPr>
            <w:r w:rsidRPr="00ED42B9">
              <w:rPr>
                <w:rFonts w:asciiTheme="minorHAnsi" w:hAnsiTheme="minorHAnsi"/>
                <w:b/>
                <w:color w:val="000000"/>
                <w:sz w:val="22"/>
                <w:szCs w:val="22"/>
              </w:rPr>
              <w:t>12 074</w:t>
            </w:r>
          </w:p>
        </w:tc>
        <w:tc>
          <w:tcPr>
            <w:tcW w:w="1228" w:type="dxa"/>
            <w:shd w:val="clear" w:color="auto" w:fill="auto"/>
            <w:vAlign w:val="bottom"/>
          </w:tcPr>
          <w:p w:rsidR="00302527" w:rsidRPr="00ED42B9" w:rsidRDefault="00302527" w:rsidP="00F20591">
            <w:pPr>
              <w:jc w:val="right"/>
              <w:rPr>
                <w:rFonts w:asciiTheme="minorHAnsi" w:hAnsiTheme="minorHAnsi"/>
                <w:b/>
                <w:color w:val="000000"/>
                <w:sz w:val="22"/>
                <w:szCs w:val="22"/>
              </w:rPr>
            </w:pPr>
            <w:r w:rsidRPr="00ED42B9">
              <w:rPr>
                <w:rFonts w:asciiTheme="minorHAnsi" w:hAnsiTheme="minorHAnsi"/>
                <w:b/>
                <w:color w:val="000000"/>
                <w:sz w:val="22"/>
                <w:szCs w:val="22"/>
              </w:rPr>
              <w:t>12 724</w:t>
            </w:r>
          </w:p>
        </w:tc>
        <w:tc>
          <w:tcPr>
            <w:tcW w:w="1229" w:type="dxa"/>
            <w:shd w:val="clear" w:color="auto" w:fill="auto"/>
            <w:vAlign w:val="bottom"/>
          </w:tcPr>
          <w:p w:rsidR="00302527" w:rsidRPr="00ED42B9" w:rsidRDefault="00302527" w:rsidP="00F20591">
            <w:pPr>
              <w:jc w:val="right"/>
              <w:rPr>
                <w:rFonts w:asciiTheme="minorHAnsi" w:hAnsiTheme="minorHAnsi"/>
                <w:b/>
                <w:color w:val="000000"/>
                <w:sz w:val="22"/>
                <w:szCs w:val="22"/>
              </w:rPr>
            </w:pPr>
            <w:r w:rsidRPr="00ED42B9">
              <w:rPr>
                <w:rFonts w:asciiTheme="minorHAnsi" w:hAnsiTheme="minorHAnsi"/>
                <w:b/>
                <w:color w:val="000000"/>
                <w:sz w:val="22"/>
                <w:szCs w:val="22"/>
              </w:rPr>
              <w:t>13 813</w:t>
            </w:r>
          </w:p>
        </w:tc>
      </w:tr>
    </w:tbl>
    <w:p w:rsidR="00302527" w:rsidRPr="005F1629" w:rsidRDefault="00302527" w:rsidP="00302527">
      <w:pPr>
        <w:jc w:val="both"/>
        <w:rPr>
          <w:rFonts w:asciiTheme="minorHAnsi" w:hAnsiTheme="minorHAnsi" w:cs="Arial"/>
        </w:rPr>
      </w:pPr>
    </w:p>
    <w:p w:rsidR="00302527" w:rsidRPr="005F1629" w:rsidRDefault="00302527" w:rsidP="00302527">
      <w:pPr>
        <w:jc w:val="both"/>
        <w:rPr>
          <w:rFonts w:asciiTheme="minorHAnsi" w:hAnsiTheme="minorHAnsi" w:cs="Arial"/>
        </w:rPr>
      </w:pPr>
      <w:r w:rsidRPr="005F1629">
        <w:rPr>
          <w:rFonts w:asciiTheme="minorHAnsi" w:hAnsiTheme="minorHAnsi" w:cs="Arial"/>
        </w:rPr>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302527" w:rsidRPr="005F1629" w:rsidTr="00F20591">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302527" w:rsidRPr="005F1629" w:rsidTr="00207D5B">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104,08</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106,45</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105,87</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105,37</w:t>
            </w:r>
          </w:p>
        </w:tc>
        <w:tc>
          <w:tcPr>
            <w:tcW w:w="1647"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101,98</w:t>
            </w:r>
          </w:p>
        </w:tc>
      </w:tr>
      <w:tr w:rsidR="00302527" w:rsidRPr="005F1629" w:rsidTr="00207D5B">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104,35</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101,73</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101,65</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105,87</w:t>
            </w:r>
          </w:p>
        </w:tc>
        <w:tc>
          <w:tcPr>
            <w:tcW w:w="1647"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113,67</w:t>
            </w:r>
          </w:p>
        </w:tc>
      </w:tr>
      <w:tr w:rsidR="00302527" w:rsidRPr="005F1629" w:rsidTr="00207D5B">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98,01</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100,24</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108,25</w:t>
            </w:r>
          </w:p>
        </w:tc>
        <w:tc>
          <w:tcPr>
            <w:tcW w:w="153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104,37</w:t>
            </w:r>
          </w:p>
        </w:tc>
        <w:tc>
          <w:tcPr>
            <w:tcW w:w="1647"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105,74</w:t>
            </w:r>
          </w:p>
        </w:tc>
      </w:tr>
      <w:tr w:rsidR="00302527" w:rsidRPr="005F1629" w:rsidTr="00207D5B">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102,77</w:t>
            </w:r>
          </w:p>
        </w:tc>
        <w:tc>
          <w:tcPr>
            <w:tcW w:w="1535"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102,66</w:t>
            </w:r>
          </w:p>
        </w:tc>
        <w:tc>
          <w:tcPr>
            <w:tcW w:w="1535"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104,29</w:t>
            </w:r>
          </w:p>
        </w:tc>
        <w:tc>
          <w:tcPr>
            <w:tcW w:w="1535"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105,38</w:t>
            </w:r>
          </w:p>
        </w:tc>
        <w:tc>
          <w:tcPr>
            <w:tcW w:w="1647"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108,56</w:t>
            </w:r>
          </w:p>
        </w:tc>
      </w:tr>
    </w:tbl>
    <w:p w:rsidR="00302527" w:rsidRDefault="00302527" w:rsidP="00302527">
      <w:pPr>
        <w:jc w:val="both"/>
        <w:rPr>
          <w:rFonts w:asciiTheme="minorHAnsi" w:hAnsiTheme="minorHAnsi" w:cs="Arial"/>
        </w:rPr>
      </w:pPr>
    </w:p>
    <w:p w:rsidR="000E74F9" w:rsidRDefault="000E74F9" w:rsidP="00302527">
      <w:pPr>
        <w:jc w:val="both"/>
        <w:rPr>
          <w:rFonts w:asciiTheme="minorHAnsi" w:hAnsiTheme="minorHAnsi" w:cs="Arial"/>
        </w:rPr>
      </w:pPr>
    </w:p>
    <w:p w:rsidR="000E74F9" w:rsidRDefault="000E74F9" w:rsidP="00302527">
      <w:pPr>
        <w:jc w:val="both"/>
        <w:rPr>
          <w:rFonts w:asciiTheme="minorHAnsi" w:hAnsiTheme="minorHAnsi" w:cs="Arial"/>
        </w:rPr>
      </w:pPr>
    </w:p>
    <w:p w:rsidR="000E74F9" w:rsidRDefault="000E74F9" w:rsidP="00302527">
      <w:pPr>
        <w:jc w:val="both"/>
        <w:rPr>
          <w:rFonts w:asciiTheme="minorHAnsi" w:hAnsiTheme="minorHAnsi" w:cs="Arial"/>
        </w:rPr>
      </w:pPr>
    </w:p>
    <w:p w:rsidR="000E74F9" w:rsidRDefault="000E74F9" w:rsidP="00302527">
      <w:pPr>
        <w:jc w:val="both"/>
        <w:rPr>
          <w:rFonts w:asciiTheme="minorHAnsi" w:hAnsiTheme="minorHAnsi" w:cs="Arial"/>
        </w:rPr>
      </w:pPr>
    </w:p>
    <w:p w:rsidR="000E74F9" w:rsidRDefault="000E74F9" w:rsidP="00302527">
      <w:pPr>
        <w:jc w:val="both"/>
        <w:rPr>
          <w:rFonts w:asciiTheme="minorHAnsi" w:hAnsiTheme="minorHAnsi" w:cs="Arial"/>
        </w:rPr>
      </w:pPr>
    </w:p>
    <w:p w:rsidR="00207D5B" w:rsidRDefault="00207D5B" w:rsidP="00302527">
      <w:pPr>
        <w:jc w:val="both"/>
        <w:rPr>
          <w:rFonts w:asciiTheme="minorHAnsi" w:hAnsiTheme="minorHAnsi" w:cs="Arial"/>
        </w:rPr>
      </w:pPr>
    </w:p>
    <w:p w:rsidR="000E74F9" w:rsidRDefault="000E74F9" w:rsidP="00302527">
      <w:pPr>
        <w:jc w:val="both"/>
        <w:rPr>
          <w:rFonts w:asciiTheme="minorHAnsi" w:hAnsiTheme="minorHAnsi" w:cs="Arial"/>
        </w:rPr>
      </w:pPr>
    </w:p>
    <w:p w:rsidR="00A23007" w:rsidRPr="005F1629" w:rsidRDefault="00A23007" w:rsidP="00302527">
      <w:pPr>
        <w:jc w:val="both"/>
        <w:rPr>
          <w:rFonts w:asciiTheme="minorHAnsi" w:hAnsiTheme="minorHAnsi" w:cs="Arial"/>
        </w:rPr>
      </w:pPr>
    </w:p>
    <w:p w:rsidR="00302527" w:rsidRPr="005F1629" w:rsidRDefault="00302527" w:rsidP="00302527">
      <w:pPr>
        <w:jc w:val="both"/>
        <w:rPr>
          <w:rFonts w:asciiTheme="minorHAnsi" w:hAnsiTheme="minorHAnsi" w:cs="Arial"/>
        </w:rPr>
      </w:pPr>
      <w:r w:rsidRPr="005F1629">
        <w:rPr>
          <w:rFonts w:asciiTheme="minorHAnsi" w:hAnsiTheme="minorHAnsi" w:cs="Arial"/>
        </w:rPr>
        <w:lastRenderedPageBreak/>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302527" w:rsidRPr="005F1629" w:rsidTr="00F20591">
        <w:tc>
          <w:tcPr>
            <w:tcW w:w="1809" w:type="dxa"/>
            <w:shd w:val="solid" w:color="000080" w:fill="FFFFFF"/>
          </w:tcPr>
          <w:p w:rsidR="00302527" w:rsidRPr="005F1629" w:rsidRDefault="00302527" w:rsidP="00F20591">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207D5B">
        <w:tc>
          <w:tcPr>
            <w:tcW w:w="1809" w:type="dxa"/>
            <w:shd w:val="clear" w:color="auto" w:fill="auto"/>
            <w:vAlign w:val="center"/>
          </w:tcPr>
          <w:p w:rsidR="00302527" w:rsidRPr="005F1629" w:rsidRDefault="00302527" w:rsidP="006963B3">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5 117</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5 134</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5 501</w:t>
            </w:r>
          </w:p>
        </w:tc>
        <w:tc>
          <w:tcPr>
            <w:tcW w:w="127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5 465</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5 397</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5 290</w:t>
            </w:r>
          </w:p>
        </w:tc>
      </w:tr>
      <w:tr w:rsidR="00302527" w:rsidRPr="005F1629" w:rsidTr="00207D5B">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9 577</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9 633</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9 864</w:t>
            </w:r>
          </w:p>
        </w:tc>
        <w:tc>
          <w:tcPr>
            <w:tcW w:w="127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9 408</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9 336</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10 199</w:t>
            </w:r>
          </w:p>
        </w:tc>
      </w:tr>
      <w:tr w:rsidR="00302527" w:rsidRPr="005F1629" w:rsidTr="00207D5B">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4 569</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4 317</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4 356</w:t>
            </w:r>
          </w:p>
        </w:tc>
        <w:tc>
          <w:tcPr>
            <w:tcW w:w="1275"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4 424</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4 328</w:t>
            </w:r>
          </w:p>
        </w:tc>
        <w:tc>
          <w:tcPr>
            <w:tcW w:w="1276" w:type="dxa"/>
            <w:shd w:val="clear" w:color="auto" w:fill="auto"/>
            <w:vAlign w:val="bottom"/>
          </w:tcPr>
          <w:p w:rsidR="00302527" w:rsidRPr="00ED42B9" w:rsidRDefault="00302527" w:rsidP="00207D5B">
            <w:pPr>
              <w:jc w:val="right"/>
              <w:rPr>
                <w:rFonts w:asciiTheme="minorHAnsi" w:hAnsiTheme="minorHAnsi"/>
                <w:color w:val="000000"/>
                <w:sz w:val="22"/>
                <w:szCs w:val="22"/>
              </w:rPr>
            </w:pPr>
            <w:r w:rsidRPr="00ED42B9">
              <w:rPr>
                <w:rFonts w:asciiTheme="minorHAnsi" w:hAnsiTheme="minorHAnsi"/>
                <w:color w:val="000000"/>
                <w:sz w:val="22"/>
                <w:szCs w:val="22"/>
              </w:rPr>
              <w:t>4 398</w:t>
            </w:r>
          </w:p>
        </w:tc>
      </w:tr>
      <w:tr w:rsidR="00302527" w:rsidRPr="005F1629" w:rsidTr="00207D5B">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bottom"/>
          </w:tcPr>
          <w:p w:rsidR="00302527" w:rsidRPr="00ED42B9" w:rsidRDefault="00302527" w:rsidP="00207D5B">
            <w:pPr>
              <w:jc w:val="right"/>
              <w:rPr>
                <w:rFonts w:asciiTheme="minorHAnsi" w:hAnsiTheme="minorHAnsi"/>
                <w:b/>
                <w:bCs/>
                <w:color w:val="000000"/>
                <w:sz w:val="22"/>
                <w:szCs w:val="22"/>
              </w:rPr>
            </w:pPr>
            <w:r w:rsidRPr="00ED42B9">
              <w:rPr>
                <w:rFonts w:asciiTheme="minorHAnsi" w:hAnsiTheme="minorHAnsi"/>
                <w:b/>
                <w:bCs/>
                <w:color w:val="000000"/>
                <w:sz w:val="22"/>
                <w:szCs w:val="22"/>
              </w:rPr>
              <w:t>19 263</w:t>
            </w:r>
          </w:p>
        </w:tc>
        <w:tc>
          <w:tcPr>
            <w:tcW w:w="1276" w:type="dxa"/>
            <w:shd w:val="clear" w:color="auto" w:fill="auto"/>
            <w:vAlign w:val="bottom"/>
          </w:tcPr>
          <w:p w:rsidR="00302527" w:rsidRPr="00ED42B9" w:rsidRDefault="00302527" w:rsidP="00207D5B">
            <w:pPr>
              <w:jc w:val="right"/>
              <w:rPr>
                <w:rFonts w:asciiTheme="minorHAnsi" w:hAnsiTheme="minorHAnsi"/>
                <w:b/>
                <w:bCs/>
                <w:color w:val="000000"/>
                <w:sz w:val="22"/>
                <w:szCs w:val="22"/>
              </w:rPr>
            </w:pPr>
            <w:r w:rsidRPr="00ED42B9">
              <w:rPr>
                <w:rFonts w:asciiTheme="minorHAnsi" w:hAnsiTheme="minorHAnsi"/>
                <w:b/>
                <w:bCs/>
                <w:color w:val="000000"/>
                <w:sz w:val="22"/>
                <w:szCs w:val="22"/>
              </w:rPr>
              <w:t>19 085</w:t>
            </w:r>
          </w:p>
        </w:tc>
        <w:tc>
          <w:tcPr>
            <w:tcW w:w="1276"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19 720</w:t>
            </w:r>
          </w:p>
        </w:tc>
        <w:tc>
          <w:tcPr>
            <w:tcW w:w="1275" w:type="dxa"/>
            <w:shd w:val="clear" w:color="auto" w:fill="auto"/>
            <w:vAlign w:val="bottom"/>
          </w:tcPr>
          <w:p w:rsidR="00302527" w:rsidRPr="00ED42B9" w:rsidRDefault="00302527" w:rsidP="00207D5B">
            <w:pPr>
              <w:jc w:val="right"/>
              <w:rPr>
                <w:rFonts w:asciiTheme="minorHAnsi" w:hAnsiTheme="minorHAnsi"/>
                <w:b/>
                <w:bCs/>
                <w:color w:val="000000"/>
                <w:sz w:val="22"/>
                <w:szCs w:val="22"/>
              </w:rPr>
            </w:pPr>
            <w:r w:rsidRPr="00ED42B9">
              <w:rPr>
                <w:rFonts w:asciiTheme="minorHAnsi" w:hAnsiTheme="minorHAnsi"/>
                <w:b/>
                <w:bCs/>
                <w:color w:val="000000"/>
                <w:sz w:val="22"/>
                <w:szCs w:val="22"/>
              </w:rPr>
              <w:t>19 297</w:t>
            </w:r>
          </w:p>
        </w:tc>
        <w:tc>
          <w:tcPr>
            <w:tcW w:w="1276" w:type="dxa"/>
            <w:shd w:val="clear" w:color="auto" w:fill="auto"/>
            <w:vAlign w:val="bottom"/>
          </w:tcPr>
          <w:p w:rsidR="00302527" w:rsidRPr="00ED42B9" w:rsidRDefault="00302527" w:rsidP="00207D5B">
            <w:pPr>
              <w:jc w:val="right"/>
              <w:rPr>
                <w:rFonts w:asciiTheme="minorHAnsi" w:hAnsiTheme="minorHAnsi"/>
                <w:b/>
                <w:color w:val="000000"/>
                <w:sz w:val="22"/>
                <w:szCs w:val="22"/>
              </w:rPr>
            </w:pPr>
            <w:r w:rsidRPr="00ED42B9">
              <w:rPr>
                <w:rFonts w:asciiTheme="minorHAnsi" w:hAnsiTheme="minorHAnsi"/>
                <w:b/>
                <w:color w:val="000000"/>
                <w:sz w:val="22"/>
                <w:szCs w:val="22"/>
              </w:rPr>
              <w:t>19 060</w:t>
            </w:r>
          </w:p>
        </w:tc>
        <w:tc>
          <w:tcPr>
            <w:tcW w:w="1276" w:type="dxa"/>
            <w:shd w:val="clear" w:color="auto" w:fill="auto"/>
            <w:vAlign w:val="bottom"/>
          </w:tcPr>
          <w:p w:rsidR="00302527" w:rsidRPr="00ED42B9" w:rsidRDefault="00302527" w:rsidP="00207D5B">
            <w:pPr>
              <w:jc w:val="right"/>
              <w:rPr>
                <w:rFonts w:asciiTheme="minorHAnsi" w:hAnsiTheme="minorHAnsi"/>
                <w:b/>
                <w:bCs/>
                <w:color w:val="000000"/>
                <w:sz w:val="22"/>
                <w:szCs w:val="22"/>
              </w:rPr>
            </w:pPr>
            <w:r w:rsidRPr="00ED42B9">
              <w:rPr>
                <w:rFonts w:asciiTheme="minorHAnsi" w:hAnsiTheme="minorHAnsi"/>
                <w:b/>
                <w:bCs/>
                <w:color w:val="000000"/>
                <w:sz w:val="22"/>
                <w:szCs w:val="22"/>
              </w:rPr>
              <w:t>19 887</w:t>
            </w:r>
          </w:p>
        </w:tc>
      </w:tr>
    </w:tbl>
    <w:p w:rsidR="00302527" w:rsidRPr="005F1629" w:rsidRDefault="00302527" w:rsidP="00302527">
      <w:pPr>
        <w:spacing w:after="120"/>
        <w:jc w:val="both"/>
        <w:rPr>
          <w:rFonts w:asciiTheme="minorHAnsi" w:hAnsiTheme="minorHAnsi" w:cs="Arial"/>
          <w:noProof/>
        </w:rPr>
      </w:pPr>
    </w:p>
    <w:p w:rsidR="00302527" w:rsidRPr="005F1629" w:rsidRDefault="00302527" w:rsidP="00302527">
      <w:pPr>
        <w:jc w:val="both"/>
        <w:rPr>
          <w:rFonts w:asciiTheme="minorHAnsi" w:hAnsiTheme="minorHAnsi" w:cs="Arial"/>
          <w:noProof/>
        </w:rPr>
      </w:pPr>
      <w:r w:rsidRPr="005F1629">
        <w:rPr>
          <w:rFonts w:asciiTheme="minorHAnsi" w:hAnsiTheme="minorHAnsi" w:cs="Arial"/>
          <w:noProof/>
        </w:rPr>
        <w:t>Graf č. 1:</w:t>
      </w:r>
    </w:p>
    <w:p w:rsidR="00302527" w:rsidRPr="005F1629" w:rsidRDefault="00302527" w:rsidP="00302527">
      <w:pPr>
        <w:spacing w:after="120"/>
        <w:jc w:val="both"/>
        <w:rPr>
          <w:rFonts w:asciiTheme="minorHAnsi" w:hAnsiTheme="minorHAnsi" w:cs="Arial"/>
          <w:noProof/>
        </w:rPr>
      </w:pPr>
      <w:r>
        <w:rPr>
          <w:noProof/>
        </w:rPr>
        <w:drawing>
          <wp:inline distT="0" distB="0" distL="0" distR="0">
            <wp:extent cx="5762445" cy="2725947"/>
            <wp:effectExtent l="0" t="0" r="10160" b="1778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2527" w:rsidRPr="005F1629" w:rsidRDefault="00302527" w:rsidP="00302527">
      <w:pPr>
        <w:jc w:val="both"/>
        <w:rPr>
          <w:rFonts w:asciiTheme="minorHAnsi" w:hAnsiTheme="minorHAnsi" w:cs="Arial"/>
          <w:noProof/>
        </w:rPr>
      </w:pPr>
    </w:p>
    <w:p w:rsidR="00302527" w:rsidRPr="005F1629" w:rsidRDefault="00302527" w:rsidP="00302527">
      <w:pPr>
        <w:jc w:val="both"/>
        <w:rPr>
          <w:rFonts w:asciiTheme="minorHAnsi" w:hAnsiTheme="minorHAnsi" w:cs="Arial"/>
          <w:noProof/>
        </w:rPr>
      </w:pPr>
      <w:r w:rsidRPr="005F1629">
        <w:rPr>
          <w:rFonts w:asciiTheme="minorHAnsi" w:hAnsiTheme="minorHAnsi" w:cs="Arial"/>
          <w:noProof/>
        </w:rPr>
        <w:t>Graf č. 2:</w:t>
      </w:r>
    </w:p>
    <w:p w:rsidR="00302527" w:rsidRPr="005F1629" w:rsidRDefault="00302527" w:rsidP="00302527">
      <w:pPr>
        <w:spacing w:after="120"/>
        <w:jc w:val="both"/>
        <w:rPr>
          <w:rFonts w:asciiTheme="minorHAnsi" w:hAnsiTheme="minorHAnsi" w:cs="Arial"/>
          <w:noProof/>
        </w:rPr>
      </w:pPr>
      <w:r>
        <w:rPr>
          <w:noProof/>
        </w:rPr>
        <w:drawing>
          <wp:inline distT="0" distB="0" distL="0" distR="0">
            <wp:extent cx="5745193" cy="3053751"/>
            <wp:effectExtent l="0" t="0" r="27305" b="1333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2527" w:rsidRDefault="00302527" w:rsidP="00302527">
      <w:pPr>
        <w:jc w:val="both"/>
        <w:rPr>
          <w:rFonts w:asciiTheme="minorHAnsi" w:hAnsiTheme="minorHAnsi" w:cs="Arial"/>
        </w:rPr>
      </w:pPr>
    </w:p>
    <w:p w:rsidR="00302527" w:rsidRDefault="00302527" w:rsidP="00DE0C41">
      <w:pPr>
        <w:spacing w:after="240"/>
        <w:ind w:firstLine="426"/>
        <w:jc w:val="both"/>
        <w:rPr>
          <w:rFonts w:asciiTheme="minorHAnsi" w:hAnsiTheme="minorHAnsi" w:cs="Arial"/>
        </w:rPr>
      </w:pPr>
      <w:r w:rsidRPr="00F86CA9">
        <w:rPr>
          <w:rFonts w:asciiTheme="minorHAnsi" w:hAnsiTheme="minorHAnsi" w:cs="Arial"/>
          <w:b/>
        </w:rPr>
        <w:lastRenderedPageBreak/>
        <w:t>Objem finančních prostředků (vratek)</w:t>
      </w:r>
      <w:r>
        <w:rPr>
          <w:rFonts w:asciiTheme="minorHAnsi" w:hAnsiTheme="minorHAnsi" w:cs="Arial"/>
        </w:rPr>
        <w:t xml:space="preserve"> podle §</w:t>
      </w:r>
      <w:r w:rsidR="007C1F74">
        <w:rPr>
          <w:rFonts w:asciiTheme="minorHAnsi" w:hAnsiTheme="minorHAnsi" w:cs="Arial"/>
        </w:rPr>
        <w:t xml:space="preserve"> </w:t>
      </w:r>
      <w:r>
        <w:rPr>
          <w:rFonts w:asciiTheme="minorHAnsi" w:hAnsiTheme="minorHAnsi" w:cs="Arial"/>
        </w:rPr>
        <w:t>16b zákona č. 48/1997 Sb. VoZP ČR plánuje ve výši 10 500 tis. Kč pro 13 500 pojištěnců, kteří v daném období překročí zákonný limit 5 000 Kč, resp. 2 500 Kč. V přepočtu na jednoho pojištěnce se tato částka v posledních pěti letech výrazně nemění.</w:t>
      </w:r>
    </w:p>
    <w:p w:rsidR="00302527" w:rsidRPr="005F1629" w:rsidRDefault="00302527" w:rsidP="00302527">
      <w:pPr>
        <w:jc w:val="both"/>
        <w:rPr>
          <w:rFonts w:asciiTheme="minorHAnsi" w:hAnsiTheme="minorHAnsi" w:cs="Arial"/>
        </w:rPr>
      </w:pPr>
      <w:r w:rsidRPr="005F1629">
        <w:rPr>
          <w:rFonts w:asciiTheme="minorHAnsi" w:hAnsiTheme="minorHAnsi" w:cs="Arial"/>
        </w:rPr>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302527" w:rsidRPr="005F1629" w:rsidTr="00F20591">
        <w:tc>
          <w:tcPr>
            <w:tcW w:w="251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1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1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1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115" w:type="dxa"/>
            <w:shd w:val="solid" w:color="000080" w:fill="FFFFFF"/>
          </w:tcPr>
          <w:p w:rsidR="00302527"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1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2518" w:type="dxa"/>
            <w:shd w:val="clear" w:color="auto" w:fill="auto"/>
          </w:tcPr>
          <w:p w:rsidR="00302527" w:rsidRPr="005F1629" w:rsidRDefault="00302527" w:rsidP="00F20591">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r>
              <w:rPr>
                <w:rFonts w:asciiTheme="minorHAnsi" w:hAnsiTheme="minorHAnsi" w:cs="Arial"/>
                <w:b/>
                <w:sz w:val="22"/>
                <w:szCs w:val="22"/>
              </w:rPr>
              <w:t xml:space="preserve"> </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18 859</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31 207</w:t>
            </w:r>
          </w:p>
        </w:tc>
        <w:tc>
          <w:tcPr>
            <w:tcW w:w="111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34 032</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24 205</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15 000</w:t>
            </w:r>
          </w:p>
        </w:tc>
        <w:tc>
          <w:tcPr>
            <w:tcW w:w="111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13 500</w:t>
            </w:r>
          </w:p>
        </w:tc>
      </w:tr>
      <w:tr w:rsidR="00302527" w:rsidRPr="005F1629" w:rsidTr="00F20591">
        <w:tc>
          <w:tcPr>
            <w:tcW w:w="2518" w:type="dxa"/>
            <w:shd w:val="clear" w:color="auto" w:fill="auto"/>
          </w:tcPr>
          <w:p w:rsidR="00302527" w:rsidRPr="005F1629" w:rsidRDefault="00302527" w:rsidP="00F20591">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Pr>
                <w:rFonts w:asciiTheme="minorHAnsi" w:hAnsiTheme="minorHAnsi" w:cs="Arial"/>
                <w:b/>
                <w:sz w:val="22"/>
                <w:szCs w:val="22"/>
              </w:rPr>
              <w:t xml:space="preserve"> </w:t>
            </w:r>
            <w:r>
              <w:rPr>
                <w:rFonts w:asciiTheme="minorHAnsi" w:hAnsiTheme="minorHAnsi" w:cs="Arial"/>
                <w:b/>
                <w:bCs/>
                <w:sz w:val="22"/>
                <w:szCs w:val="22"/>
              </w:rPr>
              <w:t>(</w:t>
            </w:r>
            <w:r w:rsidRPr="000D1B0B">
              <w:rPr>
                <w:rFonts w:asciiTheme="minorHAnsi" w:hAnsiTheme="minorHAnsi" w:cs="Arial"/>
                <w:b/>
                <w:bCs/>
                <w:sz w:val="22"/>
                <w:szCs w:val="22"/>
              </w:rPr>
              <w:t>tis. Kč)</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14 979</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26 104</w:t>
            </w:r>
          </w:p>
        </w:tc>
        <w:tc>
          <w:tcPr>
            <w:tcW w:w="111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29 015</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18 855</w:t>
            </w:r>
          </w:p>
        </w:tc>
        <w:tc>
          <w:tcPr>
            <w:tcW w:w="111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11 500</w:t>
            </w:r>
          </w:p>
        </w:tc>
        <w:tc>
          <w:tcPr>
            <w:tcW w:w="111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10 500</w:t>
            </w:r>
          </w:p>
        </w:tc>
      </w:tr>
      <w:tr w:rsidR="00302527" w:rsidRPr="005F1629" w:rsidTr="00F20591">
        <w:tc>
          <w:tcPr>
            <w:tcW w:w="2518" w:type="dxa"/>
            <w:shd w:val="clear" w:color="auto" w:fill="auto"/>
          </w:tcPr>
          <w:p w:rsidR="00302527" w:rsidRPr="005F1629" w:rsidRDefault="00302527" w:rsidP="00F20591">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Pr>
                <w:rFonts w:asciiTheme="minorHAnsi" w:hAnsiTheme="minorHAnsi" w:cs="Arial"/>
                <w:b/>
                <w:sz w:val="22"/>
                <w:szCs w:val="22"/>
              </w:rPr>
              <w:t xml:space="preserve"> </w:t>
            </w:r>
            <w:r>
              <w:rPr>
                <w:rFonts w:asciiTheme="minorHAnsi" w:hAnsiTheme="minorHAnsi" w:cs="Arial"/>
                <w:b/>
                <w:bCs/>
                <w:sz w:val="22"/>
                <w:szCs w:val="22"/>
              </w:rPr>
              <w:t>(</w:t>
            </w:r>
            <w:r w:rsidRPr="000D1B0B">
              <w:rPr>
                <w:rFonts w:asciiTheme="minorHAnsi" w:hAnsiTheme="minorHAnsi" w:cs="Arial"/>
                <w:b/>
                <w:bCs/>
                <w:sz w:val="22"/>
                <w:szCs w:val="22"/>
              </w:rPr>
              <w:t>tis. Kč)</w:t>
            </w:r>
          </w:p>
        </w:tc>
        <w:tc>
          <w:tcPr>
            <w:tcW w:w="1115" w:type="dxa"/>
            <w:shd w:val="clear" w:color="auto" w:fill="auto"/>
            <w:vAlign w:val="center"/>
          </w:tcPr>
          <w:p w:rsidR="00302527" w:rsidRPr="00DD52D9" w:rsidRDefault="00302527" w:rsidP="00F20591">
            <w:pPr>
              <w:jc w:val="right"/>
              <w:rPr>
                <w:rFonts w:ascii="Calibri" w:hAnsi="Calibri"/>
                <w:color w:val="000000"/>
                <w:sz w:val="22"/>
                <w:szCs w:val="22"/>
              </w:rPr>
            </w:pPr>
            <w:r w:rsidRPr="00DD52D9">
              <w:rPr>
                <w:rFonts w:ascii="Calibri" w:hAnsi="Calibri"/>
                <w:color w:val="000000"/>
                <w:sz w:val="22"/>
                <w:szCs w:val="22"/>
              </w:rPr>
              <w:t>0,79</w:t>
            </w:r>
          </w:p>
        </w:tc>
        <w:tc>
          <w:tcPr>
            <w:tcW w:w="1115" w:type="dxa"/>
            <w:shd w:val="clear" w:color="auto" w:fill="auto"/>
            <w:vAlign w:val="center"/>
          </w:tcPr>
          <w:p w:rsidR="00302527" w:rsidRPr="00DD52D9" w:rsidRDefault="00302527" w:rsidP="00F20591">
            <w:pPr>
              <w:jc w:val="right"/>
              <w:rPr>
                <w:rFonts w:ascii="Calibri" w:hAnsi="Calibri"/>
                <w:color w:val="000000"/>
                <w:sz w:val="22"/>
                <w:szCs w:val="22"/>
              </w:rPr>
            </w:pPr>
            <w:r w:rsidRPr="00DD52D9">
              <w:rPr>
                <w:rFonts w:ascii="Calibri" w:hAnsi="Calibri"/>
                <w:color w:val="000000"/>
                <w:sz w:val="22"/>
                <w:szCs w:val="22"/>
              </w:rPr>
              <w:t>0,84</w:t>
            </w:r>
          </w:p>
        </w:tc>
        <w:tc>
          <w:tcPr>
            <w:tcW w:w="1116" w:type="dxa"/>
            <w:shd w:val="clear" w:color="auto" w:fill="auto"/>
            <w:vAlign w:val="center"/>
          </w:tcPr>
          <w:p w:rsidR="00302527" w:rsidRPr="00DD52D9" w:rsidRDefault="00302527" w:rsidP="00F20591">
            <w:pPr>
              <w:jc w:val="right"/>
              <w:rPr>
                <w:rFonts w:ascii="Calibri" w:hAnsi="Calibri"/>
                <w:color w:val="000000"/>
                <w:sz w:val="22"/>
                <w:szCs w:val="22"/>
              </w:rPr>
            </w:pPr>
            <w:r w:rsidRPr="00DD52D9">
              <w:rPr>
                <w:rFonts w:ascii="Calibri" w:hAnsi="Calibri"/>
                <w:color w:val="000000"/>
                <w:sz w:val="22"/>
                <w:szCs w:val="22"/>
              </w:rPr>
              <w:t>0,85</w:t>
            </w:r>
          </w:p>
        </w:tc>
        <w:tc>
          <w:tcPr>
            <w:tcW w:w="1115" w:type="dxa"/>
            <w:shd w:val="clear" w:color="auto" w:fill="auto"/>
            <w:vAlign w:val="center"/>
          </w:tcPr>
          <w:p w:rsidR="00302527" w:rsidRPr="00DD52D9" w:rsidRDefault="00302527" w:rsidP="00F20591">
            <w:pPr>
              <w:jc w:val="right"/>
              <w:rPr>
                <w:rFonts w:ascii="Calibri" w:hAnsi="Calibri"/>
                <w:color w:val="000000"/>
                <w:sz w:val="22"/>
                <w:szCs w:val="22"/>
              </w:rPr>
            </w:pPr>
            <w:r w:rsidRPr="00DD52D9">
              <w:rPr>
                <w:rFonts w:ascii="Calibri" w:hAnsi="Calibri"/>
                <w:color w:val="000000"/>
                <w:sz w:val="22"/>
                <w:szCs w:val="22"/>
              </w:rPr>
              <w:t>0,78</w:t>
            </w:r>
          </w:p>
        </w:tc>
        <w:tc>
          <w:tcPr>
            <w:tcW w:w="1115" w:type="dxa"/>
            <w:shd w:val="clear" w:color="auto" w:fill="auto"/>
            <w:vAlign w:val="center"/>
          </w:tcPr>
          <w:p w:rsidR="00302527" w:rsidRPr="00DD52D9" w:rsidRDefault="00302527" w:rsidP="00F20591">
            <w:pPr>
              <w:jc w:val="right"/>
              <w:rPr>
                <w:rFonts w:ascii="Calibri" w:hAnsi="Calibri"/>
                <w:color w:val="000000"/>
                <w:sz w:val="22"/>
                <w:szCs w:val="22"/>
              </w:rPr>
            </w:pPr>
            <w:r w:rsidRPr="00DD52D9">
              <w:rPr>
                <w:rFonts w:ascii="Calibri" w:hAnsi="Calibri"/>
                <w:color w:val="000000"/>
                <w:sz w:val="22"/>
                <w:szCs w:val="22"/>
              </w:rPr>
              <w:t>0,77</w:t>
            </w:r>
          </w:p>
        </w:tc>
        <w:tc>
          <w:tcPr>
            <w:tcW w:w="1116" w:type="dxa"/>
            <w:shd w:val="clear" w:color="auto" w:fill="auto"/>
            <w:vAlign w:val="center"/>
          </w:tcPr>
          <w:p w:rsidR="00302527" w:rsidRPr="00DD52D9" w:rsidRDefault="00302527" w:rsidP="00F20591">
            <w:pPr>
              <w:jc w:val="right"/>
              <w:rPr>
                <w:rFonts w:ascii="Calibri" w:hAnsi="Calibri"/>
                <w:color w:val="000000"/>
                <w:sz w:val="22"/>
                <w:szCs w:val="22"/>
              </w:rPr>
            </w:pPr>
            <w:r w:rsidRPr="00DD52D9">
              <w:rPr>
                <w:rFonts w:ascii="Calibri" w:hAnsi="Calibri"/>
                <w:color w:val="000000"/>
                <w:sz w:val="22"/>
                <w:szCs w:val="22"/>
              </w:rPr>
              <w:t>0,78</w:t>
            </w:r>
          </w:p>
        </w:tc>
      </w:tr>
    </w:tbl>
    <w:p w:rsidR="00302527" w:rsidRDefault="00302527" w:rsidP="00302527">
      <w:pPr>
        <w:spacing w:after="120"/>
        <w:ind w:firstLine="357"/>
        <w:jc w:val="both"/>
        <w:rPr>
          <w:rFonts w:asciiTheme="minorHAnsi" w:hAnsiTheme="minorHAnsi" w:cs="Arial"/>
          <w:b/>
        </w:rPr>
      </w:pPr>
    </w:p>
    <w:p w:rsidR="00302527" w:rsidRDefault="00302527" w:rsidP="00DE0C41">
      <w:pPr>
        <w:ind w:firstLine="426"/>
        <w:jc w:val="both"/>
        <w:rPr>
          <w:rFonts w:asciiTheme="minorHAnsi" w:hAnsiTheme="minorHAnsi" w:cs="Arial"/>
        </w:rPr>
      </w:pPr>
      <w:r>
        <w:rPr>
          <w:rFonts w:asciiTheme="minorHAnsi" w:hAnsiTheme="minorHAnsi" w:cs="Arial"/>
          <w:b/>
        </w:rPr>
        <w:t>Náklady na léčení cizinců</w:t>
      </w:r>
      <w:r>
        <w:rPr>
          <w:rFonts w:asciiTheme="minorHAnsi" w:hAnsiTheme="minorHAnsi" w:cs="Arial"/>
        </w:rPr>
        <w:t>, kteří si jako výpomocnou zdravotní pojišťovnu zvolí VoZP ČR, jsou plánovány ve výši 15 840 tis. Kč. Oproti očekávané skutečnosti předchozího roku se jedná o nárůst o 5,6 %. Při plánovaném zvýšení počtu ošetřených cizinců oproti očekávané skutečnosti roku 2013 je průměrný náklad na jednoho ošetřeného cizince ve výši 3 771 Kč s meziročním nárůstem 0,56 %.</w:t>
      </w:r>
    </w:p>
    <w:p w:rsidR="00302527" w:rsidRPr="00ED42B9" w:rsidRDefault="00302527" w:rsidP="00DE0C41">
      <w:pPr>
        <w:spacing w:after="240"/>
        <w:ind w:firstLine="426"/>
        <w:jc w:val="both"/>
        <w:rPr>
          <w:rFonts w:asciiTheme="minorHAnsi" w:hAnsiTheme="minorHAnsi" w:cs="Arial"/>
        </w:rPr>
      </w:pPr>
      <w:r>
        <w:rPr>
          <w:rFonts w:asciiTheme="minorHAnsi" w:hAnsiTheme="minorHAnsi" w:cs="Arial"/>
        </w:rPr>
        <w:t xml:space="preserve">Na ZFZP je plánováno přijmout od zahraničních pojišťoven za léčení cizinců (včetně plateb vypořádaných tzv. paušálem) 10 000 tis </w:t>
      </w:r>
      <w:r>
        <w:rPr>
          <w:rFonts w:asciiTheme="minorHAnsi" w:hAnsiTheme="minorHAnsi" w:cs="Arial"/>
          <w:smallCaps/>
        </w:rPr>
        <w:t xml:space="preserve">Kč </w:t>
      </w:r>
      <w:r>
        <w:rPr>
          <w:rFonts w:asciiTheme="minorHAnsi" w:hAnsiTheme="minorHAnsi" w:cs="Arial"/>
        </w:rPr>
        <w:t>a z prostředků ZFZP uhradit za léčení cizinců PZS 15 840 tis. Kč, což znamená rozdíl mezi těmito pohledávkami a závazky ve výši -5 840 tis. Kč. Tato částka snižuje konečný zůstatek ZFZP.</w:t>
      </w:r>
    </w:p>
    <w:p w:rsidR="00302527" w:rsidRPr="005F1629" w:rsidRDefault="00302527" w:rsidP="00302527">
      <w:pPr>
        <w:pStyle w:val="Zkladntext"/>
        <w:spacing w:after="0" w:line="280" w:lineRule="atLeast"/>
        <w:jc w:val="both"/>
        <w:rPr>
          <w:rFonts w:asciiTheme="minorHAnsi" w:hAnsiTheme="minorHAnsi" w:cs="Arial"/>
          <w:sz w:val="24"/>
        </w:rPr>
      </w:pPr>
      <w:r w:rsidRPr="005F1629">
        <w:rPr>
          <w:rFonts w:asciiTheme="minorHAnsi" w:hAnsiTheme="minorHAnsi" w:cs="Arial"/>
          <w:sz w:val="24"/>
        </w:rPr>
        <w:t>Tabulka č. 6: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302527" w:rsidRPr="005F1629" w:rsidTr="00F20591">
        <w:tc>
          <w:tcPr>
            <w:tcW w:w="1951"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pStyle w:val="Zkladntext"/>
              <w:spacing w:after="0" w:line="280" w:lineRule="atLeast"/>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1951" w:type="dxa"/>
            <w:shd w:val="clear" w:color="auto" w:fill="auto"/>
          </w:tcPr>
          <w:p w:rsidR="00302527" w:rsidRPr="005F1629" w:rsidRDefault="00302527" w:rsidP="00F2059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Náklady na léčení cizinců</w:t>
            </w:r>
            <w:r>
              <w:rPr>
                <w:rFonts w:asciiTheme="minorHAnsi" w:hAnsiTheme="minorHAnsi" w:cs="Arial"/>
                <w:b/>
                <w:sz w:val="22"/>
                <w:szCs w:val="22"/>
              </w:rPr>
              <w:t xml:space="preserve"> </w:t>
            </w:r>
            <w:r w:rsidRPr="000D1B0B">
              <w:rPr>
                <w:rFonts w:asciiTheme="minorHAnsi" w:hAnsiTheme="minorHAnsi" w:cs="Arial"/>
                <w:b/>
                <w:bCs/>
                <w:sz w:val="22"/>
                <w:szCs w:val="22"/>
              </w:rPr>
              <w:t>(tis. Kč)</w:t>
            </w:r>
          </w:p>
        </w:tc>
        <w:tc>
          <w:tcPr>
            <w:tcW w:w="1209"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13 635</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11 857</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13 884</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14 280</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15 000</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15 840</w:t>
            </w:r>
          </w:p>
        </w:tc>
      </w:tr>
      <w:tr w:rsidR="00302527" w:rsidRPr="005F1629" w:rsidTr="00F20591">
        <w:tc>
          <w:tcPr>
            <w:tcW w:w="1951" w:type="dxa"/>
            <w:shd w:val="clear" w:color="auto" w:fill="auto"/>
          </w:tcPr>
          <w:p w:rsidR="00302527" w:rsidRPr="005F1629" w:rsidRDefault="00302527" w:rsidP="00F2059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Počet ošetřených cizinců</w:t>
            </w:r>
            <w:r>
              <w:rPr>
                <w:rFonts w:asciiTheme="minorHAnsi" w:hAnsiTheme="minorHAnsi" w:cs="Arial"/>
                <w:b/>
                <w:sz w:val="22"/>
                <w:szCs w:val="22"/>
              </w:rPr>
              <w:t xml:space="preserve"> </w:t>
            </w:r>
          </w:p>
        </w:tc>
        <w:tc>
          <w:tcPr>
            <w:tcW w:w="1209"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1 614</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1 882</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2 286</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3 118</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4 000</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4 200</w:t>
            </w:r>
          </w:p>
        </w:tc>
      </w:tr>
      <w:tr w:rsidR="00302527" w:rsidRPr="005F1629" w:rsidTr="00F20591">
        <w:tc>
          <w:tcPr>
            <w:tcW w:w="1951" w:type="dxa"/>
            <w:shd w:val="clear" w:color="auto" w:fill="auto"/>
          </w:tcPr>
          <w:p w:rsidR="00302527" w:rsidRPr="005F1629" w:rsidRDefault="00302527" w:rsidP="00F2059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Pr>
                <w:rFonts w:asciiTheme="minorHAnsi" w:hAnsiTheme="minorHAnsi" w:cs="Arial"/>
                <w:b/>
                <w:sz w:val="22"/>
                <w:szCs w:val="22"/>
              </w:rPr>
              <w:t xml:space="preserve"> </w:t>
            </w:r>
            <w:r w:rsidRPr="000D1B0B">
              <w:rPr>
                <w:rFonts w:asciiTheme="minorHAnsi" w:hAnsiTheme="minorHAnsi" w:cs="Arial"/>
                <w:b/>
                <w:bCs/>
                <w:sz w:val="22"/>
                <w:szCs w:val="22"/>
              </w:rPr>
              <w:t>(tis. Kč)</w:t>
            </w:r>
          </w:p>
        </w:tc>
        <w:tc>
          <w:tcPr>
            <w:tcW w:w="1209"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8,45</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6,30</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6,07</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4,58</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3,75</w:t>
            </w:r>
          </w:p>
        </w:tc>
        <w:tc>
          <w:tcPr>
            <w:tcW w:w="1210"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3,77</w:t>
            </w:r>
          </w:p>
        </w:tc>
      </w:tr>
    </w:tbl>
    <w:p w:rsidR="00302527" w:rsidRPr="005F1629" w:rsidRDefault="00302527" w:rsidP="00302527">
      <w:pPr>
        <w:pStyle w:val="Zkladntext"/>
        <w:spacing w:line="280" w:lineRule="atLeast"/>
        <w:ind w:firstLine="709"/>
        <w:jc w:val="both"/>
        <w:rPr>
          <w:rFonts w:asciiTheme="minorHAnsi" w:hAnsiTheme="minorHAnsi" w:cs="Arial"/>
          <w:sz w:val="24"/>
        </w:rPr>
      </w:pPr>
    </w:p>
    <w:p w:rsidR="00302527" w:rsidRDefault="00302527" w:rsidP="00DE0C41">
      <w:pPr>
        <w:ind w:firstLine="426"/>
        <w:jc w:val="both"/>
        <w:rPr>
          <w:rFonts w:asciiTheme="minorHAnsi" w:hAnsiTheme="minorHAnsi" w:cs="Arial"/>
        </w:rPr>
      </w:pPr>
      <w:r w:rsidRPr="00431EA1">
        <w:rPr>
          <w:rFonts w:asciiTheme="minorHAnsi" w:hAnsiTheme="minorHAnsi" w:cs="Arial"/>
          <w:b/>
        </w:rPr>
        <w:t>Náklady na preventivní péči</w:t>
      </w:r>
      <w:r>
        <w:rPr>
          <w:rFonts w:asciiTheme="minorHAnsi" w:hAnsiTheme="minorHAnsi" w:cs="Arial"/>
        </w:rPr>
        <w:t xml:space="preserve"> čerpané z Fprev</w:t>
      </w:r>
      <w:r w:rsidR="000E74F9">
        <w:rPr>
          <w:rFonts w:asciiTheme="minorHAnsi" w:hAnsiTheme="minorHAnsi" w:cs="Arial"/>
        </w:rPr>
        <w:t xml:space="preserve"> plánuje VoZP ČR v celkové výši </w:t>
      </w:r>
      <w:r w:rsidR="000E74F9">
        <w:rPr>
          <w:rFonts w:asciiTheme="minorHAnsi" w:hAnsiTheme="minorHAnsi" w:cs="Arial"/>
        </w:rPr>
        <w:br/>
      </w:r>
      <w:r>
        <w:rPr>
          <w:rFonts w:asciiTheme="minorHAnsi" w:hAnsiTheme="minorHAnsi" w:cs="Arial"/>
        </w:rPr>
        <w:t>85 000 tis. Kč, tj. meziroční snížení nákladů o 2,98 %, v absolutním vyjádření o 2 608 tis. Kč.</w:t>
      </w:r>
    </w:p>
    <w:p w:rsidR="00302527" w:rsidRPr="005F1629" w:rsidRDefault="00302527" w:rsidP="00DE0C41">
      <w:pPr>
        <w:spacing w:after="240"/>
        <w:ind w:firstLine="426"/>
        <w:jc w:val="both"/>
        <w:rPr>
          <w:rFonts w:asciiTheme="minorHAnsi" w:hAnsiTheme="minorHAnsi" w:cs="Arial"/>
        </w:rPr>
      </w:pPr>
      <w:r>
        <w:rPr>
          <w:rFonts w:asciiTheme="minorHAnsi" w:hAnsiTheme="minorHAnsi" w:cs="Arial"/>
        </w:rPr>
        <w:t xml:space="preserve">Program prevence pro r. 2014 je členěn do tří základních skupin. První skupina zahrnuje zdravotně preventivní programy. Do druhé skupiny jsou zařazeny ozdravné pobyty. Do třetí </w:t>
      </w:r>
      <w:r>
        <w:rPr>
          <w:rFonts w:asciiTheme="minorHAnsi" w:hAnsiTheme="minorHAnsi" w:cs="Arial"/>
        </w:rPr>
        <w:lastRenderedPageBreak/>
        <w:t>skupiny jsou zařazeny ostatní činnosti se zaměřením na péči pro vojáky</w:t>
      </w:r>
      <w:r w:rsidR="000E74F9">
        <w:rPr>
          <w:rFonts w:asciiTheme="minorHAnsi" w:hAnsiTheme="minorHAnsi" w:cs="Arial"/>
        </w:rPr>
        <w:t xml:space="preserve"> (Tabulka </w:t>
      </w:r>
      <w:r w:rsidR="000E74F9">
        <w:rPr>
          <w:rFonts w:asciiTheme="minorHAnsi" w:hAnsiTheme="minorHAnsi" w:cs="Arial"/>
        </w:rPr>
        <w:br/>
      </w:r>
      <w:r>
        <w:rPr>
          <w:rFonts w:asciiTheme="minorHAnsi" w:hAnsiTheme="minorHAnsi" w:cs="Arial"/>
        </w:rPr>
        <w:t>č. 7).</w:t>
      </w:r>
    </w:p>
    <w:p w:rsidR="00302527" w:rsidRPr="005F1629" w:rsidRDefault="00302527" w:rsidP="00302527">
      <w:pPr>
        <w:jc w:val="both"/>
        <w:rPr>
          <w:rFonts w:asciiTheme="minorHAnsi" w:hAnsiTheme="minorHAnsi" w:cs="Arial"/>
        </w:rPr>
      </w:pPr>
      <w:r w:rsidRPr="005F1629">
        <w:rPr>
          <w:rFonts w:asciiTheme="minorHAnsi" w:hAnsiTheme="minorHAnsi" w:cs="Arial"/>
        </w:rPr>
        <w:t>Tabulka č. 7: Náklady na preventivní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302527" w:rsidRPr="005F1629" w:rsidTr="00F20591">
        <w:tc>
          <w:tcPr>
            <w:tcW w:w="2660"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2660" w:type="dxa"/>
            <w:tcBorders>
              <w:top w:val="nil"/>
              <w:left w:val="single" w:sz="8" w:space="0" w:color="auto"/>
              <w:bottom w:val="single" w:sz="8" w:space="0" w:color="auto"/>
              <w:right w:val="single" w:sz="8"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45 741</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42 713</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45 613</w:t>
            </w:r>
          </w:p>
        </w:tc>
        <w:tc>
          <w:tcPr>
            <w:tcW w:w="1091"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48 898</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63 589</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63 216</w:t>
            </w:r>
          </w:p>
        </w:tc>
      </w:tr>
      <w:tr w:rsidR="00302527" w:rsidRPr="005F1629" w:rsidTr="00F20591">
        <w:tc>
          <w:tcPr>
            <w:tcW w:w="2660" w:type="dxa"/>
            <w:tcBorders>
              <w:top w:val="nil"/>
              <w:left w:val="single" w:sz="8" w:space="0" w:color="auto"/>
              <w:bottom w:val="single" w:sz="8" w:space="0" w:color="auto"/>
              <w:right w:val="single" w:sz="8"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24 448</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20 453</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13 598</w:t>
            </w:r>
          </w:p>
        </w:tc>
        <w:tc>
          <w:tcPr>
            <w:tcW w:w="1091"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13 619</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18 962</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15 784</w:t>
            </w:r>
          </w:p>
        </w:tc>
      </w:tr>
      <w:tr w:rsidR="00302527" w:rsidRPr="005F1629" w:rsidTr="00F20591">
        <w:tc>
          <w:tcPr>
            <w:tcW w:w="2660" w:type="dxa"/>
            <w:tcBorders>
              <w:top w:val="nil"/>
              <w:left w:val="single" w:sz="8" w:space="0" w:color="auto"/>
              <w:bottom w:val="single" w:sz="4" w:space="0" w:color="auto"/>
              <w:right w:val="single" w:sz="8"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5 735</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10 151</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8 385</w:t>
            </w:r>
          </w:p>
        </w:tc>
        <w:tc>
          <w:tcPr>
            <w:tcW w:w="1091"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712</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5 057</w:t>
            </w:r>
          </w:p>
        </w:tc>
        <w:tc>
          <w:tcPr>
            <w:tcW w:w="1092"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6 000</w:t>
            </w:r>
          </w:p>
        </w:tc>
      </w:tr>
      <w:tr w:rsidR="00302527" w:rsidRPr="005F1629" w:rsidTr="00F20591">
        <w:tc>
          <w:tcPr>
            <w:tcW w:w="2660" w:type="dxa"/>
            <w:tcBorders>
              <w:top w:val="single" w:sz="4" w:space="0" w:color="auto"/>
              <w:left w:val="single" w:sz="4" w:space="0" w:color="auto"/>
              <w:bottom w:val="single" w:sz="4" w:space="0" w:color="auto"/>
              <w:right w:val="single" w:sz="4"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Celkové náklady na preventivní zdravotní péči</w:t>
            </w:r>
          </w:p>
        </w:tc>
        <w:tc>
          <w:tcPr>
            <w:tcW w:w="1091" w:type="dxa"/>
            <w:tcBorders>
              <w:left w:val="single" w:sz="4" w:space="0" w:color="auto"/>
            </w:tcBorders>
            <w:shd w:val="clear" w:color="auto" w:fill="auto"/>
            <w:vAlign w:val="center"/>
          </w:tcPr>
          <w:p w:rsidR="00302527" w:rsidRDefault="00302527" w:rsidP="00F20591">
            <w:pPr>
              <w:jc w:val="right"/>
              <w:rPr>
                <w:rFonts w:ascii="Calibri" w:hAnsi="Calibri"/>
                <w:b/>
                <w:bCs/>
                <w:color w:val="000000"/>
                <w:sz w:val="22"/>
                <w:szCs w:val="22"/>
              </w:rPr>
            </w:pPr>
            <w:r>
              <w:rPr>
                <w:rFonts w:ascii="Calibri" w:hAnsi="Calibri"/>
                <w:b/>
                <w:bCs/>
                <w:color w:val="000000"/>
                <w:sz w:val="22"/>
                <w:szCs w:val="22"/>
              </w:rPr>
              <w:t>75 924</w:t>
            </w:r>
          </w:p>
        </w:tc>
        <w:tc>
          <w:tcPr>
            <w:tcW w:w="1092" w:type="dxa"/>
            <w:shd w:val="clear" w:color="auto" w:fill="auto"/>
            <w:vAlign w:val="center"/>
          </w:tcPr>
          <w:p w:rsidR="00302527" w:rsidRDefault="00302527" w:rsidP="00F20591">
            <w:pPr>
              <w:jc w:val="right"/>
              <w:rPr>
                <w:rFonts w:ascii="Calibri" w:hAnsi="Calibri"/>
                <w:b/>
                <w:bCs/>
                <w:color w:val="000000"/>
                <w:sz w:val="22"/>
                <w:szCs w:val="22"/>
              </w:rPr>
            </w:pPr>
            <w:r>
              <w:rPr>
                <w:rFonts w:ascii="Calibri" w:hAnsi="Calibri"/>
                <w:b/>
                <w:bCs/>
                <w:color w:val="000000"/>
                <w:sz w:val="22"/>
                <w:szCs w:val="22"/>
              </w:rPr>
              <w:t>73 317</w:t>
            </w:r>
          </w:p>
        </w:tc>
        <w:tc>
          <w:tcPr>
            <w:tcW w:w="1092" w:type="dxa"/>
            <w:shd w:val="clear" w:color="auto" w:fill="auto"/>
            <w:vAlign w:val="center"/>
          </w:tcPr>
          <w:p w:rsidR="00302527" w:rsidRDefault="00302527" w:rsidP="00F20591">
            <w:pPr>
              <w:jc w:val="right"/>
              <w:rPr>
                <w:rFonts w:ascii="Calibri" w:hAnsi="Calibri"/>
                <w:b/>
                <w:bCs/>
                <w:color w:val="000000"/>
                <w:sz w:val="22"/>
                <w:szCs w:val="22"/>
              </w:rPr>
            </w:pPr>
            <w:r>
              <w:rPr>
                <w:rFonts w:ascii="Calibri" w:hAnsi="Calibri"/>
                <w:b/>
                <w:bCs/>
                <w:color w:val="000000"/>
                <w:sz w:val="22"/>
                <w:szCs w:val="22"/>
              </w:rPr>
              <w:t>67 596</w:t>
            </w:r>
          </w:p>
        </w:tc>
        <w:tc>
          <w:tcPr>
            <w:tcW w:w="1091" w:type="dxa"/>
            <w:shd w:val="clear" w:color="auto" w:fill="auto"/>
            <w:vAlign w:val="center"/>
          </w:tcPr>
          <w:p w:rsidR="00302527" w:rsidRDefault="00302527" w:rsidP="00F20591">
            <w:pPr>
              <w:jc w:val="right"/>
              <w:rPr>
                <w:rFonts w:ascii="Calibri" w:hAnsi="Calibri"/>
                <w:b/>
                <w:bCs/>
                <w:color w:val="000000"/>
                <w:sz w:val="22"/>
                <w:szCs w:val="22"/>
              </w:rPr>
            </w:pPr>
            <w:r>
              <w:rPr>
                <w:rFonts w:ascii="Calibri" w:hAnsi="Calibri"/>
                <w:b/>
                <w:bCs/>
                <w:color w:val="000000"/>
                <w:sz w:val="22"/>
                <w:szCs w:val="22"/>
              </w:rPr>
              <w:t>63 229</w:t>
            </w:r>
          </w:p>
        </w:tc>
        <w:tc>
          <w:tcPr>
            <w:tcW w:w="1092" w:type="dxa"/>
            <w:shd w:val="clear" w:color="auto" w:fill="auto"/>
            <w:vAlign w:val="center"/>
          </w:tcPr>
          <w:p w:rsidR="00302527" w:rsidRDefault="00302527" w:rsidP="00F20591">
            <w:pPr>
              <w:jc w:val="right"/>
              <w:rPr>
                <w:rFonts w:ascii="Calibri" w:hAnsi="Calibri"/>
                <w:b/>
                <w:bCs/>
                <w:color w:val="000000"/>
                <w:sz w:val="22"/>
                <w:szCs w:val="22"/>
              </w:rPr>
            </w:pPr>
            <w:r>
              <w:rPr>
                <w:rFonts w:ascii="Calibri" w:hAnsi="Calibri"/>
                <w:b/>
                <w:bCs/>
                <w:color w:val="000000"/>
                <w:sz w:val="22"/>
                <w:szCs w:val="22"/>
              </w:rPr>
              <w:t>87 608</w:t>
            </w:r>
          </w:p>
        </w:tc>
        <w:tc>
          <w:tcPr>
            <w:tcW w:w="1092" w:type="dxa"/>
            <w:shd w:val="clear" w:color="auto" w:fill="auto"/>
            <w:vAlign w:val="center"/>
          </w:tcPr>
          <w:p w:rsidR="00302527" w:rsidRDefault="00302527" w:rsidP="00F20591">
            <w:pPr>
              <w:jc w:val="right"/>
              <w:rPr>
                <w:rFonts w:ascii="Calibri" w:hAnsi="Calibri"/>
                <w:b/>
                <w:bCs/>
                <w:color w:val="000000"/>
                <w:sz w:val="22"/>
                <w:szCs w:val="22"/>
              </w:rPr>
            </w:pPr>
            <w:r>
              <w:rPr>
                <w:rFonts w:ascii="Calibri" w:hAnsi="Calibri"/>
                <w:b/>
                <w:bCs/>
                <w:color w:val="000000"/>
                <w:sz w:val="22"/>
                <w:szCs w:val="22"/>
              </w:rPr>
              <w:t>85 000</w:t>
            </w:r>
          </w:p>
        </w:tc>
      </w:tr>
    </w:tbl>
    <w:p w:rsidR="00302527" w:rsidRDefault="00302527" w:rsidP="00302527">
      <w:pPr>
        <w:ind w:firstLine="426"/>
        <w:jc w:val="both"/>
        <w:rPr>
          <w:rFonts w:asciiTheme="minorHAnsi" w:hAnsiTheme="minorHAnsi"/>
        </w:rPr>
      </w:pPr>
    </w:p>
    <w:p w:rsidR="00302527" w:rsidRDefault="00302527" w:rsidP="00DE0C41">
      <w:pPr>
        <w:ind w:firstLine="426"/>
        <w:jc w:val="both"/>
        <w:rPr>
          <w:rFonts w:asciiTheme="minorHAnsi" w:hAnsiTheme="minorHAnsi"/>
        </w:rPr>
      </w:pPr>
      <w:r>
        <w:rPr>
          <w:rFonts w:asciiTheme="minorHAnsi" w:hAnsiTheme="minorHAnsi"/>
        </w:rPr>
        <w:t>Plánované čerpání finančních prostředků Fprev zaměřuje VoZP ČR zejména na cílové skupiny pojištěnců, u nichž nároky na preventivní péči jsou s ohledem na rizikové faktory vyšší. Dále jsou zaměřeny na preventivní péči o matku a dítě a na očkování proti infekčním nemocem.</w:t>
      </w:r>
    </w:p>
    <w:p w:rsidR="00302527" w:rsidRDefault="00302527" w:rsidP="00DE0C41">
      <w:pPr>
        <w:ind w:firstLine="426"/>
        <w:jc w:val="both"/>
        <w:rPr>
          <w:rFonts w:asciiTheme="minorHAnsi" w:hAnsiTheme="minorHAnsi"/>
        </w:rPr>
      </w:pPr>
      <w:r>
        <w:rPr>
          <w:rFonts w:asciiTheme="minorHAnsi" w:hAnsiTheme="minorHAnsi"/>
        </w:rPr>
        <w:t xml:space="preserve">V roce 2014 bude pokračovat podpora včasné aktivní imunizace proti infekčním chorobám s nebezpečnými následky, dárcovství krve, péče o chrup u dětí, podpora </w:t>
      </w:r>
      <w:r w:rsidRPr="006A62E0">
        <w:rPr>
          <w:rFonts w:asciiTheme="minorHAnsi" w:hAnsiTheme="minorHAnsi"/>
        </w:rPr>
        <w:t>včasného vyhledávání nádorových onemocnění prsu a karcinomu tlustého střeva příspěvkem na mamografické vyšetření a vyšetření okultního krvácení ve stolici nad rámec frekvence preventivních prohlídek hrazených ze ZFZP</w:t>
      </w:r>
      <w:r>
        <w:rPr>
          <w:rFonts w:asciiTheme="minorHAnsi" w:hAnsiTheme="minorHAnsi"/>
        </w:rPr>
        <w:t>.</w:t>
      </w:r>
    </w:p>
    <w:p w:rsidR="00302527" w:rsidRDefault="00302527" w:rsidP="00DE0C41">
      <w:pPr>
        <w:ind w:firstLine="426"/>
        <w:jc w:val="both"/>
        <w:rPr>
          <w:rFonts w:asciiTheme="minorHAnsi" w:hAnsiTheme="minorHAnsi"/>
        </w:rPr>
      </w:pPr>
      <w:r w:rsidRPr="00B54593">
        <w:rPr>
          <w:rFonts w:asciiTheme="minorHAnsi" w:hAnsiTheme="minorHAnsi"/>
        </w:rPr>
        <w:t>Nově VoZP ČR předpokládá vytvoření zvláštního programu pro válečné veterány ve spolupráci s AČR.</w:t>
      </w:r>
      <w:r>
        <w:rPr>
          <w:rFonts w:asciiTheme="minorHAnsi" w:hAnsiTheme="minorHAnsi"/>
        </w:rPr>
        <w:t xml:space="preserve"> </w:t>
      </w:r>
      <w:r w:rsidRPr="006A62E0">
        <w:rPr>
          <w:rFonts w:asciiTheme="minorHAnsi" w:hAnsiTheme="minorHAnsi"/>
        </w:rPr>
        <w:t>Tento program by byl určen jen pro úzkou skupinu pojištěnců – válečných veteránů zraněných při výkonu činností v rámci zahranič</w:t>
      </w:r>
      <w:r w:rsidR="007C1F74">
        <w:rPr>
          <w:rFonts w:asciiTheme="minorHAnsi" w:hAnsiTheme="minorHAnsi"/>
        </w:rPr>
        <w:t>ních misí (služební úraz, nemoc</w:t>
      </w:r>
      <w:r w:rsidR="007C1F74">
        <w:rPr>
          <w:rFonts w:asciiTheme="minorHAnsi" w:hAnsiTheme="minorHAnsi"/>
        </w:rPr>
        <w:br/>
      </w:r>
      <w:r w:rsidRPr="006A62E0">
        <w:rPr>
          <w:rFonts w:asciiTheme="minorHAnsi" w:hAnsiTheme="minorHAnsi"/>
        </w:rPr>
        <w:t>z povolání).</w:t>
      </w:r>
    </w:p>
    <w:p w:rsidR="00302527" w:rsidRDefault="00302527" w:rsidP="00DE0C41">
      <w:pPr>
        <w:ind w:firstLine="426"/>
        <w:jc w:val="both"/>
        <w:rPr>
          <w:rFonts w:asciiTheme="minorHAnsi" w:hAnsiTheme="minorHAnsi"/>
        </w:rPr>
      </w:pPr>
      <w:r>
        <w:rPr>
          <w:rFonts w:asciiTheme="minorHAnsi" w:hAnsiTheme="minorHAnsi"/>
        </w:rPr>
        <w:t xml:space="preserve">V roce 2014 VoZP ČR bude dále </w:t>
      </w:r>
      <w:r w:rsidR="006963B3">
        <w:rPr>
          <w:rFonts w:asciiTheme="minorHAnsi" w:hAnsiTheme="minorHAnsi"/>
        </w:rPr>
        <w:t>financovat</w:t>
      </w:r>
      <w:r w:rsidRPr="006A4E3D">
        <w:t xml:space="preserve"> </w:t>
      </w:r>
      <w:r w:rsidRPr="006A4E3D">
        <w:rPr>
          <w:rFonts w:asciiTheme="minorHAnsi" w:hAnsiTheme="minorHAnsi"/>
        </w:rPr>
        <w:t>ozdravné pobyty dětí a mládeže organizované školami</w:t>
      </w:r>
      <w:r>
        <w:rPr>
          <w:rFonts w:asciiTheme="minorHAnsi" w:hAnsiTheme="minorHAnsi"/>
        </w:rPr>
        <w:t xml:space="preserve"> a dětské</w:t>
      </w:r>
      <w:r w:rsidRPr="006A4E3D">
        <w:rPr>
          <w:rFonts w:asciiTheme="minorHAnsi" w:hAnsiTheme="minorHAnsi"/>
        </w:rPr>
        <w:t xml:space="preserve"> ozdravné pobyty </w:t>
      </w:r>
      <w:r>
        <w:rPr>
          <w:rFonts w:asciiTheme="minorHAnsi" w:hAnsiTheme="minorHAnsi"/>
        </w:rPr>
        <w:t xml:space="preserve">u moře a v ČR pro děti od 6 do 17 </w:t>
      </w:r>
      <w:r w:rsidRPr="006A4E3D">
        <w:rPr>
          <w:rFonts w:asciiTheme="minorHAnsi" w:hAnsiTheme="minorHAnsi"/>
        </w:rPr>
        <w:t xml:space="preserve">s chronickými alergickými onemocněními, především dýchacích </w:t>
      </w:r>
      <w:r w:rsidR="007C1F74">
        <w:rPr>
          <w:rFonts w:asciiTheme="minorHAnsi" w:hAnsiTheme="minorHAnsi"/>
        </w:rPr>
        <w:t>cest, lehčími poruchami imunity a</w:t>
      </w:r>
      <w:r w:rsidR="007C1F74">
        <w:rPr>
          <w:rFonts w:asciiTheme="minorHAnsi" w:hAnsiTheme="minorHAnsi"/>
        </w:rPr>
        <w:br/>
      </w:r>
      <w:r w:rsidRPr="006A4E3D">
        <w:rPr>
          <w:rFonts w:asciiTheme="minorHAnsi" w:hAnsiTheme="minorHAnsi"/>
        </w:rPr>
        <w:t>s chronickými nezánětlivými kožními onemocněními.</w:t>
      </w:r>
    </w:p>
    <w:p w:rsidR="00302527" w:rsidRDefault="00302527" w:rsidP="009C223E">
      <w:pPr>
        <w:spacing w:after="120"/>
        <w:ind w:firstLine="426"/>
        <w:jc w:val="both"/>
        <w:rPr>
          <w:rFonts w:asciiTheme="minorHAnsi" w:hAnsiTheme="minorHAnsi"/>
        </w:rPr>
      </w:pPr>
      <w:r>
        <w:rPr>
          <w:rFonts w:asciiTheme="minorHAnsi" w:hAnsiTheme="minorHAnsi"/>
        </w:rPr>
        <w:t>Mezi ostatní činnosti jsou zařazeny balíčky prevence pro vojáky a o</w:t>
      </w:r>
      <w:r w:rsidRPr="006A4E3D">
        <w:rPr>
          <w:rFonts w:asciiTheme="minorHAnsi" w:hAnsiTheme="minorHAnsi"/>
        </w:rPr>
        <w:t>čkovací látky pro příslušníky AČR zasahující při povodních 2013.</w:t>
      </w:r>
    </w:p>
    <w:p w:rsidR="00B22F1B" w:rsidRDefault="00B22F1B" w:rsidP="009C223E">
      <w:pPr>
        <w:pStyle w:val="Zkladntext"/>
        <w:ind w:firstLine="360"/>
        <w:jc w:val="both"/>
        <w:rPr>
          <w:rFonts w:asciiTheme="minorHAnsi" w:hAnsiTheme="minorHAnsi" w:cs="Arial"/>
          <w:sz w:val="24"/>
        </w:rPr>
      </w:pPr>
      <w:r w:rsidRPr="00EE71F1">
        <w:rPr>
          <w:rFonts w:asciiTheme="minorHAnsi" w:hAnsiTheme="minorHAnsi" w:cs="Arial"/>
          <w:sz w:val="24"/>
        </w:rPr>
        <w:t xml:space="preserve">Jak je uvedeno v bodě </w:t>
      </w:r>
      <w:r w:rsidR="00CA775E" w:rsidRPr="00EE71F1">
        <w:rPr>
          <w:rFonts w:asciiTheme="minorHAnsi" w:hAnsiTheme="minorHAnsi" w:cs="Arial"/>
          <w:sz w:val="24"/>
        </w:rPr>
        <w:t>7</w:t>
      </w:r>
      <w:r w:rsidRPr="00EE71F1">
        <w:rPr>
          <w:rFonts w:asciiTheme="minorHAnsi" w:hAnsiTheme="minorHAnsi" w:cs="Arial"/>
          <w:sz w:val="24"/>
        </w:rPr>
        <w:t xml:space="preserve"> hodnocení ekonomického má VoZP ČR dva </w:t>
      </w:r>
      <w:r w:rsidRPr="00EE71F1">
        <w:rPr>
          <w:rFonts w:asciiTheme="minorHAnsi" w:hAnsiTheme="minorHAnsi" w:cs="Arial"/>
          <w:b/>
          <w:bCs/>
          <w:sz w:val="24"/>
        </w:rPr>
        <w:t>specifické fondy</w:t>
      </w:r>
      <w:r w:rsidR="00CA775E" w:rsidRPr="00EE71F1">
        <w:rPr>
          <w:rFonts w:asciiTheme="minorHAnsi" w:hAnsiTheme="minorHAnsi" w:cs="Arial"/>
          <w:b/>
          <w:bCs/>
          <w:sz w:val="24"/>
        </w:rPr>
        <w:t xml:space="preserve"> (f</w:t>
      </w:r>
      <w:r w:rsidR="00CA775E" w:rsidRPr="00EE71F1">
        <w:rPr>
          <w:rFonts w:asciiTheme="minorHAnsi" w:hAnsiTheme="minorHAnsi"/>
          <w:b/>
          <w:bCs/>
          <w:sz w:val="24"/>
        </w:rPr>
        <w:t>ond zprostředkování úhrady zdravotní péče</w:t>
      </w:r>
      <w:r w:rsidR="00046D85" w:rsidRPr="00EE71F1">
        <w:rPr>
          <w:rFonts w:asciiTheme="minorHAnsi" w:hAnsiTheme="minorHAnsi"/>
          <w:b/>
          <w:bCs/>
          <w:sz w:val="24"/>
        </w:rPr>
        <w:t xml:space="preserve"> a</w:t>
      </w:r>
      <w:r w:rsidR="00CA775E" w:rsidRPr="00EE71F1">
        <w:rPr>
          <w:rFonts w:asciiTheme="minorHAnsi" w:hAnsiTheme="minorHAnsi"/>
          <w:b/>
          <w:bCs/>
          <w:sz w:val="24"/>
        </w:rPr>
        <w:t xml:space="preserve"> fond pro úhradu preventivní péče)</w:t>
      </w:r>
      <w:r w:rsidRPr="00EE71F1">
        <w:rPr>
          <w:rFonts w:asciiTheme="minorHAnsi" w:hAnsiTheme="minorHAnsi" w:cs="Arial"/>
          <w:bCs/>
          <w:sz w:val="24"/>
        </w:rPr>
        <w:t xml:space="preserve">. </w:t>
      </w:r>
      <w:r w:rsidRPr="00EE71F1">
        <w:rPr>
          <w:rFonts w:asciiTheme="minorHAnsi" w:hAnsiTheme="minorHAnsi" w:cs="Arial"/>
          <w:sz w:val="24"/>
        </w:rPr>
        <w:t xml:space="preserve">Náklady na úhradu zdravotní péče a preventivní zdravotní péče </w:t>
      </w:r>
      <w:r w:rsidRPr="00EE71F1">
        <w:rPr>
          <w:rFonts w:asciiTheme="minorHAnsi" w:hAnsiTheme="minorHAnsi" w:cs="Arial"/>
          <w:spacing w:val="-4"/>
          <w:sz w:val="24"/>
        </w:rPr>
        <w:t>z těchto specifických fondů by měly dosáhnout plánované výše 1</w:t>
      </w:r>
      <w:r w:rsidR="00046D85" w:rsidRPr="00EE71F1">
        <w:rPr>
          <w:rFonts w:asciiTheme="minorHAnsi" w:hAnsiTheme="minorHAnsi" w:cs="Arial"/>
          <w:spacing w:val="-4"/>
          <w:sz w:val="24"/>
        </w:rPr>
        <w:t>2</w:t>
      </w:r>
      <w:r w:rsidRPr="00EE71F1">
        <w:rPr>
          <w:rFonts w:asciiTheme="minorHAnsi" w:hAnsiTheme="minorHAnsi" w:cs="Arial"/>
          <w:spacing w:val="-4"/>
          <w:sz w:val="24"/>
        </w:rPr>
        <w:t xml:space="preserve"> </w:t>
      </w:r>
      <w:r w:rsidR="00046D85" w:rsidRPr="00EE71F1">
        <w:rPr>
          <w:rFonts w:asciiTheme="minorHAnsi" w:hAnsiTheme="minorHAnsi" w:cs="Arial"/>
          <w:spacing w:val="-4"/>
          <w:sz w:val="24"/>
        </w:rPr>
        <w:t>20</w:t>
      </w:r>
      <w:r w:rsidRPr="00EE71F1">
        <w:rPr>
          <w:rFonts w:asciiTheme="minorHAnsi" w:hAnsiTheme="minorHAnsi" w:cs="Arial"/>
          <w:spacing w:val="-4"/>
          <w:sz w:val="24"/>
        </w:rPr>
        <w:t>0 tis.</w:t>
      </w:r>
      <w:r w:rsidRPr="00EE71F1">
        <w:rPr>
          <w:rFonts w:asciiTheme="minorHAnsi" w:hAnsiTheme="minorHAnsi" w:cs="Arial"/>
          <w:sz w:val="24"/>
        </w:rPr>
        <w:t xml:space="preserve"> Kč, což představuje meziročně </w:t>
      </w:r>
      <w:r w:rsidR="00046D85" w:rsidRPr="00EE71F1">
        <w:rPr>
          <w:rFonts w:asciiTheme="minorHAnsi" w:hAnsiTheme="minorHAnsi" w:cs="Arial"/>
          <w:sz w:val="24"/>
        </w:rPr>
        <w:t>nárůst</w:t>
      </w:r>
      <w:r w:rsidRPr="00EE71F1">
        <w:rPr>
          <w:rFonts w:asciiTheme="minorHAnsi" w:hAnsiTheme="minorHAnsi" w:cs="Arial"/>
          <w:sz w:val="24"/>
        </w:rPr>
        <w:t xml:space="preserve"> o </w:t>
      </w:r>
      <w:r w:rsidR="00046D85" w:rsidRPr="00EE71F1">
        <w:rPr>
          <w:rFonts w:asciiTheme="minorHAnsi" w:hAnsiTheme="minorHAnsi" w:cs="Arial"/>
          <w:sz w:val="24"/>
        </w:rPr>
        <w:t>3</w:t>
      </w:r>
      <w:r w:rsidRPr="00EE71F1">
        <w:rPr>
          <w:rFonts w:asciiTheme="minorHAnsi" w:hAnsiTheme="minorHAnsi" w:cs="Arial"/>
          <w:sz w:val="24"/>
        </w:rPr>
        <w:t>,</w:t>
      </w:r>
      <w:r w:rsidR="00046D85" w:rsidRPr="00EE71F1">
        <w:rPr>
          <w:rFonts w:asciiTheme="minorHAnsi" w:hAnsiTheme="minorHAnsi" w:cs="Arial"/>
          <w:sz w:val="24"/>
        </w:rPr>
        <w:t>2</w:t>
      </w:r>
      <w:r w:rsidRPr="00EE71F1">
        <w:rPr>
          <w:rFonts w:asciiTheme="minorHAnsi" w:hAnsiTheme="minorHAnsi" w:cs="Arial"/>
          <w:sz w:val="24"/>
        </w:rPr>
        <w:t xml:space="preserve"> %. </w:t>
      </w:r>
    </w:p>
    <w:p w:rsidR="009C223E" w:rsidRPr="00CA775E" w:rsidRDefault="009C223E" w:rsidP="009C223E">
      <w:pPr>
        <w:pStyle w:val="Zkladntext"/>
        <w:ind w:firstLine="360"/>
        <w:jc w:val="both"/>
        <w:rPr>
          <w:rFonts w:asciiTheme="minorHAnsi" w:hAnsiTheme="minorHAnsi" w:cs="Arial"/>
          <w:sz w:val="24"/>
        </w:rPr>
      </w:pPr>
    </w:p>
    <w:p w:rsidR="00302527" w:rsidRPr="006A4E3D" w:rsidRDefault="00302527" w:rsidP="00DE0C41">
      <w:pPr>
        <w:ind w:firstLine="426"/>
        <w:jc w:val="both"/>
        <w:rPr>
          <w:rFonts w:asciiTheme="minorHAnsi" w:hAnsiTheme="minorHAnsi"/>
        </w:rPr>
      </w:pPr>
      <w:r w:rsidRPr="006A4E3D">
        <w:rPr>
          <w:rFonts w:asciiTheme="minorHAnsi" w:hAnsiTheme="minorHAnsi"/>
        </w:rPr>
        <w:t xml:space="preserve">Ministerstvo zdravotnictví vytváří vlastní modelaci </w:t>
      </w:r>
      <w:r w:rsidRPr="00D02DDA">
        <w:rPr>
          <w:rFonts w:asciiTheme="minorHAnsi" w:hAnsiTheme="minorHAnsi"/>
          <w:b/>
        </w:rPr>
        <w:t>příjmů z pojistného</w:t>
      </w:r>
      <w:r w:rsidRPr="006A4E3D">
        <w:rPr>
          <w:rFonts w:asciiTheme="minorHAnsi" w:hAnsiTheme="minorHAnsi"/>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302527" w:rsidRPr="006A4E3D" w:rsidRDefault="00302527" w:rsidP="00DE0C41">
      <w:pPr>
        <w:ind w:firstLine="426"/>
        <w:jc w:val="both"/>
        <w:rPr>
          <w:rFonts w:asciiTheme="minorHAnsi" w:hAnsiTheme="minorHAnsi"/>
        </w:rPr>
      </w:pPr>
      <w:r>
        <w:rPr>
          <w:rFonts w:asciiTheme="minorHAnsi" w:hAnsiTheme="minorHAnsi"/>
        </w:rPr>
        <w:lastRenderedPageBreak/>
        <w:t>VoZP ČR</w:t>
      </w:r>
      <w:r w:rsidRPr="006A4E3D">
        <w:rPr>
          <w:rFonts w:asciiTheme="minorHAnsi" w:hAnsiTheme="minorHAnsi"/>
        </w:rPr>
        <w:t xml:space="preserve"> plánuje na straně příjmů pro rok 2014 objem prostředků z pojistného po přerozdělení ve výši </w:t>
      </w:r>
      <w:r>
        <w:rPr>
          <w:rFonts w:asciiTheme="minorHAnsi" w:hAnsiTheme="minorHAnsi"/>
        </w:rPr>
        <w:t xml:space="preserve">14,19 </w:t>
      </w:r>
      <w:r w:rsidRPr="006A4E3D">
        <w:rPr>
          <w:rFonts w:asciiTheme="minorHAnsi" w:hAnsiTheme="minorHAnsi"/>
        </w:rPr>
        <w:t>mld. Kč. Lze konstatovat, že tento odhad je ve shodě s výše popsanou modelací Ministers</w:t>
      </w:r>
      <w:r>
        <w:rPr>
          <w:rFonts w:asciiTheme="minorHAnsi" w:hAnsiTheme="minorHAnsi"/>
        </w:rPr>
        <w:t>tva zdravotnictví, které pro VoZP</w:t>
      </w:r>
      <w:r w:rsidRPr="006A4E3D">
        <w:rPr>
          <w:rFonts w:asciiTheme="minorHAnsi" w:hAnsiTheme="minorHAnsi"/>
        </w:rPr>
        <w:t xml:space="preserve"> </w:t>
      </w:r>
      <w:r>
        <w:rPr>
          <w:rFonts w:asciiTheme="minorHAnsi" w:hAnsiTheme="minorHAnsi"/>
        </w:rPr>
        <w:t xml:space="preserve">ČR </w:t>
      </w:r>
      <w:r w:rsidRPr="006A4E3D">
        <w:rPr>
          <w:rFonts w:asciiTheme="minorHAnsi" w:hAnsiTheme="minorHAnsi"/>
        </w:rPr>
        <w:t xml:space="preserve">předpokládá v roce 2014 příjmy ve </w:t>
      </w:r>
      <w:r w:rsidRPr="007D11D5">
        <w:rPr>
          <w:rFonts w:asciiTheme="minorHAnsi" w:hAnsiTheme="minorHAnsi"/>
        </w:rPr>
        <w:t>výši 14,18 mld</w:t>
      </w:r>
      <w:r>
        <w:rPr>
          <w:rFonts w:asciiTheme="minorHAnsi" w:hAnsiTheme="minorHAnsi"/>
        </w:rPr>
        <w:t>. Kč. Odhad VoZP ČR</w:t>
      </w:r>
      <w:r w:rsidRPr="006A4E3D">
        <w:rPr>
          <w:rFonts w:asciiTheme="minorHAnsi" w:hAnsiTheme="minorHAnsi"/>
        </w:rPr>
        <w:t xml:space="preserve"> </w:t>
      </w:r>
      <w:r w:rsidRPr="007D11D5">
        <w:rPr>
          <w:rFonts w:asciiTheme="minorHAnsi" w:hAnsiTheme="minorHAnsi"/>
        </w:rPr>
        <w:t xml:space="preserve">tvoří 100,07 </w:t>
      </w:r>
      <w:r w:rsidRPr="006A4E3D">
        <w:rPr>
          <w:rFonts w:asciiTheme="minorHAnsi" w:hAnsiTheme="minorHAnsi"/>
        </w:rPr>
        <w:t>% odhadu ministerstva, a splňuje tak stanovenou toleranci 10 %.</w:t>
      </w:r>
    </w:p>
    <w:p w:rsidR="00302527" w:rsidRPr="006A4E3D" w:rsidRDefault="00302527" w:rsidP="00DE0C41">
      <w:pPr>
        <w:ind w:firstLine="426"/>
        <w:jc w:val="both"/>
        <w:rPr>
          <w:rFonts w:asciiTheme="minorHAnsi" w:hAnsiTheme="minorHAnsi"/>
        </w:rPr>
      </w:pPr>
      <w:r w:rsidRPr="006A4E3D">
        <w:rPr>
          <w:rFonts w:asciiTheme="minorHAnsi" w:hAnsiTheme="minorHAnsi"/>
        </w:rPr>
        <w:t xml:space="preserve">V oblasti zdravotní politiky Ministerstvo zdravotnictví hodnotí především </w:t>
      </w:r>
      <w:r w:rsidRPr="00D02DDA">
        <w:rPr>
          <w:rFonts w:asciiTheme="minorHAnsi" w:hAnsiTheme="minorHAnsi"/>
          <w:b/>
        </w:rPr>
        <w:t xml:space="preserve">soulad </w:t>
      </w:r>
      <w:r w:rsidR="007C1F74">
        <w:rPr>
          <w:rFonts w:asciiTheme="minorHAnsi" w:hAnsiTheme="minorHAnsi"/>
          <w:b/>
        </w:rPr>
        <w:br/>
      </w:r>
      <w:r w:rsidRPr="00D02DDA">
        <w:rPr>
          <w:rFonts w:asciiTheme="minorHAnsi" w:hAnsiTheme="minorHAnsi"/>
          <w:b/>
        </w:rPr>
        <w:t>s modelacemi dopadů úhradové vyhlášky na rok 2014</w:t>
      </w:r>
      <w:r w:rsidRPr="006A4E3D">
        <w:rPr>
          <w:rFonts w:asciiTheme="minorHAnsi" w:hAnsiTheme="minorHAnsi"/>
        </w:rPr>
        <w:t>. Úhradová vyhláška je na smluvní vztahy aplikována pouze v případě, kdy nedojde k dohodě na úhradovém dodatku</w:t>
      </w:r>
      <w:r w:rsidR="006963B3">
        <w:rPr>
          <w:rFonts w:asciiTheme="minorHAnsi" w:hAnsiTheme="minorHAnsi"/>
        </w:rPr>
        <w:t xml:space="preserve">. </w:t>
      </w:r>
      <w:r w:rsidR="00353C12">
        <w:rPr>
          <w:rFonts w:asciiTheme="minorHAnsi" w:hAnsiTheme="minorHAnsi"/>
        </w:rPr>
        <w:t>P</w:t>
      </w:r>
      <w:r w:rsidRPr="006A4E3D">
        <w:rPr>
          <w:rFonts w:asciiTheme="minorHAnsi" w:hAnsiTheme="minorHAnsi"/>
        </w:rPr>
        <w:t>ro hypotetický případ, kdy k dohodám nedojde, a kdy by celý systém fungoval právě podle úhradové vyhlášky, je nutné dohlédnout na konstrukci zdravotně pojistného plánu v takové podobě, aby úhrady podle úhradové vyhlášky umožňoval.</w:t>
      </w:r>
    </w:p>
    <w:p w:rsidR="00302527" w:rsidRPr="006A4E3D" w:rsidRDefault="00302527" w:rsidP="00DE0C41">
      <w:pPr>
        <w:ind w:firstLine="426"/>
        <w:jc w:val="both"/>
        <w:rPr>
          <w:rFonts w:asciiTheme="minorHAnsi" w:hAnsiTheme="minorHAnsi"/>
        </w:rPr>
      </w:pPr>
      <w:r w:rsidRPr="006A4E3D">
        <w:rPr>
          <w:rFonts w:asciiTheme="minorHAnsi" w:hAnsiTheme="minorHAnsi"/>
        </w:rPr>
        <w:t>Ministerstvo hodnotí jednotlivé plánované položky dle segmentů uvedených v příloze ZPP v tabulce č. 12 tím způsobem, že umožňuje zdravotní pojišťovně odchylku směrem nahoru, tedy plánování vyšších nákladů na daný segment, než jaké předpokládá modelace na základě úhradové vyhlášky. V opačném směru je tolerována odchylka do výše 10 % z důvodu skutečnosti, že výsledky výpočtů zdravotní pojišťovny a ministerstva jsou modelací, nikoli přesným odhadem.</w:t>
      </w:r>
    </w:p>
    <w:p w:rsidR="00302527" w:rsidRPr="008A1AAD" w:rsidRDefault="00302527" w:rsidP="00DE0C41">
      <w:pPr>
        <w:ind w:firstLine="426"/>
        <w:jc w:val="both"/>
        <w:rPr>
          <w:rFonts w:asciiTheme="minorHAnsi" w:hAnsiTheme="minorHAnsi"/>
        </w:rPr>
      </w:pPr>
      <w:r>
        <w:rPr>
          <w:rFonts w:asciiTheme="minorHAnsi" w:hAnsiTheme="minorHAnsi"/>
        </w:rPr>
        <w:t>V případě VoZP ČR</w:t>
      </w:r>
      <w:r w:rsidRPr="006A4E3D">
        <w:rPr>
          <w:rFonts w:asciiTheme="minorHAnsi" w:hAnsiTheme="minorHAnsi"/>
        </w:rPr>
        <w:t xml:space="preserve"> lze konstatovat, že struktura nákladů dle segmentů v příloze ZPP </w:t>
      </w:r>
      <w:r w:rsidR="007C1F74">
        <w:rPr>
          <w:rFonts w:asciiTheme="minorHAnsi" w:hAnsiTheme="minorHAnsi"/>
        </w:rPr>
        <w:br/>
      </w:r>
      <w:r w:rsidRPr="006A4E3D">
        <w:rPr>
          <w:rFonts w:asciiTheme="minorHAnsi" w:hAnsiTheme="minorHAnsi"/>
        </w:rPr>
        <w:t>v tabulce č. 12 je ve všech položkách v souladu s modelací Ministerstva zdravotnictví.</w:t>
      </w:r>
    </w:p>
    <w:p w:rsidR="00302527" w:rsidRPr="00D02DDA" w:rsidRDefault="00302527" w:rsidP="00302527">
      <w:pPr>
        <w:pStyle w:val="Odstavecseseznamem"/>
        <w:spacing w:before="240"/>
        <w:ind w:left="330" w:hanging="330"/>
        <w:rPr>
          <w:rFonts w:asciiTheme="minorHAnsi" w:hAnsiTheme="minorHAnsi" w:cs="Arial"/>
          <w:b/>
          <w:sz w:val="24"/>
          <w:szCs w:val="24"/>
          <w:u w:val="single"/>
        </w:rPr>
      </w:pPr>
      <w:r w:rsidRPr="00D02DDA">
        <w:rPr>
          <w:rFonts w:asciiTheme="minorHAnsi" w:hAnsiTheme="minorHAnsi" w:cs="Arial"/>
          <w:b/>
          <w:sz w:val="24"/>
          <w:szCs w:val="24"/>
          <w:u w:val="single"/>
        </w:rPr>
        <w:t>Závěr</w:t>
      </w:r>
    </w:p>
    <w:p w:rsidR="00302527" w:rsidRDefault="00302527" w:rsidP="00DE0C41">
      <w:pPr>
        <w:ind w:firstLine="426"/>
        <w:jc w:val="both"/>
        <w:rPr>
          <w:rFonts w:asciiTheme="minorHAnsi" w:hAnsiTheme="minorHAnsi" w:cs="Arial"/>
          <w:b/>
        </w:rPr>
      </w:pPr>
      <w:r w:rsidRPr="005F1629">
        <w:rPr>
          <w:rFonts w:asciiTheme="minorHAnsi" w:hAnsiTheme="minorHAnsi" w:cs="Arial"/>
          <w:b/>
        </w:rPr>
        <w:t xml:space="preserve">Z obdržených podkladů lze soudit, že návrh </w:t>
      </w:r>
      <w:r>
        <w:rPr>
          <w:rFonts w:asciiTheme="minorHAnsi" w:hAnsiTheme="minorHAnsi" w:cs="Arial"/>
          <w:b/>
        </w:rPr>
        <w:t xml:space="preserve">ZPP 2014 Vojenské </w:t>
      </w:r>
      <w:r w:rsidRPr="005F1629">
        <w:rPr>
          <w:rFonts w:asciiTheme="minorHAnsi" w:hAnsiTheme="minorHAnsi" w:cs="Arial"/>
          <w:b/>
        </w:rPr>
        <w:t xml:space="preserve">zdravotní pojišťovny </w:t>
      </w:r>
      <w:r>
        <w:rPr>
          <w:rFonts w:asciiTheme="minorHAnsi" w:hAnsiTheme="minorHAnsi" w:cs="Arial"/>
          <w:b/>
        </w:rPr>
        <w:t xml:space="preserve">České republiky </w:t>
      </w:r>
      <w:r w:rsidRPr="005F1629">
        <w:rPr>
          <w:rFonts w:asciiTheme="minorHAnsi" w:hAnsiTheme="minorHAnsi" w:cs="Arial"/>
          <w:b/>
        </w:rPr>
        <w:t>je v souladu s právními předpisy a veřejným zájmem. Ministerstvo zdravotnictví a Minister</w:t>
      </w:r>
      <w:r w:rsidR="007C1F74">
        <w:rPr>
          <w:rFonts w:asciiTheme="minorHAnsi" w:hAnsiTheme="minorHAnsi" w:cs="Arial"/>
          <w:b/>
        </w:rPr>
        <w:t>stvo financí doporučují vládě České republiky</w:t>
      </w:r>
      <w:r w:rsidRPr="005F1629">
        <w:rPr>
          <w:rFonts w:asciiTheme="minorHAnsi" w:hAnsiTheme="minorHAnsi" w:cs="Arial"/>
          <w:b/>
        </w:rPr>
        <w:t xml:space="preserve"> předložit tento návrh Poslanecké sněmovně Parlamentu České republiky k projednání s návrhem na jeho schválení.</w:t>
      </w:r>
    </w:p>
    <w:p w:rsidR="00302527" w:rsidRDefault="00302527" w:rsidP="00302527">
      <w:pPr>
        <w:rPr>
          <w:rFonts w:asciiTheme="minorHAnsi" w:hAnsiTheme="minorHAnsi"/>
        </w:rPr>
      </w:pPr>
      <w:r>
        <w:rPr>
          <w:rFonts w:asciiTheme="minorHAnsi" w:hAnsiTheme="minorHAnsi"/>
        </w:rPr>
        <w:br w:type="page"/>
      </w:r>
    </w:p>
    <w:p w:rsidR="00302527" w:rsidRPr="005F1629" w:rsidRDefault="00302527" w:rsidP="00302527">
      <w:pPr>
        <w:pStyle w:val="Zkladntext3"/>
        <w:rPr>
          <w:rFonts w:asciiTheme="minorHAnsi" w:hAnsiTheme="minorHAnsi" w:cs="Arial"/>
          <w:sz w:val="28"/>
          <w:szCs w:val="28"/>
          <w:u w:val="single"/>
        </w:rPr>
      </w:pPr>
      <w:r>
        <w:rPr>
          <w:rFonts w:asciiTheme="minorHAnsi" w:hAnsiTheme="minorHAnsi" w:cs="Arial"/>
          <w:sz w:val="28"/>
          <w:szCs w:val="28"/>
          <w:u w:val="single"/>
        </w:rPr>
        <w:lastRenderedPageBreak/>
        <w:t>205</w:t>
      </w:r>
      <w:r w:rsidRPr="005F1629">
        <w:rPr>
          <w:rFonts w:asciiTheme="minorHAnsi" w:hAnsiTheme="minorHAnsi" w:cs="Arial"/>
          <w:sz w:val="28"/>
          <w:szCs w:val="28"/>
          <w:u w:val="single"/>
        </w:rPr>
        <w:t xml:space="preserve"> – </w:t>
      </w:r>
      <w:r w:rsidRPr="006F58C9">
        <w:rPr>
          <w:rFonts w:asciiTheme="minorHAnsi" w:hAnsiTheme="minorHAnsi" w:cs="Arial"/>
          <w:sz w:val="28"/>
          <w:szCs w:val="28"/>
          <w:u w:val="single"/>
        </w:rPr>
        <w:t xml:space="preserve">Česká průmyslová zdravotní pojišťovna </w:t>
      </w:r>
      <w:r w:rsidRPr="005F1629">
        <w:rPr>
          <w:rFonts w:asciiTheme="minorHAnsi" w:hAnsiTheme="minorHAnsi" w:cs="Arial"/>
          <w:sz w:val="28"/>
          <w:szCs w:val="28"/>
          <w:u w:val="single"/>
        </w:rPr>
        <w:t>(</w:t>
      </w:r>
      <w:r>
        <w:rPr>
          <w:rFonts w:asciiTheme="minorHAnsi" w:hAnsiTheme="minorHAnsi" w:cs="Arial"/>
          <w:sz w:val="28"/>
          <w:szCs w:val="28"/>
          <w:u w:val="single"/>
        </w:rPr>
        <w:t>ČPZP</w:t>
      </w:r>
      <w:r w:rsidRPr="005F1629">
        <w:rPr>
          <w:rFonts w:asciiTheme="minorHAnsi" w:hAnsiTheme="minorHAnsi" w:cs="Arial"/>
          <w:sz w:val="28"/>
          <w:szCs w:val="28"/>
          <w:u w:val="single"/>
        </w:rPr>
        <w:t xml:space="preserve">) </w:t>
      </w:r>
    </w:p>
    <w:p w:rsidR="00302527" w:rsidRPr="005F1629" w:rsidRDefault="00302527" w:rsidP="00302527">
      <w:pPr>
        <w:pStyle w:val="Zkladntext3"/>
        <w:rPr>
          <w:rFonts w:asciiTheme="minorHAnsi" w:hAnsiTheme="minorHAnsi" w:cs="Arial"/>
        </w:rPr>
      </w:pPr>
    </w:p>
    <w:p w:rsidR="00302527" w:rsidRPr="005F1629" w:rsidRDefault="00302527" w:rsidP="00302527">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302527" w:rsidRPr="007C5D12" w:rsidRDefault="00302527" w:rsidP="007C5D12">
      <w:pPr>
        <w:spacing w:after="240"/>
        <w:ind w:left="357" w:hanging="357"/>
        <w:jc w:val="both"/>
        <w:rPr>
          <w:rFonts w:asciiTheme="minorHAnsi" w:hAnsiTheme="minorHAnsi" w:cs="Arial"/>
          <w:i/>
          <w:sz w:val="20"/>
          <w:szCs w:val="20"/>
        </w:rPr>
      </w:pPr>
      <w:r w:rsidRPr="005F1629">
        <w:rPr>
          <w:rFonts w:asciiTheme="minorHAnsi" w:hAnsiTheme="minorHAnsi" w:cs="Arial"/>
          <w:i/>
          <w:sz w:val="20"/>
          <w:szCs w:val="20"/>
        </w:rPr>
        <w:t xml:space="preserve">(použité číselné údaje jsou obsaženy v příloze, v tabulkách č. 1, 1a),1b,) 1c), případně v ZPP 2014) </w:t>
      </w:r>
    </w:p>
    <w:p w:rsidR="00302527" w:rsidRPr="007814E4" w:rsidRDefault="00302527" w:rsidP="00DE0C41">
      <w:pPr>
        <w:ind w:firstLine="426"/>
        <w:jc w:val="both"/>
        <w:rPr>
          <w:rFonts w:asciiTheme="minorHAnsi" w:hAnsiTheme="minorHAnsi" w:cs="Arial"/>
        </w:rPr>
      </w:pPr>
      <w:r w:rsidRPr="007814E4">
        <w:rPr>
          <w:rFonts w:asciiTheme="minorHAnsi" w:hAnsiTheme="minorHAnsi" w:cs="Arial"/>
        </w:rPr>
        <w:t xml:space="preserve">Ministerstvo zdravotnictví provedlo analýzu souladu původně předloženého návrhu ZPP  na rok 2014 s modelací dopadů úhradové vyhlášky. Došlo k závěru, že návrh neumožňuje krytí vyhláškou požadovaných nákladů na akutní lůžkovou péči. Z časových důvodů, jelikož nebyl ZPP 2014 schválen do 31. 12. 2013, bylo přistoupeno k vydání provizoria, které zvýšilo ČPZP výdaje v segmentu akutní lůžkové péče o 1,9 miliardy, jelikož o tuto částku se lišil návrh ČPZP a ministerská modelace. Následovala intenzivní jednání mezi zástupci MZ ČR a ČPZP. Pojišťovna poté předložila alternativní modelaci, která zpřesňuje původně předložený návrh ZPP 2014 a zvyšuje výdaje do segmentu akutní lůžkové péče o 1,1 mld. Zde MZ ČR konstatovalo, že nový návrh vychází z reálných údajů o úhradách ČPZP poskytovatelům zdravotních služeb v referenčním období (rok 2012) a dává předpoklad reálného naplnění očekávané skutečnosti roku 2014. Respektováním parametrů úhradové vyhlášky dojde v průběhu roku 2014 ke snížení rezerv finančních prostředků ČPZP vytvořených v minulých letech. </w:t>
      </w:r>
    </w:p>
    <w:p w:rsidR="00302527" w:rsidRPr="007814E4" w:rsidRDefault="00302527" w:rsidP="00DE0C41">
      <w:pPr>
        <w:spacing w:before="100" w:beforeAutospacing="1" w:after="100" w:afterAutospacing="1"/>
        <w:ind w:firstLine="426"/>
        <w:jc w:val="both"/>
        <w:rPr>
          <w:rFonts w:asciiTheme="minorHAnsi" w:hAnsiTheme="minorHAnsi" w:cs="Arial"/>
        </w:rPr>
      </w:pPr>
      <w:r w:rsidRPr="007814E4">
        <w:rPr>
          <w:rFonts w:asciiTheme="minorHAnsi" w:hAnsiTheme="minorHAnsi" w:cs="Arial"/>
        </w:rPr>
        <w:t xml:space="preserve">ČPZP vznikla pod názvem </w:t>
      </w:r>
      <w:r w:rsidRPr="007814E4">
        <w:rPr>
          <w:rFonts w:asciiTheme="minorHAnsi" w:hAnsiTheme="minorHAnsi" w:cs="Arial"/>
          <w:b/>
        </w:rPr>
        <w:t>Hutnická zaměstnanecká pojišťovna</w:t>
      </w:r>
      <w:r w:rsidRPr="007814E4">
        <w:rPr>
          <w:rFonts w:asciiTheme="minorHAnsi" w:hAnsiTheme="minorHAnsi" w:cs="Arial"/>
        </w:rPr>
        <w:t xml:space="preserve"> (dále jen HZP) dne 1. 12. 1992. Na základě rozhodnutí </w:t>
      </w:r>
      <w:r w:rsidR="007C1F74">
        <w:rPr>
          <w:rFonts w:asciiTheme="minorHAnsi" w:hAnsiTheme="minorHAnsi" w:cs="Arial"/>
        </w:rPr>
        <w:t>Ministerstva zdravotnictví</w:t>
      </w:r>
      <w:r w:rsidRPr="007814E4">
        <w:rPr>
          <w:rFonts w:asciiTheme="minorHAnsi" w:hAnsiTheme="minorHAnsi" w:cs="Arial"/>
        </w:rPr>
        <w:t xml:space="preserve"> bylo v letech 1996 - 2009 realizováno sloučení HZP se </w:t>
      </w:r>
      <w:r w:rsidRPr="007814E4">
        <w:rPr>
          <w:rFonts w:asciiTheme="minorHAnsi" w:hAnsiTheme="minorHAnsi" w:cs="Arial"/>
          <w:b/>
        </w:rPr>
        <w:t>Zaměstnaneckou zdravotní pojišťovnou ATLAS</w:t>
      </w:r>
      <w:r w:rsidRPr="007814E4">
        <w:rPr>
          <w:rFonts w:asciiTheme="minorHAnsi" w:hAnsiTheme="minorHAnsi" w:cs="Arial"/>
        </w:rPr>
        <w:t xml:space="preserve">, </w:t>
      </w:r>
      <w:r w:rsidRPr="007814E4">
        <w:rPr>
          <w:rFonts w:asciiTheme="minorHAnsi" w:hAnsiTheme="minorHAnsi" w:cs="Arial"/>
          <w:b/>
        </w:rPr>
        <w:t>Zdravotní pojišťovnou AGEL</w:t>
      </w:r>
      <w:r w:rsidRPr="007814E4">
        <w:rPr>
          <w:rFonts w:asciiTheme="minorHAnsi" w:hAnsiTheme="minorHAnsi" w:cs="Arial"/>
        </w:rPr>
        <w:t xml:space="preserve"> a s </w:t>
      </w:r>
      <w:r w:rsidRPr="007814E4">
        <w:rPr>
          <w:rFonts w:asciiTheme="minorHAnsi" w:hAnsiTheme="minorHAnsi" w:cs="Arial"/>
          <w:b/>
        </w:rPr>
        <w:t>Českou národní zdravotní pojišťovnou</w:t>
      </w:r>
      <w:r w:rsidRPr="007814E4">
        <w:rPr>
          <w:rFonts w:asciiTheme="minorHAnsi" w:hAnsiTheme="minorHAnsi" w:cs="Arial"/>
        </w:rPr>
        <w:t xml:space="preserve"> včetně změny názvu HZP k datu 1. říjnu 2009 na Českou průmyslovou zdravotní pojišťovnu. Ke dni 1. 10. 2012 se ČPZP na základě rozhodnutí Ministerstva zdravotnictví sloučila se </w:t>
      </w:r>
      <w:r w:rsidRPr="007814E4">
        <w:rPr>
          <w:rFonts w:asciiTheme="minorHAnsi" w:hAnsiTheme="minorHAnsi" w:cs="Arial"/>
          <w:b/>
        </w:rPr>
        <w:t>Zdravotní pojišťovnou METAL - ALIANCE</w:t>
      </w:r>
      <w:r w:rsidRPr="007814E4">
        <w:rPr>
          <w:rFonts w:asciiTheme="minorHAnsi" w:hAnsiTheme="minorHAnsi" w:cs="Arial"/>
        </w:rPr>
        <w:t xml:space="preserve">, která byla k tomuto datu zrušena bez likvidace a na ČPZP přešly v důsledku uvedeného sloučení veškeré závazky, pohledávky a pojištěnci ZP M-A. ČPZP prošla zásadní změnou organizační struktury v důsledku tohoto sloučení úpravou vnitřního uspořádání útvarů </w:t>
      </w:r>
      <w:r w:rsidR="007C1F74">
        <w:rPr>
          <w:rFonts w:asciiTheme="minorHAnsi" w:hAnsiTheme="minorHAnsi" w:cs="Arial"/>
        </w:rPr>
        <w:br/>
      </w:r>
      <w:r w:rsidRPr="007814E4">
        <w:rPr>
          <w:rFonts w:asciiTheme="minorHAnsi" w:hAnsiTheme="minorHAnsi" w:cs="Arial"/>
        </w:rPr>
        <w:t xml:space="preserve">v odborných úsecích a k 1. 7. 2013 došlo jen k dílčí úpravě této organizační struktury uvnitř stávajících úseků. V roce 2014 ČPZP předpokládá další dílčí úpravy organizační struktury </w:t>
      </w:r>
      <w:r w:rsidR="007C1F74">
        <w:rPr>
          <w:rFonts w:asciiTheme="minorHAnsi" w:hAnsiTheme="minorHAnsi" w:cs="Arial"/>
        </w:rPr>
        <w:br/>
      </w:r>
      <w:r w:rsidRPr="007814E4">
        <w:rPr>
          <w:rFonts w:asciiTheme="minorHAnsi" w:hAnsiTheme="minorHAnsi" w:cs="Arial"/>
        </w:rPr>
        <w:t>z důvodů racionalizace činností a zvýšení jejich efektivity za účelem dosažení maximální hospodárnosti.</w:t>
      </w:r>
    </w:p>
    <w:p w:rsidR="00302527" w:rsidRPr="007814E4" w:rsidRDefault="00302527" w:rsidP="00DE0C41">
      <w:pPr>
        <w:ind w:firstLine="426"/>
        <w:jc w:val="both"/>
        <w:rPr>
          <w:rFonts w:asciiTheme="minorHAnsi" w:hAnsiTheme="minorHAnsi"/>
        </w:rPr>
      </w:pPr>
      <w:r w:rsidRPr="007814E4">
        <w:rPr>
          <w:rFonts w:asciiTheme="minorHAnsi" w:hAnsiTheme="minorHAnsi" w:cs="Arial"/>
          <w:b/>
        </w:rPr>
        <w:t>Plánovaný průměrný počet</w:t>
      </w:r>
      <w:r w:rsidRPr="007814E4">
        <w:rPr>
          <w:rFonts w:asciiTheme="minorHAnsi" w:hAnsiTheme="minorHAnsi" w:cs="Arial"/>
        </w:rPr>
        <w:t xml:space="preserve"> </w:t>
      </w:r>
      <w:r w:rsidRPr="007814E4">
        <w:rPr>
          <w:rFonts w:asciiTheme="minorHAnsi" w:hAnsiTheme="minorHAnsi" w:cs="Arial"/>
          <w:b/>
        </w:rPr>
        <w:t xml:space="preserve">1 201 500 pojištěnců </w:t>
      </w:r>
      <w:r w:rsidRPr="007814E4">
        <w:rPr>
          <w:rFonts w:asciiTheme="minorHAnsi" w:hAnsiTheme="minorHAnsi" w:cs="Arial"/>
        </w:rPr>
        <w:t xml:space="preserve">v roce 2014 meziročně vzroste o 1,3 % (tj. o 15 647 pojištěnců). Z toho plánovaný počet státem hrazených pojištěnců klesne o 0,3 % (tj. o 2 339 pojištěnců) a ČPZP předpokládá, že jejich podíl přesáhne 58 %. Plánovaný absolutní počet pojištěnců k 31. 12. 2014 činí také 1 201 500 pojištěnců s meziročním nárůstem o 1,2 % (tj. o 14 500 pojištěnců). Na jednoho zaměstnance připadá v průměru </w:t>
      </w:r>
      <w:r w:rsidR="007C1F74">
        <w:rPr>
          <w:rFonts w:asciiTheme="minorHAnsi" w:hAnsiTheme="minorHAnsi" w:cs="Arial"/>
        </w:rPr>
        <w:br/>
      </w:r>
      <w:r w:rsidRPr="007814E4">
        <w:rPr>
          <w:rFonts w:asciiTheme="minorHAnsi" w:hAnsiTheme="minorHAnsi" w:cs="Arial"/>
        </w:rPr>
        <w:t>1 892 pojištěnců, což je meziročně více o 19 pojištěnců.</w:t>
      </w:r>
    </w:p>
    <w:p w:rsidR="00302527" w:rsidRPr="007814E4" w:rsidRDefault="00302527" w:rsidP="00302527">
      <w:pPr>
        <w:rPr>
          <w:rFonts w:asciiTheme="minorHAnsi" w:hAnsiTheme="minorHAnsi" w:cs="Arial"/>
          <w:b/>
          <w:i/>
          <w:u w:val="single"/>
        </w:rPr>
      </w:pPr>
    </w:p>
    <w:p w:rsidR="00302527" w:rsidRPr="007814E4" w:rsidRDefault="000E74F9" w:rsidP="00302527">
      <w:pPr>
        <w:rPr>
          <w:rFonts w:asciiTheme="minorHAnsi" w:hAnsiTheme="minorHAnsi" w:cs="Arial"/>
          <w:b/>
          <w:i/>
          <w:u w:val="single"/>
        </w:rPr>
      </w:pPr>
      <w:r>
        <w:rPr>
          <w:rFonts w:asciiTheme="minorHAnsi" w:hAnsiTheme="minorHAnsi" w:cs="Arial"/>
          <w:b/>
          <w:i/>
          <w:u w:val="single"/>
        </w:rPr>
        <w:t xml:space="preserve">Plánované ukazatele </w:t>
      </w:r>
      <w:r w:rsidR="00302527" w:rsidRPr="007814E4">
        <w:rPr>
          <w:rFonts w:asciiTheme="minorHAnsi" w:hAnsiTheme="minorHAnsi" w:cs="Arial"/>
          <w:b/>
          <w:i/>
          <w:u w:val="single"/>
        </w:rPr>
        <w:t xml:space="preserve">na rok 2014 </w:t>
      </w:r>
    </w:p>
    <w:p w:rsidR="00302527" w:rsidRPr="007814E4" w:rsidRDefault="00302527" w:rsidP="00302527">
      <w:pPr>
        <w:ind w:firstLine="360"/>
        <w:jc w:val="both"/>
        <w:rPr>
          <w:rFonts w:asciiTheme="minorHAnsi" w:hAnsiTheme="minorHAnsi" w:cs="Arial"/>
        </w:rPr>
      </w:pPr>
    </w:p>
    <w:p w:rsidR="00302527" w:rsidRPr="007814E4" w:rsidRDefault="00302527" w:rsidP="007C5D12">
      <w:pPr>
        <w:pStyle w:val="Odstavecseseznamem"/>
        <w:numPr>
          <w:ilvl w:val="0"/>
          <w:numId w:val="30"/>
        </w:numPr>
        <w:spacing w:after="0" w:line="240" w:lineRule="auto"/>
        <w:ind w:left="284" w:hanging="284"/>
        <w:jc w:val="both"/>
        <w:rPr>
          <w:rFonts w:asciiTheme="minorHAnsi" w:hAnsiTheme="minorHAnsi" w:cs="Arial"/>
          <w:sz w:val="24"/>
          <w:szCs w:val="24"/>
        </w:rPr>
      </w:pPr>
      <w:r w:rsidRPr="007814E4">
        <w:rPr>
          <w:rFonts w:asciiTheme="minorHAnsi" w:hAnsiTheme="minorHAnsi" w:cs="Arial"/>
          <w:b/>
          <w:sz w:val="24"/>
          <w:szCs w:val="24"/>
        </w:rPr>
        <w:t>Příjmy celkem včetně zdaňovaných</w:t>
      </w:r>
      <w:r w:rsidRPr="007814E4">
        <w:rPr>
          <w:rFonts w:asciiTheme="minorHAnsi" w:hAnsiTheme="minorHAnsi" w:cs="Arial"/>
          <w:sz w:val="24"/>
          <w:szCs w:val="24"/>
        </w:rPr>
        <w:t xml:space="preserve"> jsou odhadovány ve výši 23 784 403 tis. Kč s meziročním nárůstem o 4,6 %.  </w:t>
      </w:r>
    </w:p>
    <w:p w:rsidR="00302527" w:rsidRPr="007814E4" w:rsidRDefault="00302527" w:rsidP="006963B3">
      <w:pPr>
        <w:pStyle w:val="Odstavecseseznamem"/>
        <w:spacing w:line="240" w:lineRule="auto"/>
        <w:ind w:left="330"/>
        <w:jc w:val="both"/>
        <w:rPr>
          <w:rFonts w:asciiTheme="minorHAnsi" w:hAnsiTheme="minorHAnsi" w:cs="Arial"/>
          <w:sz w:val="24"/>
          <w:szCs w:val="24"/>
        </w:rPr>
      </w:pPr>
      <w:r w:rsidRPr="007814E4">
        <w:rPr>
          <w:rFonts w:asciiTheme="minorHAnsi" w:hAnsiTheme="minorHAnsi" w:cs="Arial"/>
          <w:b/>
          <w:sz w:val="24"/>
          <w:szCs w:val="24"/>
        </w:rPr>
        <w:t xml:space="preserve">Příjmy z pojistného po přerozdělování </w:t>
      </w:r>
      <w:r w:rsidRPr="007814E4">
        <w:rPr>
          <w:rFonts w:asciiTheme="minorHAnsi" w:hAnsiTheme="minorHAnsi" w:cs="Arial"/>
          <w:sz w:val="24"/>
          <w:szCs w:val="24"/>
        </w:rPr>
        <w:t>jsou plánovány ve výši</w:t>
      </w:r>
      <w:r w:rsidRPr="007814E4">
        <w:rPr>
          <w:rFonts w:asciiTheme="minorHAnsi" w:hAnsiTheme="minorHAnsi" w:cs="Arial"/>
          <w:b/>
          <w:sz w:val="24"/>
          <w:szCs w:val="24"/>
        </w:rPr>
        <w:t xml:space="preserve"> </w:t>
      </w:r>
      <w:r w:rsidRPr="007814E4">
        <w:rPr>
          <w:rFonts w:asciiTheme="minorHAnsi" w:hAnsiTheme="minorHAnsi" w:cs="Arial"/>
          <w:sz w:val="24"/>
          <w:szCs w:val="24"/>
        </w:rPr>
        <w:t xml:space="preserve">23 567 619 </w:t>
      </w:r>
      <w:r w:rsidRPr="007C1F74">
        <w:rPr>
          <w:rFonts w:asciiTheme="minorHAnsi" w:hAnsiTheme="minorHAnsi" w:cs="Arial"/>
          <w:sz w:val="24"/>
          <w:szCs w:val="24"/>
        </w:rPr>
        <w:t>tis</w:t>
      </w:r>
      <w:r w:rsidR="007C1F74" w:rsidRPr="007C1F74">
        <w:rPr>
          <w:rFonts w:asciiTheme="minorHAnsi" w:hAnsiTheme="minorHAnsi" w:cs="Arial"/>
          <w:sz w:val="24"/>
          <w:szCs w:val="24"/>
        </w:rPr>
        <w:t>.</w:t>
      </w:r>
      <w:r w:rsidRPr="007C1F74">
        <w:rPr>
          <w:rFonts w:asciiTheme="minorHAnsi" w:hAnsiTheme="minorHAnsi" w:cs="Arial"/>
          <w:sz w:val="24"/>
          <w:szCs w:val="24"/>
        </w:rPr>
        <w:t xml:space="preserve"> </w:t>
      </w:r>
      <w:r w:rsidRPr="007814E4">
        <w:rPr>
          <w:rFonts w:asciiTheme="minorHAnsi" w:hAnsiTheme="minorHAnsi" w:cs="Arial"/>
          <w:sz w:val="24"/>
          <w:szCs w:val="24"/>
        </w:rPr>
        <w:t xml:space="preserve">Kč </w:t>
      </w:r>
      <w:r w:rsidR="007C1F74">
        <w:rPr>
          <w:rFonts w:asciiTheme="minorHAnsi" w:hAnsiTheme="minorHAnsi" w:cs="Arial"/>
          <w:sz w:val="24"/>
          <w:szCs w:val="24"/>
        </w:rPr>
        <w:br/>
      </w:r>
      <w:r w:rsidRPr="007814E4">
        <w:rPr>
          <w:rFonts w:asciiTheme="minorHAnsi" w:hAnsiTheme="minorHAnsi" w:cs="Arial"/>
          <w:sz w:val="24"/>
          <w:szCs w:val="24"/>
        </w:rPr>
        <w:t>s meziročním nárůstem o 4,7 %,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v tom příjmy z vlastního výběru pojistného činí </w:t>
      </w:r>
      <w:r w:rsidR="000E74F9">
        <w:rPr>
          <w:rFonts w:asciiTheme="minorHAnsi" w:hAnsiTheme="minorHAnsi" w:cs="Arial"/>
          <w:sz w:val="24"/>
          <w:szCs w:val="24"/>
        </w:rPr>
        <w:br/>
      </w:r>
      <w:r w:rsidRPr="007814E4">
        <w:rPr>
          <w:rFonts w:asciiTheme="minorHAnsi" w:hAnsiTheme="minorHAnsi" w:cs="Arial"/>
          <w:sz w:val="24"/>
          <w:szCs w:val="24"/>
        </w:rPr>
        <w:t>17 600 542 tis. Kč</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s meziročním nárůstem o 2,4 % a peněžní prostředky</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plynoucí ČPZP </w:t>
      </w:r>
      <w:r w:rsidR="007C1F74">
        <w:rPr>
          <w:rFonts w:asciiTheme="minorHAnsi" w:hAnsiTheme="minorHAnsi" w:cs="Arial"/>
          <w:sz w:val="24"/>
          <w:szCs w:val="24"/>
        </w:rPr>
        <w:br/>
      </w:r>
      <w:r w:rsidR="000E74F9">
        <w:rPr>
          <w:rFonts w:asciiTheme="minorHAnsi" w:hAnsiTheme="minorHAnsi" w:cs="Arial"/>
          <w:sz w:val="24"/>
          <w:szCs w:val="24"/>
        </w:rPr>
        <w:lastRenderedPageBreak/>
        <w:t>z přerozdělování v systému v.z.</w:t>
      </w:r>
      <w:r w:rsidRPr="007814E4">
        <w:rPr>
          <w:rFonts w:asciiTheme="minorHAnsi" w:hAnsiTheme="minorHAnsi" w:cs="Arial"/>
          <w:sz w:val="24"/>
          <w:szCs w:val="24"/>
        </w:rPr>
        <w:t>p. jsou odhadovány ve výši</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5 967 077 tis. Kč s meziročním nárůstem o 12,1 %.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Odhad této meziroční změny je ovlivněn zejména zvýšením platby státu při očekávaném zvýšení počtu pojištěnců ČPZP, za které je plátcem stát. </w:t>
      </w:r>
    </w:p>
    <w:p w:rsidR="00302527" w:rsidRPr="007814E4" w:rsidRDefault="00302527" w:rsidP="006963B3">
      <w:pPr>
        <w:pStyle w:val="Odstavecseseznamem"/>
        <w:spacing w:line="240" w:lineRule="auto"/>
        <w:ind w:left="330"/>
        <w:jc w:val="both"/>
        <w:rPr>
          <w:rFonts w:asciiTheme="minorHAnsi" w:hAnsiTheme="minorHAnsi" w:cs="Arial"/>
          <w:sz w:val="24"/>
          <w:szCs w:val="24"/>
        </w:rPr>
      </w:pPr>
      <w:r w:rsidRPr="007814E4">
        <w:rPr>
          <w:rFonts w:asciiTheme="minorHAnsi" w:hAnsiTheme="minorHAnsi" w:cs="Arial"/>
          <w:b/>
          <w:sz w:val="24"/>
          <w:szCs w:val="24"/>
        </w:rPr>
        <w:t>Průměrný příjem pojistného po přerozdělování na jednoho pojištěnce činí</w:t>
      </w:r>
      <w:r w:rsidRPr="007814E4">
        <w:rPr>
          <w:rFonts w:asciiTheme="minorHAnsi" w:hAnsiTheme="minorHAnsi" w:cs="Arial"/>
          <w:b/>
          <w:color w:val="FF0000"/>
          <w:sz w:val="24"/>
          <w:szCs w:val="24"/>
        </w:rPr>
        <w:t xml:space="preserve"> </w:t>
      </w:r>
      <w:r w:rsidRPr="007814E4">
        <w:rPr>
          <w:rFonts w:asciiTheme="minorHAnsi" w:hAnsiTheme="minorHAnsi" w:cs="Arial"/>
          <w:sz w:val="24"/>
          <w:szCs w:val="24"/>
        </w:rPr>
        <w:t xml:space="preserve">19 615 Kč </w:t>
      </w:r>
      <w:r w:rsidR="007C1F74">
        <w:rPr>
          <w:rFonts w:asciiTheme="minorHAnsi" w:hAnsiTheme="minorHAnsi" w:cs="Arial"/>
          <w:sz w:val="24"/>
          <w:szCs w:val="24"/>
        </w:rPr>
        <w:br/>
      </w:r>
      <w:r w:rsidRPr="007814E4">
        <w:rPr>
          <w:rFonts w:asciiTheme="minorHAnsi" w:hAnsiTheme="minorHAnsi" w:cs="Arial"/>
          <w:sz w:val="24"/>
          <w:szCs w:val="24"/>
        </w:rPr>
        <w:t>s meziročním nárůstem o 3,3 %.</w:t>
      </w:r>
    </w:p>
    <w:p w:rsidR="00302527" w:rsidRPr="007814E4" w:rsidRDefault="00302527" w:rsidP="00ED683A">
      <w:pPr>
        <w:pStyle w:val="Odstavecseseznamem"/>
        <w:numPr>
          <w:ilvl w:val="0"/>
          <w:numId w:val="30"/>
        </w:numPr>
        <w:spacing w:after="0" w:line="240" w:lineRule="auto"/>
        <w:ind w:left="330" w:hanging="330"/>
        <w:jc w:val="both"/>
        <w:rPr>
          <w:rFonts w:asciiTheme="minorHAnsi" w:hAnsiTheme="minorHAnsi" w:cs="Arial"/>
          <w:sz w:val="24"/>
          <w:szCs w:val="24"/>
        </w:rPr>
      </w:pPr>
      <w:r w:rsidRPr="007814E4">
        <w:rPr>
          <w:rFonts w:asciiTheme="minorHAnsi" w:hAnsiTheme="minorHAnsi" w:cs="Arial"/>
          <w:b/>
          <w:sz w:val="24"/>
          <w:szCs w:val="24"/>
        </w:rPr>
        <w:t>Výdaje celkem včetně zdaňovaných</w:t>
      </w:r>
      <w:r w:rsidRPr="007814E4">
        <w:rPr>
          <w:rFonts w:asciiTheme="minorHAnsi" w:hAnsiTheme="minorHAnsi" w:cs="Arial"/>
          <w:sz w:val="24"/>
          <w:szCs w:val="24"/>
        </w:rPr>
        <w:t xml:space="preserve"> se plánují v částce 25 015 723 tis. Kč s  meziročním nárůstem o</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9,6 %.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Z toho největší podíl 95,5 % tvoří</w:t>
      </w:r>
      <w:r w:rsidRPr="007814E4">
        <w:rPr>
          <w:rFonts w:asciiTheme="minorHAnsi" w:hAnsiTheme="minorHAnsi" w:cs="Arial"/>
          <w:b/>
          <w:color w:val="FF0000"/>
          <w:sz w:val="24"/>
          <w:szCs w:val="24"/>
        </w:rPr>
        <w:t xml:space="preserve"> </w:t>
      </w:r>
      <w:r w:rsidRPr="007814E4">
        <w:rPr>
          <w:rFonts w:asciiTheme="minorHAnsi" w:hAnsiTheme="minorHAnsi" w:cs="Arial"/>
          <w:b/>
          <w:sz w:val="24"/>
          <w:szCs w:val="24"/>
        </w:rPr>
        <w:t>výdaje na zdravotní služby hrazené</w:t>
      </w:r>
      <w:r w:rsidRPr="007814E4">
        <w:rPr>
          <w:rFonts w:asciiTheme="minorHAnsi" w:hAnsiTheme="minorHAnsi" w:cs="Arial"/>
          <w:sz w:val="24"/>
          <w:szCs w:val="24"/>
        </w:rPr>
        <w:t xml:space="preserve"> </w:t>
      </w:r>
      <w:r w:rsidRPr="007814E4">
        <w:rPr>
          <w:rFonts w:asciiTheme="minorHAnsi" w:hAnsiTheme="minorHAnsi" w:cs="Arial"/>
          <w:b/>
          <w:sz w:val="24"/>
          <w:szCs w:val="24"/>
        </w:rPr>
        <w:t>ze ZFZP</w:t>
      </w:r>
      <w:r w:rsidRPr="007814E4">
        <w:rPr>
          <w:rFonts w:asciiTheme="minorHAnsi" w:hAnsiTheme="minorHAnsi" w:cs="Arial"/>
          <w:sz w:val="24"/>
          <w:szCs w:val="24"/>
        </w:rPr>
        <w:t xml:space="preserve"> ve výši 23 898 050 tis. Kč s  meziročním nárůstem o</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9,5 % (</w:t>
      </w:r>
      <w:r w:rsidRPr="007814E4">
        <w:rPr>
          <w:rFonts w:asciiTheme="minorHAnsi" w:hAnsiTheme="minorHAnsi" w:cs="Arial"/>
          <w:b/>
          <w:sz w:val="24"/>
          <w:szCs w:val="24"/>
        </w:rPr>
        <w:t>Výdaje na zdravotní služby na 1 pojištěnce ze ZFZP</w:t>
      </w:r>
      <w:r w:rsidRPr="007814E4">
        <w:rPr>
          <w:rFonts w:asciiTheme="minorHAnsi" w:hAnsiTheme="minorHAnsi" w:cs="Arial"/>
          <w:sz w:val="24"/>
          <w:szCs w:val="24"/>
        </w:rPr>
        <w:t xml:space="preserve"> činí 19 890 Kč s meziročním nárůstem o 8,2 %.) </w:t>
      </w:r>
      <w:r w:rsidRPr="007814E4">
        <w:rPr>
          <w:rFonts w:asciiTheme="minorHAnsi" w:hAnsiTheme="minorHAnsi" w:cs="Arial"/>
          <w:b/>
          <w:sz w:val="24"/>
          <w:szCs w:val="24"/>
        </w:rPr>
        <w:t xml:space="preserve">Výdaje na zdravotní služby hrazené z Fprev  </w:t>
      </w:r>
      <w:r w:rsidRPr="007814E4">
        <w:rPr>
          <w:rFonts w:asciiTheme="minorHAnsi" w:hAnsiTheme="minorHAnsi" w:cs="Arial"/>
          <w:sz w:val="24"/>
          <w:szCs w:val="24"/>
        </w:rPr>
        <w:t>ve výši 200 000 tis. Kč vykazují  meziroční</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pokles </w:t>
      </w:r>
      <w:r w:rsidR="007C1F74">
        <w:rPr>
          <w:rFonts w:asciiTheme="minorHAnsi" w:hAnsiTheme="minorHAnsi" w:cs="Arial"/>
          <w:sz w:val="24"/>
          <w:szCs w:val="24"/>
        </w:rPr>
        <w:br/>
      </w:r>
      <w:r w:rsidRPr="007814E4">
        <w:rPr>
          <w:rFonts w:asciiTheme="minorHAnsi" w:hAnsiTheme="minorHAnsi" w:cs="Arial"/>
          <w:sz w:val="24"/>
          <w:szCs w:val="24"/>
        </w:rPr>
        <w:t>o 3,3 %.</w:t>
      </w:r>
    </w:p>
    <w:p w:rsidR="00302527" w:rsidRPr="007814E4" w:rsidRDefault="00302527" w:rsidP="006963B3">
      <w:pPr>
        <w:pStyle w:val="Odstavecseseznamem"/>
        <w:spacing w:line="240" w:lineRule="auto"/>
        <w:ind w:left="330"/>
        <w:jc w:val="both"/>
        <w:rPr>
          <w:rFonts w:asciiTheme="minorHAnsi" w:hAnsiTheme="minorHAnsi" w:cs="Arial"/>
          <w:sz w:val="24"/>
          <w:szCs w:val="24"/>
        </w:rPr>
      </w:pPr>
      <w:r w:rsidRPr="007814E4">
        <w:rPr>
          <w:rFonts w:asciiTheme="minorHAnsi" w:hAnsiTheme="minorHAnsi" w:cs="Arial"/>
          <w:b/>
          <w:sz w:val="24"/>
          <w:szCs w:val="24"/>
        </w:rPr>
        <w:t>Výdaje  PF</w:t>
      </w:r>
      <w:r w:rsidRPr="007814E4">
        <w:rPr>
          <w:rFonts w:asciiTheme="minorHAnsi" w:hAnsiTheme="minorHAnsi" w:cs="Arial"/>
          <w:sz w:val="24"/>
          <w:szCs w:val="24"/>
        </w:rPr>
        <w:t xml:space="preserve"> se plánují ve výši</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802 211 tis. Kč s meziročním nárůstem o 3,8 %.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Z toho však výdaje na běžné provozní činnosti 715 173 tis. Kč rostou o 4,7 %.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Příděl ze ZFZP do PF</w:t>
      </w:r>
      <w:r w:rsidRPr="007814E4">
        <w:rPr>
          <w:rFonts w:asciiTheme="minorHAnsi" w:hAnsiTheme="minorHAnsi" w:cs="Arial"/>
          <w:b/>
          <w:sz w:val="24"/>
          <w:szCs w:val="24"/>
        </w:rPr>
        <w:t xml:space="preserve"> </w:t>
      </w:r>
      <w:r w:rsidRPr="007814E4">
        <w:rPr>
          <w:rFonts w:asciiTheme="minorHAnsi" w:hAnsiTheme="minorHAnsi" w:cs="Arial"/>
          <w:sz w:val="24"/>
          <w:szCs w:val="24"/>
        </w:rPr>
        <w:t>je plánován</w:t>
      </w:r>
      <w:r w:rsidRPr="007814E4">
        <w:rPr>
          <w:rFonts w:asciiTheme="minorHAnsi" w:hAnsiTheme="minorHAnsi" w:cs="Arial"/>
          <w:b/>
          <w:sz w:val="24"/>
          <w:szCs w:val="24"/>
        </w:rPr>
        <w:t xml:space="preserve"> </w:t>
      </w:r>
      <w:r w:rsidRPr="007814E4">
        <w:rPr>
          <w:rFonts w:asciiTheme="minorHAnsi" w:hAnsiTheme="minorHAnsi" w:cs="Arial"/>
          <w:sz w:val="24"/>
          <w:szCs w:val="24"/>
        </w:rPr>
        <w:t>ve výši plného využití</w:t>
      </w:r>
      <w:r w:rsidRPr="007814E4">
        <w:rPr>
          <w:rFonts w:asciiTheme="minorHAnsi" w:hAnsiTheme="minorHAnsi" w:cs="Arial"/>
          <w:b/>
          <w:sz w:val="24"/>
          <w:szCs w:val="24"/>
        </w:rPr>
        <w:t xml:space="preserve"> maximálního limitu nákladů na činnost zdravotní pojišťovny</w:t>
      </w:r>
      <w:r w:rsidRPr="007814E4">
        <w:rPr>
          <w:rFonts w:asciiTheme="minorHAnsi" w:hAnsiTheme="minorHAnsi" w:cs="Arial"/>
          <w:b/>
          <w:color w:val="FF0000"/>
          <w:sz w:val="24"/>
          <w:szCs w:val="24"/>
        </w:rPr>
        <w:t xml:space="preserve"> </w:t>
      </w:r>
      <w:r w:rsidRPr="007814E4">
        <w:rPr>
          <w:rFonts w:asciiTheme="minorHAnsi" w:hAnsiTheme="minorHAnsi" w:cs="Arial"/>
          <w:b/>
          <w:sz w:val="24"/>
          <w:szCs w:val="24"/>
        </w:rPr>
        <w:t>3,38 %.</w:t>
      </w:r>
      <w:r w:rsidRPr="007814E4">
        <w:rPr>
          <w:rFonts w:asciiTheme="minorHAnsi" w:hAnsiTheme="minorHAnsi" w:cs="Arial"/>
          <w:sz w:val="24"/>
          <w:szCs w:val="24"/>
        </w:rPr>
        <w:t xml:space="preserve"> Plán skutečného přídělu ze ZFZP tak činí 800 540 tis. Kč s meziročním zvýšením o 4,7 %. Limit převodu z PF do SF je dodržen. </w:t>
      </w:r>
    </w:p>
    <w:p w:rsidR="00302527" w:rsidRPr="007814E4" w:rsidRDefault="00302527" w:rsidP="00ED683A">
      <w:pPr>
        <w:pStyle w:val="Odstavecseseznamem"/>
        <w:numPr>
          <w:ilvl w:val="0"/>
          <w:numId w:val="30"/>
        </w:numPr>
        <w:spacing w:after="0" w:line="240" w:lineRule="auto"/>
        <w:ind w:left="330" w:hanging="330"/>
        <w:jc w:val="both"/>
        <w:rPr>
          <w:rFonts w:asciiTheme="minorHAnsi" w:hAnsiTheme="minorHAnsi" w:cs="Arial"/>
          <w:color w:val="FF0000"/>
          <w:sz w:val="24"/>
          <w:szCs w:val="24"/>
        </w:rPr>
      </w:pPr>
      <w:r w:rsidRPr="007814E4">
        <w:rPr>
          <w:rFonts w:asciiTheme="minorHAnsi" w:hAnsiTheme="minorHAnsi" w:cs="Arial"/>
          <w:b/>
          <w:sz w:val="24"/>
          <w:szCs w:val="24"/>
        </w:rPr>
        <w:t xml:space="preserve">Saldo plánovaných příjmů a výdajů celkem včetně zdaňovaných </w:t>
      </w:r>
      <w:r w:rsidRPr="007814E4">
        <w:rPr>
          <w:rFonts w:asciiTheme="minorHAnsi" w:hAnsiTheme="minorHAnsi" w:cs="Arial"/>
          <w:sz w:val="24"/>
          <w:szCs w:val="24"/>
        </w:rPr>
        <w:t>je záporné ve výši –1 231 320 tis. Kč s meziročním nárůstem o 1</w:t>
      </w:r>
      <w:r w:rsidR="00B25BE3">
        <w:rPr>
          <w:rFonts w:asciiTheme="minorHAnsi" w:hAnsiTheme="minorHAnsi" w:cs="Arial"/>
          <w:sz w:val="24"/>
          <w:szCs w:val="24"/>
        </w:rPr>
        <w:t xml:space="preserve"> </w:t>
      </w:r>
      <w:r w:rsidRPr="007814E4">
        <w:rPr>
          <w:rFonts w:asciiTheme="minorHAnsi" w:hAnsiTheme="minorHAnsi" w:cs="Arial"/>
          <w:sz w:val="24"/>
          <w:szCs w:val="24"/>
        </w:rPr>
        <w:t xml:space="preserve">334,1 % proti očekávanému zápornému saldu v roce 2013 ve výši –92 299 tis. Kč. Saldo plánovaných příjmů z pojistného po přerozdělování a výdajů ZFZP na zdravotní služby vykazuje zápornou hodnotu </w:t>
      </w:r>
      <w:r w:rsidR="000E74F9" w:rsidRPr="007814E4">
        <w:rPr>
          <w:rFonts w:asciiTheme="minorHAnsi" w:hAnsiTheme="minorHAnsi" w:cs="Arial"/>
          <w:sz w:val="24"/>
          <w:szCs w:val="24"/>
        </w:rPr>
        <w:t>–</w:t>
      </w:r>
      <w:r w:rsidR="000E74F9">
        <w:rPr>
          <w:rFonts w:asciiTheme="minorHAnsi" w:hAnsiTheme="minorHAnsi" w:cs="Arial"/>
          <w:sz w:val="24"/>
          <w:szCs w:val="24"/>
        </w:rPr>
        <w:t xml:space="preserve"> </w:t>
      </w:r>
      <w:r w:rsidR="000E74F9">
        <w:rPr>
          <w:rFonts w:asciiTheme="minorHAnsi" w:hAnsiTheme="minorHAnsi" w:cs="Arial"/>
          <w:sz w:val="24"/>
          <w:szCs w:val="24"/>
        </w:rPr>
        <w:br/>
      </w:r>
      <w:r w:rsidRPr="007814E4">
        <w:rPr>
          <w:rFonts w:asciiTheme="minorHAnsi" w:hAnsiTheme="minorHAnsi" w:cs="Arial"/>
          <w:sz w:val="24"/>
          <w:szCs w:val="24"/>
        </w:rPr>
        <w:t>330 431 tis. Kč, v přepočtu na 1 pojištěnce ve výši -275 Kč.</w:t>
      </w:r>
    </w:p>
    <w:p w:rsidR="00302527" w:rsidRPr="007814E4" w:rsidRDefault="00302527">
      <w:pPr>
        <w:pStyle w:val="Odstavecseseznamem"/>
        <w:numPr>
          <w:ilvl w:val="0"/>
          <w:numId w:val="30"/>
        </w:numPr>
        <w:spacing w:after="0" w:line="240" w:lineRule="auto"/>
        <w:ind w:left="330" w:hanging="330"/>
        <w:jc w:val="both"/>
        <w:rPr>
          <w:rFonts w:asciiTheme="minorHAnsi" w:hAnsiTheme="minorHAnsi" w:cs="Arial"/>
          <w:sz w:val="24"/>
          <w:szCs w:val="24"/>
        </w:rPr>
      </w:pPr>
      <w:r w:rsidRPr="007814E4">
        <w:rPr>
          <w:rFonts w:asciiTheme="minorHAnsi" w:hAnsiTheme="minorHAnsi" w:cs="Arial"/>
          <w:b/>
          <w:sz w:val="24"/>
          <w:szCs w:val="24"/>
        </w:rPr>
        <w:t>Stav pohledávek celkem</w:t>
      </w:r>
      <w:r w:rsidRPr="007814E4">
        <w:rPr>
          <w:rFonts w:asciiTheme="minorHAnsi" w:hAnsiTheme="minorHAnsi" w:cs="Arial"/>
          <w:sz w:val="24"/>
          <w:szCs w:val="24"/>
        </w:rPr>
        <w:t xml:space="preserve"> k  31. 12. 2014 je odhadován ve výši 3 167 962 tis. Kč s meziročním poklesem o 7,8 %</w:t>
      </w:r>
      <w:r w:rsidRPr="007814E4">
        <w:rPr>
          <w:rFonts w:asciiTheme="minorHAnsi" w:hAnsiTheme="minorHAnsi" w:cs="Arial"/>
          <w:color w:val="FF0000"/>
          <w:sz w:val="24"/>
          <w:szCs w:val="24"/>
        </w:rPr>
        <w:t xml:space="preserve">. </w:t>
      </w:r>
      <w:r w:rsidRPr="007814E4">
        <w:rPr>
          <w:rFonts w:asciiTheme="minorHAnsi" w:hAnsiTheme="minorHAnsi" w:cs="Arial"/>
          <w:b/>
          <w:sz w:val="24"/>
          <w:szCs w:val="24"/>
        </w:rPr>
        <w:t>Z toho pohledávky po lhůtě splatnosti za plátci pojistného</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(tj. pohledávky z dlužného pojistného, vyměřeného penále a pokut)</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ČPZP hodlá snížit o 23,5 % na 998 058 tis. Kč.</w:t>
      </w:r>
      <w:r w:rsidRPr="007814E4">
        <w:rPr>
          <w:rFonts w:asciiTheme="minorHAnsi" w:hAnsiTheme="minorHAnsi" w:cs="Arial"/>
          <w:color w:val="FF0000"/>
          <w:sz w:val="24"/>
          <w:szCs w:val="24"/>
        </w:rPr>
        <w:t xml:space="preserve"> </w:t>
      </w:r>
      <w:r w:rsidRPr="007814E4">
        <w:rPr>
          <w:rFonts w:asciiTheme="minorHAnsi" w:hAnsiTheme="minorHAnsi" w:cs="Arial"/>
          <w:b/>
          <w:sz w:val="24"/>
          <w:szCs w:val="24"/>
        </w:rPr>
        <w:t>Dohadné položky aktivní</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k 31. 12. 2014 ve výši 434 344 tis. Kč meziročně vzrostou o 6,1 %. </w:t>
      </w:r>
      <w:r w:rsidRPr="007814E4">
        <w:rPr>
          <w:rFonts w:asciiTheme="minorHAnsi" w:hAnsiTheme="minorHAnsi" w:cs="Arial"/>
          <w:b/>
          <w:sz w:val="24"/>
          <w:szCs w:val="24"/>
        </w:rPr>
        <w:t>Stav opravných položek</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k pohledávkám dosáhne částky 3 543 864 tis. Kč s meziročním nárůstem o</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12,6 %,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z toho 2 500 412 tis. Kč bude zúčtováno v </w:t>
      </w:r>
      <w:r w:rsidR="007A04EF">
        <w:rPr>
          <w:rFonts w:asciiTheme="minorHAnsi" w:hAnsiTheme="minorHAnsi" w:cs="Arial"/>
          <w:sz w:val="24"/>
          <w:szCs w:val="24"/>
        </w:rPr>
        <w:t>ZFZP</w:t>
      </w:r>
      <w:r w:rsidRPr="007814E4">
        <w:rPr>
          <w:rFonts w:asciiTheme="minorHAnsi" w:hAnsiTheme="minorHAnsi" w:cs="Arial"/>
          <w:sz w:val="24"/>
          <w:szCs w:val="24"/>
        </w:rPr>
        <w:t xml:space="preserve"> pojištění a 1 041 780 tis. Kč ve </w:t>
      </w:r>
      <w:r w:rsidR="007A04EF">
        <w:rPr>
          <w:rFonts w:asciiTheme="minorHAnsi" w:hAnsiTheme="minorHAnsi" w:cs="Arial"/>
          <w:sz w:val="24"/>
          <w:szCs w:val="24"/>
        </w:rPr>
        <w:t>Fprev</w:t>
      </w:r>
      <w:r w:rsidRPr="007814E4">
        <w:rPr>
          <w:rFonts w:asciiTheme="minorHAnsi" w:hAnsiTheme="minorHAnsi" w:cs="Arial"/>
          <w:sz w:val="24"/>
          <w:szCs w:val="24"/>
        </w:rPr>
        <w:t xml:space="preserve">. </w:t>
      </w:r>
      <w:r w:rsidRPr="007814E4">
        <w:rPr>
          <w:rFonts w:asciiTheme="minorHAnsi" w:hAnsiTheme="minorHAnsi" w:cs="Arial"/>
          <w:b/>
          <w:sz w:val="24"/>
          <w:szCs w:val="24"/>
        </w:rPr>
        <w:t>Nevymahatelné pohledávky</w:t>
      </w:r>
      <w:r w:rsidRPr="007814E4">
        <w:rPr>
          <w:rFonts w:asciiTheme="minorHAnsi" w:hAnsiTheme="minorHAnsi" w:cs="Arial"/>
          <w:sz w:val="24"/>
          <w:szCs w:val="24"/>
        </w:rPr>
        <w:t xml:space="preserve"> budou odepisovány podle platné legislativy, a to pohledávky za plátci pojistného po lhůtě splatnosti celkem ve výši </w:t>
      </w:r>
      <w:r w:rsidR="000E74F9">
        <w:rPr>
          <w:rFonts w:asciiTheme="minorHAnsi" w:hAnsiTheme="minorHAnsi" w:cs="Arial"/>
          <w:sz w:val="24"/>
          <w:szCs w:val="24"/>
        </w:rPr>
        <w:t>65 000 tis. Kč</w:t>
      </w:r>
      <w:r>
        <w:rPr>
          <w:rFonts w:asciiTheme="minorHAnsi" w:hAnsiTheme="minorHAnsi" w:cs="Arial"/>
          <w:sz w:val="24"/>
          <w:szCs w:val="24"/>
        </w:rPr>
        <w:t xml:space="preserve"> </w:t>
      </w:r>
      <w:r w:rsidRPr="007814E4">
        <w:rPr>
          <w:rFonts w:asciiTheme="minorHAnsi" w:hAnsiTheme="minorHAnsi" w:cs="Arial"/>
          <w:sz w:val="24"/>
          <w:szCs w:val="24"/>
        </w:rPr>
        <w:t>(z toho 31 000 tis. Kč z titulu dlužného pojistného a 34 000 tis. Kč z titulu penále).</w:t>
      </w:r>
    </w:p>
    <w:p w:rsidR="00302527" w:rsidRPr="007814E4" w:rsidRDefault="00302527" w:rsidP="006963B3">
      <w:pPr>
        <w:pStyle w:val="Odstavecseseznamem"/>
        <w:spacing w:line="240" w:lineRule="auto"/>
        <w:ind w:left="330"/>
        <w:jc w:val="both"/>
        <w:rPr>
          <w:rFonts w:asciiTheme="minorHAnsi" w:hAnsiTheme="minorHAnsi" w:cs="Arial"/>
          <w:sz w:val="24"/>
          <w:szCs w:val="24"/>
        </w:rPr>
      </w:pPr>
      <w:r w:rsidRPr="007814E4">
        <w:rPr>
          <w:rFonts w:asciiTheme="minorHAnsi" w:hAnsiTheme="minorHAnsi" w:cs="Arial"/>
          <w:b/>
          <w:sz w:val="24"/>
          <w:szCs w:val="24"/>
        </w:rPr>
        <w:t>Stav závazků celkem</w:t>
      </w:r>
      <w:r w:rsidRPr="007814E4">
        <w:rPr>
          <w:rFonts w:asciiTheme="minorHAnsi" w:hAnsiTheme="minorHAnsi" w:cs="Arial"/>
          <w:sz w:val="24"/>
          <w:szCs w:val="24"/>
        </w:rPr>
        <w:t xml:space="preserve"> k 31. 12. 2014 je odhadován ve výši 2 716 220 tis. Kč s meziročním nárůstem o 14,6 %, v tom </w:t>
      </w:r>
      <w:r w:rsidRPr="007814E4">
        <w:rPr>
          <w:rFonts w:asciiTheme="minorHAnsi" w:hAnsiTheme="minorHAnsi" w:cs="Arial"/>
          <w:b/>
          <w:sz w:val="24"/>
          <w:szCs w:val="24"/>
        </w:rPr>
        <w:t>závazky ve lhůtě splatnosti</w:t>
      </w:r>
      <w:r w:rsidRPr="007814E4">
        <w:rPr>
          <w:rFonts w:asciiTheme="minorHAnsi" w:hAnsiTheme="minorHAnsi" w:cs="Arial"/>
          <w:sz w:val="24"/>
          <w:szCs w:val="24"/>
        </w:rPr>
        <w:t xml:space="preserve"> vůči poskytovatelům zdravotních služeb představují</w:t>
      </w:r>
      <w:r w:rsidRPr="007814E4">
        <w:rPr>
          <w:rFonts w:asciiTheme="minorHAnsi" w:hAnsiTheme="minorHAnsi"/>
          <w:sz w:val="24"/>
          <w:szCs w:val="24"/>
        </w:rPr>
        <w:t xml:space="preserve"> </w:t>
      </w:r>
      <w:r w:rsidRPr="007814E4">
        <w:rPr>
          <w:rFonts w:asciiTheme="minorHAnsi" w:hAnsiTheme="minorHAnsi" w:cs="Arial"/>
          <w:sz w:val="24"/>
          <w:szCs w:val="24"/>
        </w:rPr>
        <w:t>2 617 220 tis. Kč (tj. meziroční nárůst o 15,2 %) a ostatní závazky 99 000 tis. Kč (nárůst o 0,5 %).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ČPZP nepočítá na konci roku 2014 se vznikem</w:t>
      </w:r>
      <w:r w:rsidRPr="007814E4">
        <w:rPr>
          <w:rFonts w:asciiTheme="minorHAnsi" w:hAnsiTheme="minorHAnsi" w:cs="Arial"/>
          <w:b/>
          <w:sz w:val="24"/>
          <w:szCs w:val="24"/>
        </w:rPr>
        <w:t xml:space="preserve"> závazků po lhůtě splatnosti vůči poskytovatelům zdravotních služeb</w:t>
      </w:r>
      <w:r w:rsidRPr="007814E4">
        <w:rPr>
          <w:rFonts w:asciiTheme="minorHAnsi" w:hAnsiTheme="minorHAnsi" w:cs="Arial"/>
          <w:sz w:val="24"/>
          <w:szCs w:val="24"/>
        </w:rPr>
        <w:t xml:space="preserve">. </w:t>
      </w:r>
      <w:r w:rsidRPr="007814E4">
        <w:rPr>
          <w:rFonts w:asciiTheme="minorHAnsi" w:hAnsiTheme="minorHAnsi" w:cs="Arial"/>
          <w:b/>
          <w:sz w:val="24"/>
          <w:szCs w:val="24"/>
        </w:rPr>
        <w:t>Dohadné položky pasivní</w:t>
      </w:r>
      <w:r w:rsidRPr="007814E4">
        <w:rPr>
          <w:rFonts w:asciiTheme="minorHAnsi" w:hAnsiTheme="minorHAnsi" w:cs="Arial"/>
          <w:b/>
          <w:color w:val="FF0000"/>
          <w:sz w:val="24"/>
          <w:szCs w:val="24"/>
        </w:rPr>
        <w:t xml:space="preserve"> </w:t>
      </w:r>
      <w:r w:rsidRPr="007814E4">
        <w:rPr>
          <w:rFonts w:asciiTheme="minorHAnsi" w:hAnsiTheme="minorHAnsi" w:cs="Arial"/>
          <w:sz w:val="24"/>
          <w:szCs w:val="24"/>
        </w:rPr>
        <w:t>ve výši 617 220 tis. Kč jsou plánovány ve stejné výši jako v očekávané skutečnosti 2013, z toho částka 471 250 tis. Kč jsou konečné zůstatky dohadných položek k</w:t>
      </w:r>
      <w:r w:rsidR="007A04EF">
        <w:rPr>
          <w:rFonts w:asciiTheme="minorHAnsi" w:hAnsiTheme="minorHAnsi" w:cs="Arial"/>
          <w:sz w:val="24"/>
          <w:szCs w:val="24"/>
        </w:rPr>
        <w:t xml:space="preserve"> ZFZP </w:t>
      </w:r>
      <w:r w:rsidRPr="007814E4">
        <w:rPr>
          <w:rFonts w:asciiTheme="minorHAnsi" w:hAnsiTheme="minorHAnsi" w:cs="Arial"/>
          <w:sz w:val="24"/>
          <w:szCs w:val="24"/>
        </w:rPr>
        <w:t xml:space="preserve">k závazkům vůči </w:t>
      </w:r>
      <w:r w:rsidR="007A04EF">
        <w:rPr>
          <w:rFonts w:asciiTheme="minorHAnsi" w:hAnsiTheme="minorHAnsi" w:cs="Arial"/>
          <w:sz w:val="24"/>
          <w:szCs w:val="24"/>
        </w:rPr>
        <w:t>PZS</w:t>
      </w:r>
      <w:r w:rsidRPr="007814E4">
        <w:rPr>
          <w:rFonts w:asciiTheme="minorHAnsi" w:hAnsiTheme="minorHAnsi" w:cs="Arial"/>
          <w:sz w:val="24"/>
          <w:szCs w:val="24"/>
        </w:rPr>
        <w:t>, částka 115 848 tis. Kč tvoří předpokládané zálohy na úhradu očkovacích látek a částka 30 122 tis. Kč dohadné položky zúčtované do provozního fondu ke mzdovým nákladům.</w:t>
      </w:r>
    </w:p>
    <w:p w:rsidR="00302527" w:rsidRPr="007814E4" w:rsidRDefault="00302527" w:rsidP="00ED683A">
      <w:pPr>
        <w:pStyle w:val="Odstavecseseznamem"/>
        <w:numPr>
          <w:ilvl w:val="0"/>
          <w:numId w:val="30"/>
        </w:numPr>
        <w:spacing w:after="0" w:line="240" w:lineRule="auto"/>
        <w:ind w:left="330" w:hanging="330"/>
        <w:jc w:val="both"/>
        <w:rPr>
          <w:rFonts w:asciiTheme="minorHAnsi" w:hAnsiTheme="minorHAnsi" w:cs="Arial"/>
          <w:sz w:val="24"/>
          <w:szCs w:val="24"/>
        </w:rPr>
      </w:pPr>
      <w:r w:rsidRPr="007814E4">
        <w:rPr>
          <w:rFonts w:asciiTheme="minorHAnsi" w:hAnsiTheme="minorHAnsi" w:cs="Arial"/>
          <w:b/>
          <w:sz w:val="24"/>
          <w:szCs w:val="24"/>
        </w:rPr>
        <w:t xml:space="preserve">Stav peněžních prostředků na všech BÚ fondů </w:t>
      </w:r>
      <w:r w:rsidRPr="007814E4">
        <w:rPr>
          <w:rFonts w:asciiTheme="minorHAnsi" w:hAnsiTheme="minorHAnsi" w:cs="Arial"/>
          <w:sz w:val="24"/>
          <w:szCs w:val="24"/>
        </w:rPr>
        <w:t>k  31. 12. 2014 je odhadován ve výši</w:t>
      </w:r>
      <w:r w:rsidRPr="007814E4">
        <w:rPr>
          <w:rFonts w:asciiTheme="minorHAnsi" w:hAnsiTheme="minorHAnsi" w:cs="Arial"/>
          <w:b/>
          <w:sz w:val="24"/>
          <w:szCs w:val="24"/>
        </w:rPr>
        <w:t xml:space="preserve"> </w:t>
      </w:r>
      <w:r w:rsidR="000E74F9">
        <w:rPr>
          <w:rFonts w:asciiTheme="minorHAnsi" w:hAnsiTheme="minorHAnsi" w:cs="Arial"/>
          <w:b/>
          <w:sz w:val="24"/>
          <w:szCs w:val="24"/>
        </w:rPr>
        <w:br/>
      </w:r>
      <w:r w:rsidRPr="007814E4">
        <w:rPr>
          <w:rFonts w:asciiTheme="minorHAnsi" w:hAnsiTheme="minorHAnsi" w:cs="Arial"/>
          <w:sz w:val="24"/>
          <w:szCs w:val="24"/>
        </w:rPr>
        <w:t>2 289 379 tis. Kč s meziročním</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poklesem o 35,1 %</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(tj. o 1 232 987 tis. Kč), na kterém se podílí v převážné míře akceptace úhradové vyhlášky podle modelování Ministerstva zdravotnictví a dále FRM v důsledku plánovaného navýšení investičních výdajů z FRM (meziroční pokles o 67 344 tis. Kč) a aktivnějšího čerpání prostředků Fprev (meziroční pokles o 78 833 tis. Kč) v roce 2014.</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Zůstatek na BÚ ZFZP k 31. 12. 2014 ve výši</w:t>
      </w:r>
      <w:r w:rsidRPr="007814E4">
        <w:rPr>
          <w:rFonts w:asciiTheme="minorHAnsi" w:hAnsiTheme="minorHAnsi" w:cs="Arial"/>
          <w:color w:val="FF0000"/>
          <w:sz w:val="24"/>
          <w:szCs w:val="24"/>
        </w:rPr>
        <w:t xml:space="preserve"> </w:t>
      </w:r>
      <w:r w:rsidR="000E74F9">
        <w:rPr>
          <w:rFonts w:asciiTheme="minorHAnsi" w:hAnsiTheme="minorHAnsi" w:cs="Arial"/>
          <w:color w:val="FF0000"/>
          <w:sz w:val="24"/>
          <w:szCs w:val="24"/>
        </w:rPr>
        <w:br/>
      </w:r>
      <w:r w:rsidRPr="007814E4">
        <w:rPr>
          <w:rFonts w:asciiTheme="minorHAnsi" w:hAnsiTheme="minorHAnsi" w:cs="Arial"/>
          <w:sz w:val="24"/>
          <w:szCs w:val="24"/>
        </w:rPr>
        <w:lastRenderedPageBreak/>
        <w:t>1 429 378 tis. Kč je na</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56,6 % očekávaného zůstatku na konci roku 2013 (akceptace úhradové vyhlášky dle modelace MZ). Limit RF bude naplněn peněžním zůstatkem </w:t>
      </w:r>
      <w:r w:rsidR="000E74F9">
        <w:rPr>
          <w:rFonts w:asciiTheme="minorHAnsi" w:hAnsiTheme="minorHAnsi" w:cs="Arial"/>
          <w:sz w:val="24"/>
          <w:szCs w:val="24"/>
        </w:rPr>
        <w:br/>
      </w:r>
      <w:r w:rsidRPr="007814E4">
        <w:rPr>
          <w:rFonts w:asciiTheme="minorHAnsi" w:hAnsiTheme="minorHAnsi" w:cs="Arial"/>
          <w:sz w:val="24"/>
          <w:szCs w:val="24"/>
        </w:rPr>
        <w:t xml:space="preserve">k 31. 12. 2014 ve výši 347 497 tis. Kč. </w:t>
      </w:r>
    </w:p>
    <w:p w:rsidR="00302527" w:rsidRPr="007814E4" w:rsidRDefault="00302527" w:rsidP="006963B3">
      <w:pPr>
        <w:pStyle w:val="Odstavecseseznamem"/>
        <w:spacing w:line="240" w:lineRule="auto"/>
        <w:ind w:left="330"/>
        <w:jc w:val="both"/>
        <w:rPr>
          <w:rFonts w:asciiTheme="minorHAnsi" w:hAnsiTheme="minorHAnsi" w:cs="Arial"/>
          <w:sz w:val="24"/>
          <w:szCs w:val="24"/>
        </w:rPr>
      </w:pPr>
      <w:r w:rsidRPr="007814E4">
        <w:rPr>
          <w:rFonts w:asciiTheme="minorHAnsi" w:hAnsiTheme="minorHAnsi" w:cs="Arial"/>
          <w:sz w:val="24"/>
          <w:szCs w:val="24"/>
        </w:rPr>
        <w:t xml:space="preserve">ČPZP není zatížena splátkami úvěrů, ani neplánuje jejich přijetí v roce 2014. </w:t>
      </w:r>
    </w:p>
    <w:p w:rsidR="00302527" w:rsidRPr="007814E4" w:rsidRDefault="00302527" w:rsidP="00ED683A">
      <w:pPr>
        <w:pStyle w:val="Odstavecseseznamem"/>
        <w:numPr>
          <w:ilvl w:val="0"/>
          <w:numId w:val="30"/>
        </w:numPr>
        <w:spacing w:after="0" w:line="240" w:lineRule="auto"/>
        <w:ind w:left="330" w:hanging="330"/>
        <w:jc w:val="both"/>
        <w:rPr>
          <w:rFonts w:asciiTheme="minorHAnsi" w:hAnsiTheme="minorHAnsi" w:cs="Arial"/>
          <w:sz w:val="24"/>
          <w:szCs w:val="24"/>
        </w:rPr>
      </w:pPr>
      <w:r w:rsidRPr="007814E4">
        <w:rPr>
          <w:rFonts w:asciiTheme="minorHAnsi" w:hAnsiTheme="minorHAnsi" w:cs="Arial"/>
          <w:b/>
          <w:sz w:val="24"/>
          <w:szCs w:val="24"/>
        </w:rPr>
        <w:t xml:space="preserve">Ostatní zdaňovaná činnost </w:t>
      </w:r>
      <w:r w:rsidRPr="007814E4">
        <w:rPr>
          <w:rFonts w:asciiTheme="minorHAnsi" w:hAnsiTheme="minorHAnsi" w:cs="Arial"/>
          <w:sz w:val="24"/>
          <w:szCs w:val="24"/>
        </w:rPr>
        <w:t>představuje zejména pronájem nebytových</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prostor a zprostředkování komerčního pojištění na léčebné výlohy při cestách do zahraničí. Její výnosy jsou plánovány ve výši 6 000 tis. Kč (tj. meziroční nárůst o 7,7 %) a náklady ve výši 4 100 tis. Kč (tj. meziroční nárůst o 6,2 %). Odhadovaný hospodářský výsledek před zdaněním 1 900 tis. Kč tak meziročně stoupá o 11,1 %.</w:t>
      </w:r>
    </w:p>
    <w:p w:rsidR="00302527" w:rsidRPr="007814E4" w:rsidRDefault="00302527">
      <w:pPr>
        <w:pStyle w:val="Odstavecseseznamem"/>
        <w:numPr>
          <w:ilvl w:val="0"/>
          <w:numId w:val="30"/>
        </w:numPr>
        <w:spacing w:after="0" w:line="240" w:lineRule="auto"/>
        <w:ind w:left="330" w:hanging="330"/>
        <w:jc w:val="both"/>
        <w:rPr>
          <w:rFonts w:asciiTheme="minorHAnsi" w:hAnsiTheme="minorHAnsi" w:cs="Arial"/>
          <w:sz w:val="24"/>
          <w:szCs w:val="24"/>
        </w:rPr>
      </w:pPr>
      <w:r w:rsidRPr="007814E4">
        <w:rPr>
          <w:rFonts w:asciiTheme="minorHAnsi" w:hAnsiTheme="minorHAnsi" w:cs="Arial"/>
          <w:sz w:val="24"/>
          <w:szCs w:val="24"/>
        </w:rPr>
        <w:t xml:space="preserve"> </w:t>
      </w:r>
      <w:r w:rsidRPr="007814E4">
        <w:rPr>
          <w:rFonts w:asciiTheme="minorHAnsi" w:hAnsiTheme="minorHAnsi" w:cs="Arial"/>
          <w:b/>
          <w:sz w:val="24"/>
          <w:szCs w:val="24"/>
        </w:rPr>
        <w:t>Specifické informace</w:t>
      </w:r>
    </w:p>
    <w:p w:rsidR="00302527" w:rsidRPr="007814E4" w:rsidRDefault="007A04EF" w:rsidP="006963B3">
      <w:pPr>
        <w:pStyle w:val="Odstavecseseznamem"/>
        <w:spacing w:line="240" w:lineRule="auto"/>
        <w:ind w:left="440" w:firstLine="268"/>
        <w:jc w:val="both"/>
        <w:rPr>
          <w:rFonts w:asciiTheme="minorHAnsi" w:hAnsiTheme="minorHAnsi" w:cs="Arial"/>
          <w:sz w:val="24"/>
          <w:szCs w:val="24"/>
        </w:rPr>
      </w:pPr>
      <w:r>
        <w:rPr>
          <w:rFonts w:asciiTheme="minorHAnsi" w:hAnsiTheme="minorHAnsi" w:cs="Arial"/>
          <w:sz w:val="24"/>
          <w:szCs w:val="24"/>
        </w:rPr>
        <w:t xml:space="preserve">ČPZP (v té době </w:t>
      </w:r>
      <w:r w:rsidR="00302527" w:rsidRPr="007814E4">
        <w:rPr>
          <w:rFonts w:asciiTheme="minorHAnsi" w:hAnsiTheme="minorHAnsi" w:cs="Arial"/>
          <w:sz w:val="24"/>
          <w:szCs w:val="24"/>
        </w:rPr>
        <w:t>Hutnická zaměstnanecká pojišťovna</w:t>
      </w:r>
      <w:r>
        <w:rPr>
          <w:rFonts w:asciiTheme="minorHAnsi" w:hAnsiTheme="minorHAnsi" w:cs="Arial"/>
          <w:sz w:val="24"/>
          <w:szCs w:val="24"/>
        </w:rPr>
        <w:t>)</w:t>
      </w:r>
      <w:r w:rsidR="00302527" w:rsidRPr="007814E4">
        <w:rPr>
          <w:rFonts w:asciiTheme="minorHAnsi" w:hAnsiTheme="minorHAnsi" w:cs="Arial"/>
          <w:sz w:val="24"/>
          <w:szCs w:val="24"/>
        </w:rPr>
        <w:t xml:space="preserve"> v r</w:t>
      </w:r>
      <w:r w:rsidR="00302527">
        <w:rPr>
          <w:rFonts w:asciiTheme="minorHAnsi" w:hAnsiTheme="minorHAnsi" w:cs="Arial"/>
          <w:sz w:val="24"/>
          <w:szCs w:val="24"/>
        </w:rPr>
        <w:t xml:space="preserve">oce 1998 zřídila Nadační fond </w:t>
      </w:r>
      <w:r w:rsidR="00302527" w:rsidRPr="007814E4">
        <w:rPr>
          <w:rFonts w:asciiTheme="minorHAnsi" w:hAnsiTheme="minorHAnsi" w:cs="Arial"/>
          <w:sz w:val="24"/>
          <w:szCs w:val="24"/>
        </w:rPr>
        <w:t xml:space="preserve">prevence zdraví, který byl téhož roku zapsán do rejstříku nadací a nadačních fondů. Kromě vkladu při zřízení tohoto fondu pojišťovna žádnými dalšími finančními prostředky nepřispěla. </w:t>
      </w:r>
    </w:p>
    <w:p w:rsidR="00302527" w:rsidRDefault="00302527" w:rsidP="006963B3">
      <w:pPr>
        <w:pStyle w:val="Odstavecseseznamem"/>
        <w:spacing w:line="240" w:lineRule="auto"/>
        <w:ind w:left="440" w:firstLine="268"/>
        <w:jc w:val="both"/>
        <w:rPr>
          <w:rFonts w:asciiTheme="minorHAnsi" w:hAnsiTheme="minorHAnsi" w:cs="Arial"/>
          <w:sz w:val="24"/>
          <w:szCs w:val="24"/>
        </w:rPr>
      </w:pPr>
      <w:r w:rsidRPr="007814E4">
        <w:rPr>
          <w:rFonts w:asciiTheme="minorHAnsi" w:hAnsiTheme="minorHAnsi" w:cs="Arial"/>
          <w:sz w:val="24"/>
          <w:szCs w:val="24"/>
        </w:rPr>
        <w:t>Sloučením ČPZP se Zdravotní pojišťovnou Meta</w:t>
      </w:r>
      <w:r>
        <w:rPr>
          <w:rFonts w:asciiTheme="minorHAnsi" w:hAnsiTheme="minorHAnsi" w:cs="Arial"/>
          <w:sz w:val="24"/>
          <w:szCs w:val="24"/>
        </w:rPr>
        <w:t xml:space="preserve">l-Aliance ke dni 01. 10. 2012 </w:t>
      </w:r>
      <w:r w:rsidRPr="007814E4">
        <w:rPr>
          <w:rFonts w:asciiTheme="minorHAnsi" w:hAnsiTheme="minorHAnsi" w:cs="Arial"/>
          <w:sz w:val="24"/>
          <w:szCs w:val="24"/>
        </w:rPr>
        <w:t>byl ovlivněn i rok 2013, ve kterém ještě dochází k dokončování konsolidace. Současně v roce 2013 probíhají v ČPZP kontroly – veřejnosprávní (kontrolované období červenec 2007-2012) zahájena 7. 1. 2013 doposud neukončena a kontrola NKÚ (kontrolované období 2009-2012) zahájena 4. 6. 2013</w:t>
      </w:r>
      <w:r w:rsidR="00175364">
        <w:rPr>
          <w:rFonts w:asciiTheme="minorHAnsi" w:hAnsiTheme="minorHAnsi" w:cs="Arial"/>
          <w:sz w:val="24"/>
          <w:szCs w:val="24"/>
        </w:rPr>
        <w:t xml:space="preserve"> a ukončena v polovině února 2014. V současnosti probíhá vypořádání námitek ČPZP prot</w:t>
      </w:r>
      <w:bookmarkStart w:id="0" w:name="_GoBack"/>
      <w:bookmarkEnd w:id="0"/>
      <w:r w:rsidR="00175364">
        <w:rPr>
          <w:rFonts w:asciiTheme="minorHAnsi" w:hAnsiTheme="minorHAnsi" w:cs="Arial"/>
          <w:sz w:val="24"/>
          <w:szCs w:val="24"/>
        </w:rPr>
        <w:t xml:space="preserve">i kontrolním závěrům obsaženým v protokolu a závěrečnou zprávu proto zatím nemá Ministerstvo zdravotnictví k dispozici. </w:t>
      </w:r>
      <w:r w:rsidRPr="007814E4">
        <w:rPr>
          <w:rFonts w:asciiTheme="minorHAnsi" w:hAnsiTheme="minorHAnsi" w:cs="Arial"/>
          <w:sz w:val="24"/>
          <w:szCs w:val="24"/>
        </w:rPr>
        <w:t>ČPZP v roce 2014 plánuje zakoupení a následnou rekonstrukci vlastní nemovitosti v Praze, neboť 30.</w:t>
      </w:r>
      <w:r w:rsidR="00175364">
        <w:rPr>
          <w:rFonts w:asciiTheme="minorHAnsi" w:hAnsiTheme="minorHAnsi" w:cs="Arial"/>
          <w:sz w:val="24"/>
          <w:szCs w:val="24"/>
        </w:rPr>
        <w:t> </w:t>
      </w:r>
      <w:r w:rsidRPr="007814E4">
        <w:rPr>
          <w:rFonts w:asciiTheme="minorHAnsi" w:hAnsiTheme="minorHAnsi" w:cs="Arial"/>
          <w:sz w:val="24"/>
          <w:szCs w:val="24"/>
        </w:rPr>
        <w:t>5. 2015</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zde končí nájemní smlouva (pořízení vlastní nemovitosti bude ekonomičtější než pronájem).</w:t>
      </w:r>
      <w:r w:rsidRPr="007814E4">
        <w:rPr>
          <w:rFonts w:asciiTheme="minorHAnsi" w:hAnsiTheme="minorHAnsi"/>
          <w:sz w:val="24"/>
          <w:szCs w:val="24"/>
        </w:rPr>
        <w:t xml:space="preserve"> </w:t>
      </w:r>
      <w:r w:rsidR="007A04EF">
        <w:rPr>
          <w:rFonts w:asciiTheme="minorHAnsi" w:hAnsiTheme="minorHAnsi" w:cs="Arial"/>
          <w:sz w:val="24"/>
          <w:szCs w:val="24"/>
        </w:rPr>
        <w:t>ČPZP (v té době HZP)</w:t>
      </w:r>
      <w:r w:rsidRPr="007814E4">
        <w:rPr>
          <w:rFonts w:asciiTheme="minorHAnsi" w:hAnsiTheme="minorHAnsi" w:cs="Arial"/>
          <w:sz w:val="24"/>
          <w:szCs w:val="24"/>
        </w:rPr>
        <w:t xml:space="preserve"> prodejem cenných papírů včetně úroků z jejich vkladů získala finanční prostředky, které jsou dočasně umístěny ve FRM, neboť nepocházejí z veřejného zdravotního pojištění. Jejich celková částka ke dni </w:t>
      </w:r>
      <w:r w:rsidR="000E74F9">
        <w:rPr>
          <w:rFonts w:asciiTheme="minorHAnsi" w:hAnsiTheme="minorHAnsi" w:cs="Arial"/>
          <w:sz w:val="24"/>
          <w:szCs w:val="24"/>
        </w:rPr>
        <w:br/>
      </w:r>
      <w:r w:rsidRPr="007814E4">
        <w:rPr>
          <w:rFonts w:asciiTheme="minorHAnsi" w:hAnsiTheme="minorHAnsi" w:cs="Arial"/>
          <w:sz w:val="24"/>
          <w:szCs w:val="24"/>
        </w:rPr>
        <w:t>1. 1. 2013 činila 194 474 tis. Kč. Tyto prostředky ČPZP hodlá částečně využít k pořízení a následné rekonstrukci nemovitosti v Praze (cca 146 000 tis. Kč).</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Dále bude investovat do informačních systémů a technologií, které zefektivní její činnost.</w:t>
      </w:r>
      <w:r w:rsidRPr="007814E4">
        <w:rPr>
          <w:rFonts w:asciiTheme="minorHAnsi" w:hAnsiTheme="minorHAnsi" w:cs="Arial"/>
          <w:color w:val="FF0000"/>
          <w:sz w:val="24"/>
          <w:szCs w:val="24"/>
        </w:rPr>
        <w:t xml:space="preserve"> </w:t>
      </w:r>
      <w:r w:rsidRPr="007814E4">
        <w:rPr>
          <w:rFonts w:asciiTheme="minorHAnsi" w:hAnsiTheme="minorHAnsi" w:cs="Arial"/>
          <w:sz w:val="24"/>
          <w:szCs w:val="24"/>
        </w:rPr>
        <w:t xml:space="preserve">V roce 2014 ČPZP hodlá rozvíjet hlavně elektronickou komunikaci s pojištěnci (e-přepážky ČPZP, Portál ZP, webové stránky a Informační centrum ČPZP, rozvoj aplikace pro mobilní telefony). </w:t>
      </w:r>
    </w:p>
    <w:p w:rsidR="00302527" w:rsidRPr="007814E4" w:rsidRDefault="00302527" w:rsidP="00302527">
      <w:pPr>
        <w:pStyle w:val="Odstavecseseznamem"/>
        <w:spacing w:after="0"/>
        <w:ind w:left="440" w:firstLine="268"/>
        <w:jc w:val="both"/>
        <w:rPr>
          <w:rFonts w:asciiTheme="minorHAnsi" w:hAnsiTheme="minorHAnsi" w:cs="Arial"/>
          <w:color w:val="FF0000"/>
          <w:sz w:val="24"/>
          <w:szCs w:val="24"/>
        </w:rPr>
      </w:pPr>
    </w:p>
    <w:p w:rsidR="00302527" w:rsidRPr="005F1629" w:rsidRDefault="00302527" w:rsidP="00302527">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zdravotní</w:t>
      </w:r>
    </w:p>
    <w:p w:rsidR="00302527" w:rsidRDefault="00302527" w:rsidP="00302527">
      <w:pPr>
        <w:jc w:val="both"/>
        <w:rPr>
          <w:rFonts w:asciiTheme="minorHAnsi" w:hAnsiTheme="minorHAnsi" w:cs="Arial"/>
          <w:i/>
          <w:sz w:val="20"/>
          <w:szCs w:val="20"/>
        </w:rPr>
      </w:pPr>
      <w:r w:rsidRPr="005F1629">
        <w:rPr>
          <w:rFonts w:asciiTheme="minorHAnsi" w:hAnsiTheme="minorHAnsi" w:cs="Arial"/>
          <w:i/>
          <w:sz w:val="20"/>
          <w:szCs w:val="20"/>
        </w:rPr>
        <w:t>(použité číselné údaje jsou obsaženy v příloze, v tabulkách č. 4, 4a), 4b), 4c), příp. ve ZPP 2014</w:t>
      </w:r>
    </w:p>
    <w:p w:rsidR="00302527" w:rsidRPr="002B6E5A" w:rsidRDefault="00302527" w:rsidP="00302527">
      <w:pPr>
        <w:jc w:val="both"/>
        <w:rPr>
          <w:rFonts w:asciiTheme="minorHAnsi" w:hAnsiTheme="minorHAnsi" w:cs="Arial"/>
          <w:i/>
        </w:rPr>
      </w:pPr>
    </w:p>
    <w:p w:rsidR="00302527" w:rsidRDefault="00302527" w:rsidP="00DE0C41">
      <w:pPr>
        <w:pStyle w:val="Zkladntext210"/>
        <w:ind w:firstLine="426"/>
        <w:rPr>
          <w:rFonts w:asciiTheme="minorHAnsi" w:hAnsiTheme="minorHAnsi" w:cs="Arial"/>
          <w:szCs w:val="24"/>
        </w:rPr>
      </w:pPr>
      <w:r>
        <w:rPr>
          <w:rFonts w:asciiTheme="minorHAnsi" w:hAnsiTheme="minorHAnsi" w:cs="Arial"/>
          <w:szCs w:val="24"/>
        </w:rPr>
        <w:t xml:space="preserve">ČPZP je zdravotní pojišťovnou s celorepublikovou působností. </w:t>
      </w:r>
      <w:r w:rsidRPr="001D3F38">
        <w:rPr>
          <w:rFonts w:asciiTheme="minorHAnsi" w:hAnsiTheme="minorHAnsi" w:cs="Arial"/>
          <w:b/>
          <w:szCs w:val="24"/>
        </w:rPr>
        <w:t>Síť smluvních poskytovatelů</w:t>
      </w:r>
      <w:r>
        <w:rPr>
          <w:rFonts w:asciiTheme="minorHAnsi" w:hAnsiTheme="minorHAnsi" w:cs="Arial"/>
          <w:szCs w:val="24"/>
        </w:rPr>
        <w:t xml:space="preserve"> dle ČPZP dostatečně garantuje jejich dostupnost pro stávající pojištěnce ČPZP. V roce 2014 ČPZP předpokládá pouze minimální rozšíření</w:t>
      </w:r>
      <w:r w:rsidR="00ED683A">
        <w:rPr>
          <w:rFonts w:asciiTheme="minorHAnsi" w:hAnsiTheme="minorHAnsi" w:cs="Arial"/>
          <w:szCs w:val="24"/>
        </w:rPr>
        <w:t>,</w:t>
      </w:r>
      <w:r>
        <w:rPr>
          <w:rFonts w:asciiTheme="minorHAnsi" w:hAnsiTheme="minorHAnsi" w:cs="Arial"/>
          <w:szCs w:val="24"/>
        </w:rPr>
        <w:t xml:space="preserve"> a to v souladu </w:t>
      </w:r>
      <w:r w:rsidR="00F62F04">
        <w:rPr>
          <w:rFonts w:asciiTheme="minorHAnsi" w:hAnsiTheme="minorHAnsi" w:cs="Arial"/>
          <w:szCs w:val="24"/>
        </w:rPr>
        <w:br/>
      </w:r>
      <w:r>
        <w:rPr>
          <w:rFonts w:asciiTheme="minorHAnsi" w:hAnsiTheme="minorHAnsi" w:cs="Arial"/>
          <w:szCs w:val="24"/>
        </w:rPr>
        <w:t>se stanovenými parametry místní a časové dostupnosti, zejména v oborech všeobecné praktické lékařství, praktický lékař pro děti a dorost, klinická stomatologie a gynekologie.</w:t>
      </w:r>
    </w:p>
    <w:p w:rsidR="00302527" w:rsidRDefault="00302527" w:rsidP="00302527">
      <w:pPr>
        <w:pStyle w:val="Zkladntext210"/>
        <w:spacing w:before="120"/>
        <w:rPr>
          <w:rFonts w:asciiTheme="minorHAnsi" w:hAnsiTheme="minorHAnsi" w:cs="Arial"/>
          <w:szCs w:val="24"/>
        </w:rPr>
      </w:pPr>
      <w:r>
        <w:rPr>
          <w:rFonts w:asciiTheme="minorHAnsi" w:hAnsiTheme="minorHAnsi" w:cs="Arial"/>
          <w:szCs w:val="24"/>
        </w:rPr>
        <w:t xml:space="preserve">Z Tabulky č. 1 vyplývá, že u žádné kategorie nebude docházet k výrazným změnám </w:t>
      </w:r>
      <w:r w:rsidR="007A04EF">
        <w:rPr>
          <w:rFonts w:asciiTheme="minorHAnsi" w:hAnsiTheme="minorHAnsi" w:cs="Arial"/>
          <w:szCs w:val="24"/>
        </w:rPr>
        <w:br/>
      </w:r>
      <w:r>
        <w:rPr>
          <w:rFonts w:asciiTheme="minorHAnsi" w:hAnsiTheme="minorHAnsi" w:cs="Arial"/>
          <w:szCs w:val="24"/>
        </w:rPr>
        <w:t>v počtu smluvních poskytovatelů. Dojde pouze k mírnému navýšení u ambulantních specialistů, počet lůžkových smluvních poskytovatelů zůstane nezměněn.</w:t>
      </w:r>
    </w:p>
    <w:p w:rsidR="00ED683A" w:rsidRDefault="00ED683A" w:rsidP="00302527">
      <w:pPr>
        <w:pStyle w:val="Zkladntext210"/>
        <w:spacing w:before="120"/>
        <w:rPr>
          <w:rFonts w:asciiTheme="minorHAnsi" w:hAnsiTheme="minorHAnsi" w:cs="Arial"/>
          <w:szCs w:val="24"/>
        </w:rPr>
      </w:pPr>
    </w:p>
    <w:p w:rsidR="00ED683A" w:rsidRDefault="00ED683A" w:rsidP="00302527">
      <w:pPr>
        <w:pStyle w:val="Zkladntext210"/>
        <w:spacing w:before="120"/>
        <w:rPr>
          <w:rFonts w:asciiTheme="minorHAnsi" w:hAnsiTheme="minorHAnsi" w:cs="Arial"/>
          <w:szCs w:val="24"/>
        </w:rPr>
      </w:pPr>
    </w:p>
    <w:p w:rsidR="00DE0C41" w:rsidRPr="00A17C51" w:rsidRDefault="00DE0C41" w:rsidP="00302527">
      <w:pPr>
        <w:pStyle w:val="Zkladntext210"/>
        <w:spacing w:before="120"/>
        <w:rPr>
          <w:rFonts w:asciiTheme="minorHAnsi" w:hAnsiTheme="minorHAnsi" w:cs="Arial"/>
          <w:szCs w:val="24"/>
        </w:rPr>
      </w:pPr>
    </w:p>
    <w:p w:rsidR="00302527" w:rsidRPr="005F1629" w:rsidRDefault="00302527" w:rsidP="00302527">
      <w:pPr>
        <w:pStyle w:val="Zkladntext210"/>
        <w:spacing w:before="120"/>
        <w:rPr>
          <w:rFonts w:asciiTheme="minorHAnsi" w:hAnsiTheme="minorHAnsi" w:cs="Arial"/>
          <w:szCs w:val="24"/>
        </w:rPr>
      </w:pPr>
      <w:r w:rsidRPr="005F1629">
        <w:rPr>
          <w:rFonts w:asciiTheme="minorHAnsi" w:hAnsiTheme="minorHAnsi" w:cs="Arial"/>
          <w:szCs w:val="24"/>
        </w:rPr>
        <w:lastRenderedPageBreak/>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302527" w:rsidRPr="005F1629" w:rsidTr="00F20591">
        <w:tc>
          <w:tcPr>
            <w:tcW w:w="534" w:type="dxa"/>
            <w:shd w:val="solid" w:color="000080" w:fill="FFFFFF"/>
          </w:tcPr>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302527" w:rsidRPr="005F1629" w:rsidRDefault="00302527" w:rsidP="00F20591">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21 467</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21 641</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21 518</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22 119</w:t>
            </w:r>
          </w:p>
        </w:tc>
        <w:tc>
          <w:tcPr>
            <w:tcW w:w="1016" w:type="dxa"/>
            <w:shd w:val="clear" w:color="auto" w:fill="auto"/>
            <w:vAlign w:val="center"/>
          </w:tcPr>
          <w:p w:rsidR="00302527" w:rsidRPr="001D3F38" w:rsidRDefault="00302527" w:rsidP="00F20591">
            <w:pPr>
              <w:jc w:val="right"/>
              <w:rPr>
                <w:rFonts w:asciiTheme="minorHAnsi" w:hAnsiTheme="minorHAnsi"/>
                <w:i/>
                <w:iCs/>
                <w:color w:val="000000"/>
                <w:sz w:val="22"/>
                <w:szCs w:val="22"/>
              </w:rPr>
            </w:pPr>
            <w:r w:rsidRPr="001D3F38">
              <w:rPr>
                <w:rFonts w:asciiTheme="minorHAnsi" w:hAnsiTheme="minorHAnsi"/>
                <w:i/>
                <w:iCs/>
                <w:color w:val="000000"/>
                <w:sz w:val="22"/>
                <w:szCs w:val="22"/>
              </w:rPr>
              <w:t>22 111</w:t>
            </w:r>
          </w:p>
        </w:tc>
        <w:tc>
          <w:tcPr>
            <w:tcW w:w="1016" w:type="dxa"/>
            <w:shd w:val="clear" w:color="auto" w:fill="auto"/>
            <w:vAlign w:val="center"/>
          </w:tcPr>
          <w:p w:rsidR="00302527" w:rsidRPr="001D3F38" w:rsidRDefault="00302527" w:rsidP="00F20591">
            <w:pPr>
              <w:jc w:val="right"/>
              <w:rPr>
                <w:rFonts w:asciiTheme="minorHAnsi" w:hAnsiTheme="minorHAnsi"/>
                <w:i/>
                <w:iCs/>
                <w:color w:val="000000"/>
                <w:sz w:val="22"/>
                <w:szCs w:val="22"/>
              </w:rPr>
            </w:pPr>
            <w:r w:rsidRPr="001D3F38">
              <w:rPr>
                <w:rFonts w:asciiTheme="minorHAnsi" w:hAnsiTheme="minorHAnsi"/>
                <w:i/>
                <w:iCs/>
                <w:color w:val="000000"/>
                <w:sz w:val="22"/>
                <w:szCs w:val="22"/>
              </w:rPr>
              <w:t>22 288</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 </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 </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 </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 </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 </w:t>
            </w:r>
          </w:p>
        </w:tc>
        <w:tc>
          <w:tcPr>
            <w:tcW w:w="1016" w:type="dxa"/>
            <w:shd w:val="clear" w:color="auto" w:fill="auto"/>
            <w:vAlign w:val="center"/>
          </w:tcPr>
          <w:p w:rsidR="00302527" w:rsidRPr="001D3F38" w:rsidRDefault="00302527" w:rsidP="00F20591">
            <w:pPr>
              <w:jc w:val="right"/>
              <w:rPr>
                <w:rFonts w:asciiTheme="minorHAnsi" w:hAnsiTheme="minorHAnsi"/>
                <w:i/>
                <w:iCs/>
                <w:color w:val="000000"/>
                <w:sz w:val="22"/>
                <w:szCs w:val="22"/>
              </w:rPr>
            </w:pPr>
            <w:r w:rsidRPr="001D3F38">
              <w:rPr>
                <w:rFonts w:asciiTheme="minorHAnsi" w:hAnsiTheme="minorHAnsi"/>
                <w:i/>
                <w:iCs/>
                <w:color w:val="000000"/>
                <w:sz w:val="22"/>
                <w:szCs w:val="22"/>
              </w:rPr>
              <w:t> </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4 234</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4 287</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4 296</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4 335</w:t>
            </w:r>
          </w:p>
        </w:tc>
        <w:tc>
          <w:tcPr>
            <w:tcW w:w="1016" w:type="dxa"/>
            <w:shd w:val="clear" w:color="auto" w:fill="auto"/>
            <w:vAlign w:val="center"/>
          </w:tcPr>
          <w:p w:rsidR="00302527" w:rsidRPr="001D3F38" w:rsidRDefault="00302527" w:rsidP="00F20591">
            <w:pPr>
              <w:jc w:val="right"/>
              <w:rPr>
                <w:rFonts w:asciiTheme="minorHAnsi" w:hAnsiTheme="minorHAnsi"/>
                <w:i/>
                <w:iCs/>
                <w:color w:val="000000"/>
                <w:sz w:val="22"/>
                <w:szCs w:val="22"/>
              </w:rPr>
            </w:pPr>
            <w:r w:rsidRPr="001D3F38">
              <w:rPr>
                <w:rFonts w:asciiTheme="minorHAnsi" w:hAnsiTheme="minorHAnsi"/>
                <w:i/>
                <w:iCs/>
                <w:color w:val="000000"/>
                <w:sz w:val="22"/>
                <w:szCs w:val="22"/>
              </w:rPr>
              <w:t>4 346</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4 394</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1 898</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1 884</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1 873</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1 888</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1 898</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1 925</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5 335</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5 334</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5 315</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5 418</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5 412</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5 450</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10 000</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10 136</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10 034</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10 478</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10 455</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10 520</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276</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275</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277</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277</w:t>
            </w:r>
          </w:p>
        </w:tc>
        <w:tc>
          <w:tcPr>
            <w:tcW w:w="1016" w:type="dxa"/>
            <w:shd w:val="clear" w:color="auto" w:fill="auto"/>
            <w:vAlign w:val="center"/>
          </w:tcPr>
          <w:p w:rsidR="00302527" w:rsidRPr="001D3F38" w:rsidRDefault="00302527" w:rsidP="00F20591">
            <w:pPr>
              <w:jc w:val="right"/>
              <w:rPr>
                <w:rFonts w:asciiTheme="minorHAnsi" w:hAnsiTheme="minorHAnsi"/>
                <w:i/>
                <w:iCs/>
                <w:color w:val="000000"/>
                <w:sz w:val="22"/>
                <w:szCs w:val="22"/>
              </w:rPr>
            </w:pPr>
            <w:r w:rsidRPr="001D3F38">
              <w:rPr>
                <w:rFonts w:asciiTheme="minorHAnsi" w:hAnsiTheme="minorHAnsi"/>
                <w:i/>
                <w:iCs/>
                <w:color w:val="000000"/>
                <w:sz w:val="22"/>
                <w:szCs w:val="22"/>
              </w:rPr>
              <w:t>278</w:t>
            </w:r>
          </w:p>
        </w:tc>
        <w:tc>
          <w:tcPr>
            <w:tcW w:w="1016" w:type="dxa"/>
            <w:shd w:val="clear" w:color="auto" w:fill="auto"/>
            <w:vAlign w:val="center"/>
          </w:tcPr>
          <w:p w:rsidR="00302527" w:rsidRPr="001D3F38" w:rsidRDefault="00302527" w:rsidP="00F20591">
            <w:pPr>
              <w:jc w:val="right"/>
              <w:rPr>
                <w:rFonts w:asciiTheme="minorHAnsi" w:hAnsiTheme="minorHAnsi"/>
                <w:i/>
                <w:iCs/>
                <w:color w:val="000000"/>
                <w:sz w:val="22"/>
                <w:szCs w:val="22"/>
              </w:rPr>
            </w:pPr>
            <w:r w:rsidRPr="001D3F38">
              <w:rPr>
                <w:rFonts w:asciiTheme="minorHAnsi" w:hAnsiTheme="minorHAnsi"/>
                <w:i/>
                <w:iCs/>
                <w:color w:val="000000"/>
                <w:sz w:val="22"/>
                <w:szCs w:val="22"/>
              </w:rPr>
              <w:t>278</w:t>
            </w:r>
          </w:p>
        </w:tc>
      </w:tr>
      <w:tr w:rsidR="00302527" w:rsidRPr="005F1629" w:rsidTr="00F20591">
        <w:tc>
          <w:tcPr>
            <w:tcW w:w="534" w:type="dxa"/>
            <w:shd w:val="clear" w:color="auto" w:fill="auto"/>
          </w:tcPr>
          <w:p w:rsidR="00302527" w:rsidRPr="005F1629" w:rsidRDefault="00302527" w:rsidP="00F20591">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3 127</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3 101</w:t>
            </w:r>
          </w:p>
        </w:tc>
        <w:tc>
          <w:tcPr>
            <w:tcW w:w="1016" w:type="dxa"/>
            <w:shd w:val="clear" w:color="auto" w:fill="auto"/>
            <w:vAlign w:val="bottom"/>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3 104</w:t>
            </w:r>
          </w:p>
        </w:tc>
        <w:tc>
          <w:tcPr>
            <w:tcW w:w="1016" w:type="dxa"/>
            <w:shd w:val="clear" w:color="auto" w:fill="auto"/>
            <w:vAlign w:val="bottom"/>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3 213</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3 191</w:t>
            </w:r>
          </w:p>
        </w:tc>
        <w:tc>
          <w:tcPr>
            <w:tcW w:w="1016" w:type="dxa"/>
            <w:shd w:val="clear" w:color="auto" w:fill="auto"/>
            <w:vAlign w:val="center"/>
          </w:tcPr>
          <w:p w:rsidR="00302527" w:rsidRPr="001D3F38" w:rsidRDefault="00302527" w:rsidP="00F20591">
            <w:pPr>
              <w:jc w:val="right"/>
              <w:rPr>
                <w:rFonts w:asciiTheme="minorHAnsi" w:hAnsiTheme="minorHAnsi"/>
                <w:color w:val="000000"/>
                <w:sz w:val="22"/>
                <w:szCs w:val="22"/>
              </w:rPr>
            </w:pPr>
            <w:r w:rsidRPr="001D3F38">
              <w:rPr>
                <w:rFonts w:asciiTheme="minorHAnsi" w:hAnsiTheme="minorHAnsi"/>
                <w:color w:val="000000"/>
                <w:sz w:val="22"/>
                <w:szCs w:val="22"/>
              </w:rPr>
              <w:t>3 217</w:t>
            </w:r>
          </w:p>
        </w:tc>
      </w:tr>
      <w:tr w:rsidR="00302527" w:rsidRPr="005F1629" w:rsidTr="00F20591">
        <w:tc>
          <w:tcPr>
            <w:tcW w:w="534"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vAlign w:val="center"/>
          </w:tcPr>
          <w:p w:rsidR="00302527" w:rsidRPr="001D3F38" w:rsidRDefault="00302527" w:rsidP="00F20591">
            <w:pPr>
              <w:jc w:val="right"/>
              <w:rPr>
                <w:rFonts w:asciiTheme="minorHAnsi" w:hAnsiTheme="minorHAnsi"/>
                <w:b/>
                <w:bCs/>
                <w:color w:val="000000"/>
                <w:sz w:val="22"/>
                <w:szCs w:val="22"/>
              </w:rPr>
            </w:pPr>
            <w:r w:rsidRPr="001D3F38">
              <w:rPr>
                <w:rFonts w:asciiTheme="minorHAnsi" w:hAnsiTheme="minorHAnsi"/>
                <w:b/>
                <w:bCs/>
                <w:color w:val="000000"/>
                <w:sz w:val="22"/>
                <w:szCs w:val="22"/>
              </w:rPr>
              <w:t>24 870</w:t>
            </w:r>
          </w:p>
        </w:tc>
        <w:tc>
          <w:tcPr>
            <w:tcW w:w="1016" w:type="dxa"/>
            <w:shd w:val="clear" w:color="auto" w:fill="auto"/>
            <w:vAlign w:val="center"/>
          </w:tcPr>
          <w:p w:rsidR="00302527" w:rsidRPr="001D3F38" w:rsidRDefault="00302527" w:rsidP="00F20591">
            <w:pPr>
              <w:jc w:val="right"/>
              <w:rPr>
                <w:rFonts w:asciiTheme="minorHAnsi" w:hAnsiTheme="minorHAnsi"/>
                <w:b/>
                <w:bCs/>
                <w:color w:val="000000"/>
                <w:sz w:val="22"/>
                <w:szCs w:val="22"/>
              </w:rPr>
            </w:pPr>
            <w:r w:rsidRPr="001D3F38">
              <w:rPr>
                <w:rFonts w:asciiTheme="minorHAnsi" w:hAnsiTheme="minorHAnsi"/>
                <w:b/>
                <w:bCs/>
                <w:color w:val="000000"/>
                <w:sz w:val="22"/>
                <w:szCs w:val="22"/>
              </w:rPr>
              <w:t>25 017</w:t>
            </w:r>
          </w:p>
        </w:tc>
        <w:tc>
          <w:tcPr>
            <w:tcW w:w="1016" w:type="dxa"/>
            <w:shd w:val="clear" w:color="auto" w:fill="auto"/>
            <w:vAlign w:val="center"/>
          </w:tcPr>
          <w:p w:rsidR="00302527" w:rsidRPr="001D3F38" w:rsidRDefault="00302527" w:rsidP="00F20591">
            <w:pPr>
              <w:jc w:val="right"/>
              <w:rPr>
                <w:rFonts w:asciiTheme="minorHAnsi" w:hAnsiTheme="minorHAnsi"/>
                <w:b/>
                <w:bCs/>
                <w:color w:val="000000"/>
                <w:sz w:val="22"/>
                <w:szCs w:val="22"/>
              </w:rPr>
            </w:pPr>
            <w:r w:rsidRPr="001D3F38">
              <w:rPr>
                <w:rFonts w:asciiTheme="minorHAnsi" w:hAnsiTheme="minorHAnsi"/>
                <w:b/>
                <w:bCs/>
                <w:color w:val="000000"/>
                <w:sz w:val="22"/>
                <w:szCs w:val="22"/>
              </w:rPr>
              <w:t>24 899</w:t>
            </w:r>
          </w:p>
        </w:tc>
        <w:tc>
          <w:tcPr>
            <w:tcW w:w="1016" w:type="dxa"/>
            <w:shd w:val="clear" w:color="auto" w:fill="auto"/>
            <w:vAlign w:val="center"/>
          </w:tcPr>
          <w:p w:rsidR="00302527" w:rsidRPr="001D3F38" w:rsidRDefault="00302527" w:rsidP="00F20591">
            <w:pPr>
              <w:jc w:val="right"/>
              <w:rPr>
                <w:rFonts w:asciiTheme="minorHAnsi" w:hAnsiTheme="minorHAnsi"/>
                <w:b/>
                <w:bCs/>
                <w:color w:val="000000"/>
                <w:sz w:val="22"/>
                <w:szCs w:val="22"/>
              </w:rPr>
            </w:pPr>
            <w:r w:rsidRPr="001D3F38">
              <w:rPr>
                <w:rFonts w:asciiTheme="minorHAnsi" w:hAnsiTheme="minorHAnsi"/>
                <w:b/>
                <w:bCs/>
                <w:color w:val="000000"/>
                <w:sz w:val="22"/>
                <w:szCs w:val="22"/>
              </w:rPr>
              <w:t>25 609</w:t>
            </w:r>
          </w:p>
        </w:tc>
        <w:tc>
          <w:tcPr>
            <w:tcW w:w="1016" w:type="dxa"/>
            <w:shd w:val="clear" w:color="auto" w:fill="auto"/>
            <w:vAlign w:val="center"/>
          </w:tcPr>
          <w:p w:rsidR="00302527" w:rsidRPr="001D3F38" w:rsidRDefault="00302527" w:rsidP="00F20591">
            <w:pPr>
              <w:jc w:val="right"/>
              <w:rPr>
                <w:rFonts w:asciiTheme="minorHAnsi" w:hAnsiTheme="minorHAnsi"/>
                <w:b/>
                <w:bCs/>
                <w:color w:val="000000"/>
                <w:sz w:val="22"/>
                <w:szCs w:val="22"/>
              </w:rPr>
            </w:pPr>
            <w:r w:rsidRPr="001D3F38">
              <w:rPr>
                <w:rFonts w:asciiTheme="minorHAnsi" w:hAnsiTheme="minorHAnsi"/>
                <w:b/>
                <w:bCs/>
                <w:color w:val="000000"/>
                <w:sz w:val="22"/>
                <w:szCs w:val="22"/>
              </w:rPr>
              <w:t>25 580</w:t>
            </w:r>
          </w:p>
        </w:tc>
        <w:tc>
          <w:tcPr>
            <w:tcW w:w="1016" w:type="dxa"/>
            <w:shd w:val="clear" w:color="auto" w:fill="auto"/>
            <w:vAlign w:val="center"/>
          </w:tcPr>
          <w:p w:rsidR="00302527" w:rsidRPr="001D3F38" w:rsidRDefault="00302527" w:rsidP="00F20591">
            <w:pPr>
              <w:jc w:val="right"/>
              <w:rPr>
                <w:rFonts w:asciiTheme="minorHAnsi" w:hAnsiTheme="minorHAnsi"/>
                <w:b/>
                <w:bCs/>
                <w:color w:val="000000"/>
                <w:sz w:val="22"/>
                <w:szCs w:val="22"/>
              </w:rPr>
            </w:pPr>
            <w:r w:rsidRPr="001D3F38">
              <w:rPr>
                <w:rFonts w:asciiTheme="minorHAnsi" w:hAnsiTheme="minorHAnsi"/>
                <w:b/>
                <w:bCs/>
                <w:color w:val="000000"/>
                <w:sz w:val="22"/>
                <w:szCs w:val="22"/>
              </w:rPr>
              <w:t>25 783</w:t>
            </w:r>
          </w:p>
        </w:tc>
      </w:tr>
    </w:tbl>
    <w:p w:rsidR="00302527" w:rsidRDefault="00302527" w:rsidP="00302527">
      <w:pPr>
        <w:spacing w:after="120"/>
        <w:jc w:val="both"/>
        <w:rPr>
          <w:rFonts w:asciiTheme="minorHAnsi" w:hAnsiTheme="minorHAnsi" w:cs="Arial"/>
          <w:b/>
        </w:rPr>
      </w:pPr>
    </w:p>
    <w:p w:rsidR="00302527" w:rsidRPr="008477CF" w:rsidRDefault="00302527" w:rsidP="00DE0C41">
      <w:pPr>
        <w:spacing w:after="120"/>
        <w:ind w:firstLine="426"/>
        <w:jc w:val="both"/>
        <w:rPr>
          <w:rFonts w:asciiTheme="minorHAnsi" w:hAnsiTheme="minorHAnsi" w:cs="Arial"/>
        </w:rPr>
      </w:pPr>
      <w:r w:rsidRPr="008477CF">
        <w:rPr>
          <w:rFonts w:asciiTheme="minorHAnsi" w:hAnsiTheme="minorHAnsi" w:cs="Arial"/>
        </w:rPr>
        <w:t>ČPZP</w:t>
      </w:r>
      <w:r>
        <w:rPr>
          <w:rFonts w:asciiTheme="minorHAnsi" w:hAnsiTheme="minorHAnsi" w:cs="Arial"/>
        </w:rPr>
        <w:t xml:space="preserve"> v roce 2013 zpracovala novou střednědobou koncepci </w:t>
      </w:r>
      <w:r w:rsidRPr="008477CF">
        <w:rPr>
          <w:rFonts w:asciiTheme="minorHAnsi" w:hAnsiTheme="minorHAnsi" w:cs="Arial"/>
          <w:b/>
        </w:rPr>
        <w:t>revizní činnosti</w:t>
      </w:r>
      <w:r>
        <w:rPr>
          <w:rFonts w:asciiTheme="minorHAnsi" w:hAnsiTheme="minorHAnsi" w:cs="Arial"/>
        </w:rPr>
        <w:t xml:space="preserve">, která klade důraz zejména na zapracování modulu prerevize do standardního zpracování vyúčtování zdravotních služeb ještě před splatností příslušné faktury a na rozvoj </w:t>
      </w:r>
      <w:r w:rsidRPr="008477CF">
        <w:rPr>
          <w:rFonts w:asciiTheme="minorHAnsi" w:hAnsiTheme="minorHAnsi" w:cs="Arial"/>
        </w:rPr>
        <w:t>uživatelsky přívětivého a zároveň jednoduše administrativně zvládnutelného systému sledování a provádění postrevizí a fyzických kontrol v sídle poskytovatelů zdravotních služeb.</w:t>
      </w:r>
      <w:r>
        <w:rPr>
          <w:rFonts w:asciiTheme="minorHAnsi" w:hAnsiTheme="minorHAnsi" w:cs="Arial"/>
        </w:rPr>
        <w:t xml:space="preserve"> </w:t>
      </w:r>
      <w:r w:rsidRPr="008477CF">
        <w:rPr>
          <w:rFonts w:asciiTheme="minorHAnsi" w:hAnsiTheme="minorHAnsi" w:cs="Arial"/>
        </w:rPr>
        <w:t xml:space="preserve">ČPZP bude </w:t>
      </w:r>
      <w:r>
        <w:rPr>
          <w:rFonts w:asciiTheme="minorHAnsi" w:hAnsiTheme="minorHAnsi" w:cs="Arial"/>
        </w:rPr>
        <w:t xml:space="preserve">také </w:t>
      </w:r>
      <w:r w:rsidRPr="008477CF">
        <w:rPr>
          <w:rFonts w:asciiTheme="minorHAnsi" w:hAnsiTheme="minorHAnsi" w:cs="Arial"/>
        </w:rPr>
        <w:t>věnovat zvýšenou pozornost hodnocení zdravotních služeb pomocí kontrol DRG.</w:t>
      </w:r>
    </w:p>
    <w:p w:rsidR="00302527" w:rsidRDefault="00302527" w:rsidP="00DE0C41">
      <w:pPr>
        <w:ind w:firstLine="426"/>
        <w:jc w:val="both"/>
        <w:rPr>
          <w:rFonts w:asciiTheme="minorHAnsi" w:hAnsiTheme="minorHAnsi" w:cs="Arial"/>
        </w:rPr>
      </w:pPr>
      <w:r w:rsidRPr="00C55B99">
        <w:rPr>
          <w:rFonts w:asciiTheme="minorHAnsi" w:hAnsiTheme="minorHAnsi" w:cs="Arial"/>
          <w:b/>
        </w:rPr>
        <w:t>Celkové náklady na zdravotní služby</w:t>
      </w:r>
      <w:r>
        <w:rPr>
          <w:rFonts w:asciiTheme="minorHAnsi" w:hAnsiTheme="minorHAnsi" w:cs="Arial"/>
        </w:rPr>
        <w:t xml:space="preserve"> čerpané ze ZFZP plánuje ČPZP ve výši </w:t>
      </w:r>
      <w:r w:rsidR="007A04EF">
        <w:rPr>
          <w:rFonts w:asciiTheme="minorHAnsi" w:hAnsiTheme="minorHAnsi" w:cs="Arial"/>
        </w:rPr>
        <w:br/>
      </w:r>
      <w:r>
        <w:rPr>
          <w:rFonts w:asciiTheme="minorHAnsi" w:hAnsiTheme="minorHAnsi" w:cs="Arial"/>
        </w:rPr>
        <w:t xml:space="preserve">23 895 mil. Kč, což představuje meziroční nárůst o 9,89 % oproti očekávané skutečnosti roku 2013 (Tabulka č. 2 a 3). </w:t>
      </w:r>
      <w:r w:rsidRPr="008A1AAD">
        <w:rPr>
          <w:rFonts w:asciiTheme="minorHAnsi" w:hAnsiTheme="minorHAnsi" w:cs="Arial"/>
          <w:b/>
        </w:rPr>
        <w:t>Průměrné náklady</w:t>
      </w:r>
      <w:r>
        <w:rPr>
          <w:rFonts w:asciiTheme="minorHAnsi" w:hAnsiTheme="minorHAnsi" w:cs="Arial"/>
        </w:rPr>
        <w:t xml:space="preserve"> na zdravotní služby na 1 pojištěnce jsou plánovány ve výši 19 888 Kč, což v meziročním porovnání znamená nárůst o 8,5 %. Pro rok 2014 jsou plánovány nejvyšší průměrné náklady na pojištěnce posledních několika let, což lze vidět v Grafu č. 1 či v Tabulce č. 4.</w:t>
      </w:r>
    </w:p>
    <w:p w:rsidR="00302527" w:rsidRDefault="00302527" w:rsidP="00DE0C41">
      <w:pPr>
        <w:ind w:firstLine="426"/>
        <w:jc w:val="both"/>
        <w:rPr>
          <w:rFonts w:asciiTheme="minorHAnsi" w:hAnsiTheme="minorHAnsi" w:cs="Arial"/>
        </w:rPr>
      </w:pPr>
      <w:r>
        <w:rPr>
          <w:rFonts w:asciiTheme="minorHAnsi" w:hAnsiTheme="minorHAnsi" w:cs="Arial"/>
        </w:rPr>
        <w:t xml:space="preserve">Tento nárůst je dán zejména nárůstem v objemově největším segmentu, segmentu </w:t>
      </w:r>
      <w:r w:rsidRPr="00C65526">
        <w:rPr>
          <w:rFonts w:asciiTheme="minorHAnsi" w:hAnsiTheme="minorHAnsi" w:cs="Arial"/>
          <w:b/>
        </w:rPr>
        <w:t>lůžkové péče</w:t>
      </w:r>
      <w:r>
        <w:rPr>
          <w:rFonts w:asciiTheme="minorHAnsi" w:hAnsiTheme="minorHAnsi" w:cs="Arial"/>
        </w:rPr>
        <w:t xml:space="preserve">, kde ČPZP plánuje nárůst o 15,1 % na 11 904 mil. Kč. V segmentu </w:t>
      </w:r>
      <w:r w:rsidRPr="00C65526">
        <w:rPr>
          <w:rFonts w:asciiTheme="minorHAnsi" w:hAnsiTheme="minorHAnsi" w:cs="Arial"/>
          <w:b/>
        </w:rPr>
        <w:t>ambulantní péče</w:t>
      </w:r>
      <w:r>
        <w:rPr>
          <w:rFonts w:asciiTheme="minorHAnsi" w:hAnsiTheme="minorHAnsi" w:cs="Arial"/>
        </w:rPr>
        <w:t xml:space="preserve"> ČPZP plánuje mírné navýšení nákladů celkem o 5,4 % (Graf č. 2).</w:t>
      </w:r>
    </w:p>
    <w:p w:rsidR="00302527" w:rsidRDefault="00302527" w:rsidP="00302527">
      <w:pPr>
        <w:spacing w:after="120"/>
        <w:jc w:val="both"/>
        <w:rPr>
          <w:rFonts w:asciiTheme="minorHAnsi" w:hAnsiTheme="minorHAnsi" w:cs="Arial"/>
          <w:b/>
        </w:rPr>
      </w:pPr>
    </w:p>
    <w:p w:rsidR="00302527" w:rsidRPr="005F1629" w:rsidRDefault="00302527" w:rsidP="00302527">
      <w:pPr>
        <w:jc w:val="both"/>
        <w:rPr>
          <w:rFonts w:asciiTheme="minorHAnsi" w:hAnsiTheme="minorHAnsi" w:cs="Arial"/>
        </w:rPr>
      </w:pPr>
      <w:r w:rsidRPr="005F1629">
        <w:rPr>
          <w:rFonts w:asciiTheme="minorHAnsi" w:hAnsiTheme="minorHAnsi" w:cs="Arial"/>
        </w:rPr>
        <w:t>Tabulka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302527" w:rsidRPr="005F1629" w:rsidTr="00F20591">
        <w:tc>
          <w:tcPr>
            <w:tcW w:w="1951" w:type="dxa"/>
            <w:shd w:val="solid" w:color="000080" w:fill="FFFFFF"/>
          </w:tcPr>
          <w:p w:rsidR="00302527" w:rsidRPr="005F1629" w:rsidRDefault="00302527" w:rsidP="00F20591">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2 485</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3 965</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4 222</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4 882</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6 631</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6 987</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3 988</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6 458</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6 448</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7 565</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10 341</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11 904</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1 911</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2 858</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2 939</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3 556</w:t>
            </w:r>
          </w:p>
        </w:tc>
        <w:tc>
          <w:tcPr>
            <w:tcW w:w="1228"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4 773</w:t>
            </w:r>
          </w:p>
        </w:tc>
        <w:tc>
          <w:tcPr>
            <w:tcW w:w="1229" w:type="dxa"/>
            <w:shd w:val="clear" w:color="auto" w:fill="auto"/>
            <w:vAlign w:val="bottom"/>
          </w:tcPr>
          <w:p w:rsidR="00302527" w:rsidRDefault="00302527" w:rsidP="00F20591">
            <w:pPr>
              <w:jc w:val="right"/>
              <w:rPr>
                <w:rFonts w:ascii="Calibri" w:hAnsi="Calibri"/>
                <w:color w:val="000000"/>
                <w:sz w:val="22"/>
                <w:szCs w:val="22"/>
              </w:rPr>
            </w:pPr>
            <w:r>
              <w:rPr>
                <w:rFonts w:ascii="Calibri" w:hAnsi="Calibri"/>
                <w:color w:val="000000"/>
                <w:sz w:val="22"/>
                <w:szCs w:val="22"/>
              </w:rPr>
              <w:t>5 004</w:t>
            </w:r>
          </w:p>
        </w:tc>
      </w:tr>
      <w:tr w:rsidR="00302527" w:rsidRPr="005F1629" w:rsidTr="00F20591">
        <w:tc>
          <w:tcPr>
            <w:tcW w:w="1951"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302527" w:rsidRPr="00464348" w:rsidRDefault="00302527" w:rsidP="00F20591">
            <w:pPr>
              <w:jc w:val="right"/>
              <w:rPr>
                <w:rFonts w:ascii="Calibri" w:hAnsi="Calibri"/>
                <w:b/>
                <w:color w:val="000000"/>
                <w:sz w:val="22"/>
                <w:szCs w:val="22"/>
              </w:rPr>
            </w:pPr>
            <w:r w:rsidRPr="00464348">
              <w:rPr>
                <w:rFonts w:ascii="Calibri" w:hAnsi="Calibri"/>
                <w:b/>
                <w:color w:val="000000"/>
                <w:sz w:val="22"/>
                <w:szCs w:val="22"/>
              </w:rPr>
              <w:t>8 384</w:t>
            </w:r>
          </w:p>
        </w:tc>
        <w:tc>
          <w:tcPr>
            <w:tcW w:w="1229" w:type="dxa"/>
            <w:shd w:val="clear" w:color="auto" w:fill="auto"/>
            <w:vAlign w:val="bottom"/>
          </w:tcPr>
          <w:p w:rsidR="00302527" w:rsidRPr="00464348" w:rsidRDefault="00302527" w:rsidP="00F20591">
            <w:pPr>
              <w:jc w:val="right"/>
              <w:rPr>
                <w:rFonts w:ascii="Calibri" w:hAnsi="Calibri"/>
                <w:b/>
                <w:color w:val="000000"/>
                <w:sz w:val="22"/>
                <w:szCs w:val="22"/>
              </w:rPr>
            </w:pPr>
            <w:r w:rsidRPr="00464348">
              <w:rPr>
                <w:rFonts w:ascii="Calibri" w:hAnsi="Calibri"/>
                <w:b/>
                <w:color w:val="000000"/>
                <w:sz w:val="22"/>
                <w:szCs w:val="22"/>
              </w:rPr>
              <w:t>13 281</w:t>
            </w:r>
          </w:p>
        </w:tc>
        <w:tc>
          <w:tcPr>
            <w:tcW w:w="1228" w:type="dxa"/>
            <w:shd w:val="clear" w:color="auto" w:fill="auto"/>
            <w:vAlign w:val="bottom"/>
          </w:tcPr>
          <w:p w:rsidR="00302527" w:rsidRPr="00464348" w:rsidRDefault="00302527" w:rsidP="00F20591">
            <w:pPr>
              <w:jc w:val="right"/>
              <w:rPr>
                <w:rFonts w:ascii="Calibri" w:hAnsi="Calibri"/>
                <w:b/>
                <w:color w:val="000000"/>
                <w:sz w:val="22"/>
                <w:szCs w:val="22"/>
              </w:rPr>
            </w:pPr>
            <w:r w:rsidRPr="00464348">
              <w:rPr>
                <w:rFonts w:ascii="Calibri" w:hAnsi="Calibri"/>
                <w:b/>
                <w:color w:val="000000"/>
                <w:sz w:val="22"/>
                <w:szCs w:val="22"/>
              </w:rPr>
              <w:t>13 609</w:t>
            </w:r>
          </w:p>
        </w:tc>
        <w:tc>
          <w:tcPr>
            <w:tcW w:w="1229" w:type="dxa"/>
            <w:shd w:val="clear" w:color="auto" w:fill="auto"/>
            <w:vAlign w:val="bottom"/>
          </w:tcPr>
          <w:p w:rsidR="00302527" w:rsidRPr="00464348" w:rsidRDefault="00302527" w:rsidP="00F20591">
            <w:pPr>
              <w:jc w:val="right"/>
              <w:rPr>
                <w:rFonts w:ascii="Calibri" w:hAnsi="Calibri"/>
                <w:b/>
                <w:color w:val="000000"/>
                <w:sz w:val="22"/>
                <w:szCs w:val="22"/>
              </w:rPr>
            </w:pPr>
            <w:r w:rsidRPr="00464348">
              <w:rPr>
                <w:rFonts w:ascii="Calibri" w:hAnsi="Calibri"/>
                <w:b/>
                <w:color w:val="000000"/>
                <w:sz w:val="22"/>
                <w:szCs w:val="22"/>
              </w:rPr>
              <w:t>16 002</w:t>
            </w:r>
          </w:p>
        </w:tc>
        <w:tc>
          <w:tcPr>
            <w:tcW w:w="1228" w:type="dxa"/>
            <w:shd w:val="clear" w:color="auto" w:fill="auto"/>
            <w:vAlign w:val="bottom"/>
          </w:tcPr>
          <w:p w:rsidR="00302527" w:rsidRPr="00464348" w:rsidRDefault="00302527" w:rsidP="00F20591">
            <w:pPr>
              <w:jc w:val="right"/>
              <w:rPr>
                <w:rFonts w:ascii="Calibri" w:hAnsi="Calibri"/>
                <w:b/>
                <w:color w:val="000000"/>
                <w:sz w:val="22"/>
                <w:szCs w:val="22"/>
              </w:rPr>
            </w:pPr>
            <w:r w:rsidRPr="00464348">
              <w:rPr>
                <w:rFonts w:ascii="Calibri" w:hAnsi="Calibri"/>
                <w:b/>
                <w:color w:val="000000"/>
                <w:sz w:val="22"/>
                <w:szCs w:val="22"/>
              </w:rPr>
              <w:t>21 745</w:t>
            </w:r>
          </w:p>
        </w:tc>
        <w:tc>
          <w:tcPr>
            <w:tcW w:w="1229" w:type="dxa"/>
            <w:shd w:val="clear" w:color="auto" w:fill="auto"/>
            <w:vAlign w:val="bottom"/>
          </w:tcPr>
          <w:p w:rsidR="00302527" w:rsidRPr="00464348" w:rsidRDefault="00302527" w:rsidP="00F20591">
            <w:pPr>
              <w:jc w:val="right"/>
              <w:rPr>
                <w:rFonts w:ascii="Calibri" w:hAnsi="Calibri"/>
                <w:b/>
                <w:color w:val="000000"/>
                <w:sz w:val="22"/>
                <w:szCs w:val="22"/>
              </w:rPr>
            </w:pPr>
            <w:r w:rsidRPr="00464348">
              <w:rPr>
                <w:rFonts w:ascii="Calibri" w:hAnsi="Calibri"/>
                <w:b/>
                <w:color w:val="000000"/>
                <w:sz w:val="22"/>
                <w:szCs w:val="22"/>
              </w:rPr>
              <w:t>23 895</w:t>
            </w:r>
          </w:p>
        </w:tc>
      </w:tr>
    </w:tbl>
    <w:p w:rsidR="004872B2" w:rsidRDefault="004872B2" w:rsidP="000E74F9">
      <w:pPr>
        <w:spacing w:before="240"/>
        <w:jc w:val="both"/>
        <w:rPr>
          <w:rFonts w:asciiTheme="minorHAnsi" w:hAnsiTheme="minorHAnsi" w:cs="Arial"/>
        </w:rPr>
      </w:pPr>
    </w:p>
    <w:p w:rsidR="004872B2" w:rsidRDefault="004872B2" w:rsidP="000E74F9">
      <w:pPr>
        <w:spacing w:before="240"/>
        <w:jc w:val="both"/>
        <w:rPr>
          <w:rFonts w:asciiTheme="minorHAnsi" w:hAnsiTheme="minorHAnsi" w:cs="Arial"/>
        </w:rPr>
      </w:pPr>
    </w:p>
    <w:p w:rsidR="00302527" w:rsidRPr="005F1629" w:rsidRDefault="00302527" w:rsidP="000E74F9">
      <w:pPr>
        <w:spacing w:before="240"/>
        <w:jc w:val="both"/>
        <w:rPr>
          <w:rFonts w:asciiTheme="minorHAnsi" w:hAnsiTheme="minorHAnsi" w:cs="Arial"/>
        </w:rPr>
      </w:pPr>
      <w:r w:rsidRPr="005F1629">
        <w:rPr>
          <w:rFonts w:asciiTheme="minorHAnsi" w:hAnsiTheme="minorHAnsi" w:cs="Arial"/>
        </w:rPr>
        <w:lastRenderedPageBreak/>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302527" w:rsidRPr="005F1629" w:rsidTr="00F20591">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302527" w:rsidRPr="005F1629" w:rsidTr="007C5D12">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159,53</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106,49</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115,62</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135,84</w:t>
            </w:r>
          </w:p>
        </w:tc>
        <w:tc>
          <w:tcPr>
            <w:tcW w:w="1647"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105,37</w:t>
            </w:r>
          </w:p>
        </w:tc>
      </w:tr>
      <w:tr w:rsidR="00302527" w:rsidRPr="005F1629" w:rsidTr="007C5D12">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161,94</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99,84</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117,32</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136,71</w:t>
            </w:r>
          </w:p>
        </w:tc>
        <w:tc>
          <w:tcPr>
            <w:tcW w:w="1647"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115,11</w:t>
            </w:r>
          </w:p>
        </w:tc>
      </w:tr>
      <w:tr w:rsidR="00302527" w:rsidRPr="005F1629" w:rsidTr="007C5D12">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149,56</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102,86</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120,97</w:t>
            </w:r>
          </w:p>
        </w:tc>
        <w:tc>
          <w:tcPr>
            <w:tcW w:w="153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134,22</w:t>
            </w:r>
          </w:p>
        </w:tc>
        <w:tc>
          <w:tcPr>
            <w:tcW w:w="1647"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104,85</w:t>
            </w:r>
          </w:p>
        </w:tc>
      </w:tr>
      <w:tr w:rsidR="00302527" w:rsidRPr="005F1629" w:rsidTr="007C5D12">
        <w:tc>
          <w:tcPr>
            <w:tcW w:w="1535"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158,40</w:t>
            </w:r>
          </w:p>
        </w:tc>
        <w:tc>
          <w:tcPr>
            <w:tcW w:w="1535"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102,48</w:t>
            </w:r>
          </w:p>
        </w:tc>
        <w:tc>
          <w:tcPr>
            <w:tcW w:w="1535"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117,58</w:t>
            </w:r>
          </w:p>
        </w:tc>
        <w:tc>
          <w:tcPr>
            <w:tcW w:w="1535"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135,89</w:t>
            </w:r>
          </w:p>
        </w:tc>
        <w:tc>
          <w:tcPr>
            <w:tcW w:w="1647"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109,89</w:t>
            </w:r>
          </w:p>
        </w:tc>
      </w:tr>
    </w:tbl>
    <w:p w:rsidR="00302527" w:rsidRPr="005F1629" w:rsidRDefault="00302527" w:rsidP="00302527">
      <w:pPr>
        <w:jc w:val="both"/>
        <w:rPr>
          <w:rFonts w:asciiTheme="minorHAnsi" w:hAnsiTheme="minorHAnsi" w:cs="Arial"/>
        </w:rPr>
      </w:pPr>
    </w:p>
    <w:p w:rsidR="00302527" w:rsidRPr="005F1629" w:rsidRDefault="00302527" w:rsidP="00302527">
      <w:pPr>
        <w:jc w:val="both"/>
        <w:rPr>
          <w:rFonts w:asciiTheme="minorHAnsi" w:hAnsiTheme="minorHAnsi" w:cs="Arial"/>
        </w:rPr>
      </w:pPr>
      <w:r w:rsidRPr="005F1629">
        <w:rPr>
          <w:rFonts w:asciiTheme="minorHAnsi" w:hAnsiTheme="minorHAnsi" w:cs="Arial"/>
        </w:rPr>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302527" w:rsidRPr="005F1629" w:rsidTr="00F20591">
        <w:tc>
          <w:tcPr>
            <w:tcW w:w="1809" w:type="dxa"/>
            <w:shd w:val="solid" w:color="000080" w:fill="FFFFFF"/>
          </w:tcPr>
          <w:p w:rsidR="00302527" w:rsidRPr="005F1629" w:rsidRDefault="00302527" w:rsidP="00F20591">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6963B3">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center"/>
          </w:tcPr>
          <w:p w:rsidR="00302527" w:rsidRDefault="00302527" w:rsidP="006963B3">
            <w:pPr>
              <w:jc w:val="right"/>
              <w:rPr>
                <w:rFonts w:ascii="Calibri" w:hAnsi="Calibri"/>
                <w:color w:val="000000"/>
                <w:sz w:val="22"/>
                <w:szCs w:val="22"/>
              </w:rPr>
            </w:pPr>
            <w:r>
              <w:rPr>
                <w:rFonts w:ascii="Calibri" w:hAnsi="Calibri"/>
                <w:color w:val="000000"/>
                <w:sz w:val="22"/>
                <w:szCs w:val="22"/>
              </w:rPr>
              <w:t>5 306</w:t>
            </w:r>
          </w:p>
        </w:tc>
        <w:tc>
          <w:tcPr>
            <w:tcW w:w="1276" w:type="dxa"/>
            <w:shd w:val="clear" w:color="auto" w:fill="auto"/>
            <w:vAlign w:val="center"/>
          </w:tcPr>
          <w:p w:rsidR="00302527" w:rsidRDefault="00302527" w:rsidP="006963B3">
            <w:pPr>
              <w:jc w:val="right"/>
              <w:rPr>
                <w:rFonts w:ascii="Calibri" w:hAnsi="Calibri"/>
                <w:color w:val="000000"/>
                <w:sz w:val="22"/>
                <w:szCs w:val="22"/>
              </w:rPr>
            </w:pPr>
            <w:r>
              <w:rPr>
                <w:rFonts w:ascii="Calibri" w:hAnsi="Calibri"/>
                <w:color w:val="000000"/>
                <w:sz w:val="22"/>
                <w:szCs w:val="22"/>
              </w:rPr>
              <w:t>5 552</w:t>
            </w:r>
          </w:p>
        </w:tc>
        <w:tc>
          <w:tcPr>
            <w:tcW w:w="1276" w:type="dxa"/>
            <w:shd w:val="clear" w:color="auto" w:fill="auto"/>
            <w:vAlign w:val="center"/>
          </w:tcPr>
          <w:p w:rsidR="00302527" w:rsidRDefault="00302527" w:rsidP="006963B3">
            <w:pPr>
              <w:jc w:val="right"/>
              <w:rPr>
                <w:rFonts w:ascii="Calibri" w:hAnsi="Calibri"/>
                <w:color w:val="000000"/>
                <w:sz w:val="22"/>
                <w:szCs w:val="22"/>
              </w:rPr>
            </w:pPr>
            <w:r>
              <w:rPr>
                <w:rFonts w:ascii="Calibri" w:hAnsi="Calibri"/>
                <w:color w:val="000000"/>
                <w:sz w:val="22"/>
                <w:szCs w:val="22"/>
              </w:rPr>
              <w:t>5 842</w:t>
            </w:r>
          </w:p>
        </w:tc>
        <w:tc>
          <w:tcPr>
            <w:tcW w:w="1275" w:type="dxa"/>
            <w:shd w:val="clear" w:color="auto" w:fill="auto"/>
            <w:vAlign w:val="center"/>
          </w:tcPr>
          <w:p w:rsidR="00302527" w:rsidRDefault="00302527" w:rsidP="006963B3">
            <w:pPr>
              <w:jc w:val="right"/>
              <w:rPr>
                <w:rFonts w:ascii="Calibri" w:hAnsi="Calibri"/>
                <w:color w:val="000000"/>
                <w:sz w:val="22"/>
                <w:szCs w:val="22"/>
              </w:rPr>
            </w:pPr>
            <w:r>
              <w:rPr>
                <w:rFonts w:ascii="Calibri" w:hAnsi="Calibri"/>
                <w:color w:val="000000"/>
                <w:sz w:val="22"/>
                <w:szCs w:val="22"/>
              </w:rPr>
              <w:t>5 772</w:t>
            </w:r>
          </w:p>
        </w:tc>
        <w:tc>
          <w:tcPr>
            <w:tcW w:w="1276" w:type="dxa"/>
            <w:shd w:val="clear" w:color="auto" w:fill="auto"/>
            <w:vAlign w:val="center"/>
          </w:tcPr>
          <w:p w:rsidR="00302527" w:rsidRDefault="00302527" w:rsidP="006963B3">
            <w:pPr>
              <w:jc w:val="right"/>
              <w:rPr>
                <w:rFonts w:ascii="Calibri" w:hAnsi="Calibri"/>
                <w:color w:val="000000"/>
                <w:sz w:val="22"/>
                <w:szCs w:val="22"/>
              </w:rPr>
            </w:pPr>
            <w:r>
              <w:rPr>
                <w:rFonts w:ascii="Calibri" w:hAnsi="Calibri"/>
                <w:color w:val="000000"/>
                <w:sz w:val="22"/>
                <w:szCs w:val="22"/>
              </w:rPr>
              <w:t>5 592</w:t>
            </w:r>
          </w:p>
        </w:tc>
        <w:tc>
          <w:tcPr>
            <w:tcW w:w="1276" w:type="dxa"/>
            <w:shd w:val="clear" w:color="auto" w:fill="auto"/>
            <w:vAlign w:val="center"/>
          </w:tcPr>
          <w:p w:rsidR="00302527" w:rsidRDefault="00302527" w:rsidP="006963B3">
            <w:pPr>
              <w:jc w:val="right"/>
              <w:rPr>
                <w:rFonts w:ascii="Calibri" w:hAnsi="Calibri"/>
                <w:color w:val="000000"/>
                <w:sz w:val="22"/>
                <w:szCs w:val="22"/>
              </w:rPr>
            </w:pPr>
            <w:r>
              <w:rPr>
                <w:rFonts w:ascii="Calibri" w:hAnsi="Calibri"/>
                <w:color w:val="000000"/>
                <w:sz w:val="22"/>
                <w:szCs w:val="22"/>
              </w:rPr>
              <w:t>5 816</w:t>
            </w:r>
          </w:p>
        </w:tc>
      </w:tr>
      <w:tr w:rsidR="00302527" w:rsidRPr="005F1629" w:rsidTr="00F20591">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8 515</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9 043</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8 921</w:t>
            </w:r>
          </w:p>
        </w:tc>
        <w:tc>
          <w:tcPr>
            <w:tcW w:w="127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8 945</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8 721</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9 907</w:t>
            </w:r>
          </w:p>
        </w:tc>
      </w:tr>
      <w:tr w:rsidR="00302527" w:rsidRPr="005F1629" w:rsidTr="00F20591">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4 079</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4 001</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4 068</w:t>
            </w:r>
          </w:p>
        </w:tc>
        <w:tc>
          <w:tcPr>
            <w:tcW w:w="1275"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4 204</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4 025</w:t>
            </w:r>
          </w:p>
        </w:tc>
        <w:tc>
          <w:tcPr>
            <w:tcW w:w="1276" w:type="dxa"/>
            <w:shd w:val="clear" w:color="auto" w:fill="auto"/>
            <w:vAlign w:val="center"/>
          </w:tcPr>
          <w:p w:rsidR="00302527" w:rsidRDefault="00302527" w:rsidP="00F20591">
            <w:pPr>
              <w:jc w:val="right"/>
              <w:rPr>
                <w:rFonts w:ascii="Calibri" w:hAnsi="Calibri"/>
                <w:color w:val="000000"/>
                <w:sz w:val="22"/>
                <w:szCs w:val="22"/>
              </w:rPr>
            </w:pPr>
            <w:r>
              <w:rPr>
                <w:rFonts w:ascii="Calibri" w:hAnsi="Calibri"/>
                <w:color w:val="000000"/>
                <w:sz w:val="22"/>
                <w:szCs w:val="22"/>
              </w:rPr>
              <w:t>4 165</w:t>
            </w:r>
          </w:p>
        </w:tc>
      </w:tr>
      <w:tr w:rsidR="00302527" w:rsidRPr="005F1629" w:rsidTr="00F20591">
        <w:tc>
          <w:tcPr>
            <w:tcW w:w="1809" w:type="dxa"/>
            <w:shd w:val="clear" w:color="auto" w:fill="auto"/>
          </w:tcPr>
          <w:p w:rsidR="00302527" w:rsidRPr="005F1629" w:rsidRDefault="00302527" w:rsidP="00F20591">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center"/>
          </w:tcPr>
          <w:p w:rsidR="00302527" w:rsidRPr="00CD5BD8" w:rsidRDefault="00302527" w:rsidP="00F20591">
            <w:pPr>
              <w:jc w:val="right"/>
              <w:rPr>
                <w:rFonts w:ascii="Calibri" w:hAnsi="Calibri"/>
                <w:b/>
                <w:bCs/>
                <w:color w:val="000000"/>
                <w:sz w:val="22"/>
                <w:szCs w:val="22"/>
              </w:rPr>
            </w:pPr>
            <w:r w:rsidRPr="00CD5BD8">
              <w:rPr>
                <w:rFonts w:ascii="Calibri" w:hAnsi="Calibri"/>
                <w:b/>
                <w:bCs/>
                <w:color w:val="000000"/>
                <w:sz w:val="22"/>
                <w:szCs w:val="22"/>
              </w:rPr>
              <w:t>17 900</w:t>
            </w:r>
          </w:p>
        </w:tc>
        <w:tc>
          <w:tcPr>
            <w:tcW w:w="1276" w:type="dxa"/>
            <w:shd w:val="clear" w:color="auto" w:fill="auto"/>
            <w:vAlign w:val="center"/>
          </w:tcPr>
          <w:p w:rsidR="00302527" w:rsidRPr="00CD5BD8" w:rsidRDefault="00302527" w:rsidP="00F20591">
            <w:pPr>
              <w:jc w:val="right"/>
              <w:rPr>
                <w:rFonts w:ascii="Calibri" w:hAnsi="Calibri"/>
                <w:b/>
                <w:bCs/>
                <w:color w:val="000000"/>
                <w:sz w:val="22"/>
                <w:szCs w:val="22"/>
              </w:rPr>
            </w:pPr>
            <w:r w:rsidRPr="00CD5BD8">
              <w:rPr>
                <w:rFonts w:ascii="Calibri" w:hAnsi="Calibri"/>
                <w:b/>
                <w:bCs/>
                <w:color w:val="000000"/>
                <w:sz w:val="22"/>
                <w:szCs w:val="22"/>
              </w:rPr>
              <w:t>18 596</w:t>
            </w:r>
          </w:p>
        </w:tc>
        <w:tc>
          <w:tcPr>
            <w:tcW w:w="1276" w:type="dxa"/>
            <w:shd w:val="clear" w:color="auto" w:fill="auto"/>
            <w:vAlign w:val="bottom"/>
          </w:tcPr>
          <w:p w:rsidR="00302527" w:rsidRPr="00CD5BD8" w:rsidRDefault="00302527" w:rsidP="00F20591">
            <w:pPr>
              <w:jc w:val="right"/>
              <w:rPr>
                <w:rFonts w:ascii="Calibri" w:hAnsi="Calibri"/>
                <w:b/>
                <w:color w:val="000000"/>
                <w:sz w:val="22"/>
                <w:szCs w:val="22"/>
              </w:rPr>
            </w:pPr>
            <w:r w:rsidRPr="00CD5BD8">
              <w:rPr>
                <w:rFonts w:ascii="Calibri" w:hAnsi="Calibri"/>
                <w:b/>
                <w:color w:val="000000"/>
                <w:sz w:val="22"/>
                <w:szCs w:val="22"/>
              </w:rPr>
              <w:t>18</w:t>
            </w:r>
            <w:r>
              <w:rPr>
                <w:rFonts w:ascii="Calibri" w:hAnsi="Calibri"/>
                <w:b/>
                <w:color w:val="000000"/>
                <w:sz w:val="22"/>
                <w:szCs w:val="22"/>
              </w:rPr>
              <w:t xml:space="preserve"> </w:t>
            </w:r>
            <w:r w:rsidRPr="00CD5BD8">
              <w:rPr>
                <w:rFonts w:ascii="Calibri" w:hAnsi="Calibri"/>
                <w:b/>
                <w:color w:val="000000"/>
                <w:sz w:val="22"/>
                <w:szCs w:val="22"/>
              </w:rPr>
              <w:t>831</w:t>
            </w:r>
          </w:p>
        </w:tc>
        <w:tc>
          <w:tcPr>
            <w:tcW w:w="1275" w:type="dxa"/>
            <w:shd w:val="clear" w:color="auto" w:fill="auto"/>
            <w:vAlign w:val="center"/>
          </w:tcPr>
          <w:p w:rsidR="00302527" w:rsidRPr="00CD5BD8" w:rsidRDefault="00302527" w:rsidP="00F20591">
            <w:pPr>
              <w:jc w:val="right"/>
              <w:rPr>
                <w:rFonts w:ascii="Calibri" w:hAnsi="Calibri"/>
                <w:b/>
                <w:bCs/>
                <w:color w:val="000000"/>
                <w:sz w:val="22"/>
                <w:szCs w:val="22"/>
              </w:rPr>
            </w:pPr>
            <w:r w:rsidRPr="00CD5BD8">
              <w:rPr>
                <w:rFonts w:ascii="Calibri" w:hAnsi="Calibri"/>
                <w:b/>
                <w:bCs/>
                <w:color w:val="000000"/>
                <w:sz w:val="22"/>
                <w:szCs w:val="22"/>
              </w:rPr>
              <w:t>18 921</w:t>
            </w:r>
          </w:p>
        </w:tc>
        <w:tc>
          <w:tcPr>
            <w:tcW w:w="1276" w:type="dxa"/>
            <w:shd w:val="clear" w:color="auto" w:fill="auto"/>
            <w:vAlign w:val="bottom"/>
          </w:tcPr>
          <w:p w:rsidR="00302527" w:rsidRPr="00CD5BD8" w:rsidRDefault="00302527" w:rsidP="00F20591">
            <w:pPr>
              <w:jc w:val="right"/>
              <w:rPr>
                <w:rFonts w:ascii="Calibri" w:hAnsi="Calibri"/>
                <w:b/>
                <w:color w:val="000000"/>
                <w:sz w:val="22"/>
                <w:szCs w:val="22"/>
              </w:rPr>
            </w:pPr>
            <w:r w:rsidRPr="00CD5BD8">
              <w:rPr>
                <w:rFonts w:ascii="Calibri" w:hAnsi="Calibri"/>
                <w:b/>
                <w:color w:val="000000"/>
                <w:sz w:val="22"/>
                <w:szCs w:val="22"/>
              </w:rPr>
              <w:t>18</w:t>
            </w:r>
            <w:r>
              <w:rPr>
                <w:rFonts w:ascii="Calibri" w:hAnsi="Calibri"/>
                <w:b/>
                <w:color w:val="000000"/>
                <w:sz w:val="22"/>
                <w:szCs w:val="22"/>
              </w:rPr>
              <w:t xml:space="preserve"> </w:t>
            </w:r>
            <w:r w:rsidRPr="00CD5BD8">
              <w:rPr>
                <w:rFonts w:ascii="Calibri" w:hAnsi="Calibri"/>
                <w:b/>
                <w:color w:val="000000"/>
                <w:sz w:val="22"/>
                <w:szCs w:val="22"/>
              </w:rPr>
              <w:t>338</w:t>
            </w:r>
          </w:p>
        </w:tc>
        <w:tc>
          <w:tcPr>
            <w:tcW w:w="1276" w:type="dxa"/>
            <w:shd w:val="clear" w:color="auto" w:fill="auto"/>
            <w:vAlign w:val="center"/>
          </w:tcPr>
          <w:p w:rsidR="00302527" w:rsidRPr="00CD5BD8" w:rsidRDefault="00302527" w:rsidP="00F20591">
            <w:pPr>
              <w:jc w:val="right"/>
              <w:rPr>
                <w:rFonts w:ascii="Calibri" w:hAnsi="Calibri"/>
                <w:b/>
                <w:bCs/>
                <w:color w:val="000000"/>
                <w:sz w:val="22"/>
                <w:szCs w:val="22"/>
              </w:rPr>
            </w:pPr>
            <w:r w:rsidRPr="00CD5BD8">
              <w:rPr>
                <w:rFonts w:ascii="Calibri" w:hAnsi="Calibri"/>
                <w:b/>
                <w:bCs/>
                <w:color w:val="000000"/>
                <w:sz w:val="22"/>
                <w:szCs w:val="22"/>
              </w:rPr>
              <w:t>19 888</w:t>
            </w:r>
          </w:p>
        </w:tc>
      </w:tr>
    </w:tbl>
    <w:p w:rsidR="00302527" w:rsidRPr="005F1629" w:rsidRDefault="00302527" w:rsidP="00302527">
      <w:pPr>
        <w:spacing w:after="120"/>
        <w:jc w:val="both"/>
        <w:rPr>
          <w:rFonts w:asciiTheme="minorHAnsi" w:hAnsiTheme="minorHAnsi" w:cs="Arial"/>
          <w:noProof/>
        </w:rPr>
      </w:pPr>
    </w:p>
    <w:p w:rsidR="00302527" w:rsidRPr="005F1629" w:rsidRDefault="00302527" w:rsidP="00302527">
      <w:pPr>
        <w:jc w:val="both"/>
        <w:rPr>
          <w:rFonts w:asciiTheme="minorHAnsi" w:hAnsiTheme="minorHAnsi" w:cs="Arial"/>
          <w:noProof/>
        </w:rPr>
      </w:pPr>
      <w:r w:rsidRPr="005F1629">
        <w:rPr>
          <w:rFonts w:asciiTheme="minorHAnsi" w:hAnsiTheme="minorHAnsi" w:cs="Arial"/>
          <w:noProof/>
        </w:rPr>
        <w:t>Graf č. 1:</w:t>
      </w:r>
    </w:p>
    <w:p w:rsidR="00302527" w:rsidRPr="005F1629" w:rsidRDefault="00302527" w:rsidP="00302527">
      <w:pPr>
        <w:spacing w:after="120"/>
        <w:jc w:val="both"/>
        <w:rPr>
          <w:rFonts w:asciiTheme="minorHAnsi" w:hAnsiTheme="minorHAnsi" w:cs="Arial"/>
          <w:noProof/>
        </w:rPr>
      </w:pPr>
      <w:r>
        <w:rPr>
          <w:noProof/>
        </w:rPr>
        <w:drawing>
          <wp:inline distT="0" distB="0" distL="0" distR="0">
            <wp:extent cx="5814204" cy="3096883"/>
            <wp:effectExtent l="0" t="0" r="15240" b="2794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2527" w:rsidRPr="005F1629" w:rsidRDefault="00302527" w:rsidP="00302527">
      <w:pPr>
        <w:spacing w:after="120"/>
        <w:jc w:val="both"/>
        <w:rPr>
          <w:rFonts w:asciiTheme="minorHAnsi" w:hAnsiTheme="minorHAnsi" w:cs="Arial"/>
          <w:noProof/>
        </w:rPr>
      </w:pPr>
    </w:p>
    <w:p w:rsidR="00302527" w:rsidRPr="005F1629" w:rsidRDefault="00302527" w:rsidP="00302527">
      <w:pPr>
        <w:jc w:val="both"/>
        <w:rPr>
          <w:rFonts w:asciiTheme="minorHAnsi" w:hAnsiTheme="minorHAnsi" w:cs="Arial"/>
          <w:noProof/>
        </w:rPr>
      </w:pPr>
    </w:p>
    <w:p w:rsidR="00302527" w:rsidRPr="005F1629" w:rsidRDefault="00302527" w:rsidP="00302527">
      <w:pPr>
        <w:jc w:val="both"/>
        <w:rPr>
          <w:rFonts w:asciiTheme="minorHAnsi" w:hAnsiTheme="minorHAnsi" w:cs="Arial"/>
          <w:noProof/>
        </w:rPr>
      </w:pPr>
    </w:p>
    <w:p w:rsidR="00302527" w:rsidRDefault="00302527" w:rsidP="00302527">
      <w:pPr>
        <w:jc w:val="both"/>
        <w:rPr>
          <w:rFonts w:asciiTheme="minorHAnsi" w:hAnsiTheme="minorHAnsi" w:cs="Arial"/>
          <w:noProof/>
        </w:rPr>
      </w:pPr>
    </w:p>
    <w:p w:rsidR="00302527" w:rsidRPr="005F1629" w:rsidRDefault="00302527" w:rsidP="00302527">
      <w:pPr>
        <w:jc w:val="both"/>
        <w:rPr>
          <w:rFonts w:asciiTheme="minorHAnsi" w:hAnsiTheme="minorHAnsi" w:cs="Arial"/>
          <w:noProof/>
        </w:rPr>
      </w:pPr>
    </w:p>
    <w:p w:rsidR="00302527" w:rsidRPr="005F1629" w:rsidRDefault="00302527" w:rsidP="00302527">
      <w:pPr>
        <w:jc w:val="both"/>
        <w:rPr>
          <w:rFonts w:asciiTheme="minorHAnsi" w:hAnsiTheme="minorHAnsi" w:cs="Arial"/>
          <w:noProof/>
        </w:rPr>
      </w:pPr>
    </w:p>
    <w:p w:rsidR="00302527" w:rsidRPr="005F1629" w:rsidRDefault="00302527" w:rsidP="00302527">
      <w:pPr>
        <w:jc w:val="both"/>
        <w:rPr>
          <w:rFonts w:asciiTheme="minorHAnsi" w:hAnsiTheme="minorHAnsi" w:cs="Arial"/>
          <w:noProof/>
        </w:rPr>
      </w:pPr>
      <w:r w:rsidRPr="005F1629">
        <w:rPr>
          <w:rFonts w:asciiTheme="minorHAnsi" w:hAnsiTheme="minorHAnsi" w:cs="Arial"/>
          <w:noProof/>
        </w:rPr>
        <w:t>Graf č. 2:</w:t>
      </w:r>
    </w:p>
    <w:p w:rsidR="00302527" w:rsidRPr="005F1629" w:rsidRDefault="00302527" w:rsidP="00302527">
      <w:pPr>
        <w:spacing w:after="120"/>
        <w:jc w:val="both"/>
        <w:rPr>
          <w:rFonts w:asciiTheme="minorHAnsi" w:hAnsiTheme="minorHAnsi" w:cs="Arial"/>
          <w:noProof/>
        </w:rPr>
      </w:pPr>
      <w:r>
        <w:rPr>
          <w:noProof/>
        </w:rPr>
        <w:drawing>
          <wp:inline distT="0" distB="0" distL="0" distR="0">
            <wp:extent cx="5745193" cy="2941608"/>
            <wp:effectExtent l="0" t="0" r="27305" b="1143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2527" w:rsidRDefault="00302527" w:rsidP="00302527">
      <w:pPr>
        <w:spacing w:after="120"/>
        <w:jc w:val="both"/>
        <w:rPr>
          <w:rFonts w:asciiTheme="minorHAnsi" w:hAnsiTheme="minorHAnsi" w:cs="Arial"/>
          <w:bCs/>
        </w:rPr>
      </w:pPr>
      <w:r>
        <w:rPr>
          <w:rFonts w:asciiTheme="minorHAnsi" w:hAnsiTheme="minorHAnsi" w:cs="Arial"/>
          <w:bCs/>
        </w:rPr>
        <w:tab/>
      </w:r>
    </w:p>
    <w:p w:rsidR="00302527" w:rsidRPr="005F1629" w:rsidRDefault="00302527" w:rsidP="007C5D12">
      <w:pPr>
        <w:spacing w:after="120"/>
        <w:ind w:firstLine="426"/>
        <w:jc w:val="both"/>
        <w:rPr>
          <w:rFonts w:asciiTheme="minorHAnsi" w:hAnsiTheme="minorHAnsi" w:cs="Arial"/>
          <w:bCs/>
        </w:rPr>
      </w:pPr>
      <w:r w:rsidRPr="00846D16">
        <w:rPr>
          <w:rFonts w:asciiTheme="minorHAnsi" w:hAnsiTheme="minorHAnsi" w:cs="Arial"/>
          <w:b/>
          <w:bCs/>
        </w:rPr>
        <w:t xml:space="preserve">Objem finančních prostředků (vratek) </w:t>
      </w:r>
      <w:r>
        <w:rPr>
          <w:rFonts w:asciiTheme="minorHAnsi" w:hAnsiTheme="minorHAnsi" w:cs="Arial"/>
          <w:bCs/>
        </w:rPr>
        <w:t>podle § 16b zákona č. 48/1997 Sb. ČPZP plánuje ve výši 12 730 tis. Kč pro 16 228 pojištěnců, kteří v daném období překročí zákonný limit 5 000 Kč, resp. 2 500 Kč. V přepočtu na jednoho pojištěnce se tato částka výrazně nezmění ve srovnání s očekávanou situací roku 2013 (Tabulka č. 5).</w:t>
      </w:r>
    </w:p>
    <w:p w:rsidR="00302527" w:rsidRPr="005F1629" w:rsidRDefault="00302527" w:rsidP="00302527">
      <w:pPr>
        <w:jc w:val="both"/>
        <w:rPr>
          <w:rFonts w:asciiTheme="minorHAnsi" w:hAnsiTheme="minorHAnsi" w:cs="Arial"/>
        </w:rPr>
      </w:pPr>
      <w:r w:rsidRPr="005F1629">
        <w:rPr>
          <w:rFonts w:asciiTheme="minorHAnsi" w:hAnsiTheme="minorHAnsi" w:cs="Arial"/>
        </w:rPr>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302527" w:rsidRPr="005F1629" w:rsidTr="00F20591">
        <w:tc>
          <w:tcPr>
            <w:tcW w:w="2518"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1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1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115"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115" w:type="dxa"/>
            <w:shd w:val="solid" w:color="000080" w:fill="FFFFFF"/>
          </w:tcPr>
          <w:p w:rsidR="00302527"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116"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7C5D12">
        <w:tc>
          <w:tcPr>
            <w:tcW w:w="2518" w:type="dxa"/>
            <w:shd w:val="clear" w:color="auto" w:fill="auto"/>
          </w:tcPr>
          <w:p w:rsidR="00302527" w:rsidRPr="005F1629" w:rsidRDefault="00302527" w:rsidP="00F20591">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r>
              <w:rPr>
                <w:rFonts w:asciiTheme="minorHAnsi" w:hAnsiTheme="minorHAnsi" w:cs="Arial"/>
                <w:b/>
                <w:sz w:val="22"/>
                <w:szCs w:val="22"/>
              </w:rPr>
              <w:t xml:space="preserve"> </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14 868</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27 956</w:t>
            </w:r>
          </w:p>
        </w:tc>
        <w:tc>
          <w:tcPr>
            <w:tcW w:w="1116"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31 826</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28 933</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19 421</w:t>
            </w:r>
          </w:p>
        </w:tc>
        <w:tc>
          <w:tcPr>
            <w:tcW w:w="1116"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16 228</w:t>
            </w:r>
          </w:p>
        </w:tc>
      </w:tr>
      <w:tr w:rsidR="00302527" w:rsidRPr="005F1629" w:rsidTr="007C5D12">
        <w:tc>
          <w:tcPr>
            <w:tcW w:w="2518" w:type="dxa"/>
            <w:shd w:val="clear" w:color="auto" w:fill="auto"/>
          </w:tcPr>
          <w:p w:rsidR="00302527" w:rsidRPr="005F1629" w:rsidRDefault="00302527" w:rsidP="00F20591">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Pr>
                <w:rFonts w:asciiTheme="minorHAnsi" w:hAnsiTheme="minorHAnsi" w:cs="Arial"/>
                <w:b/>
                <w:sz w:val="22"/>
                <w:szCs w:val="22"/>
              </w:rPr>
              <w:t xml:space="preserve"> </w:t>
            </w:r>
            <w:r>
              <w:rPr>
                <w:rFonts w:asciiTheme="minorHAnsi" w:hAnsiTheme="minorHAnsi" w:cs="Arial"/>
                <w:b/>
                <w:bCs/>
                <w:sz w:val="22"/>
                <w:szCs w:val="22"/>
              </w:rPr>
              <w:t>(</w:t>
            </w:r>
            <w:r w:rsidRPr="000D1B0B">
              <w:rPr>
                <w:rFonts w:asciiTheme="minorHAnsi" w:hAnsiTheme="minorHAnsi" w:cs="Arial"/>
                <w:b/>
                <w:bCs/>
                <w:sz w:val="22"/>
                <w:szCs w:val="22"/>
              </w:rPr>
              <w:t>tis. Kč)</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11 377</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22 016</w:t>
            </w:r>
          </w:p>
        </w:tc>
        <w:tc>
          <w:tcPr>
            <w:tcW w:w="1116"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25 602</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21 818</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15 822</w:t>
            </w:r>
          </w:p>
        </w:tc>
        <w:tc>
          <w:tcPr>
            <w:tcW w:w="1116"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12 730</w:t>
            </w:r>
          </w:p>
        </w:tc>
      </w:tr>
      <w:tr w:rsidR="00302527" w:rsidRPr="005F1629" w:rsidTr="007C5D12">
        <w:tc>
          <w:tcPr>
            <w:tcW w:w="2518" w:type="dxa"/>
            <w:shd w:val="clear" w:color="auto" w:fill="auto"/>
          </w:tcPr>
          <w:p w:rsidR="00302527" w:rsidRPr="005F1629" w:rsidRDefault="00302527" w:rsidP="00F20591">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Pr>
                <w:rFonts w:asciiTheme="minorHAnsi" w:hAnsiTheme="minorHAnsi" w:cs="Arial"/>
                <w:b/>
                <w:sz w:val="22"/>
                <w:szCs w:val="22"/>
              </w:rPr>
              <w:t xml:space="preserve"> </w:t>
            </w:r>
            <w:r>
              <w:rPr>
                <w:rFonts w:asciiTheme="minorHAnsi" w:hAnsiTheme="minorHAnsi" w:cs="Arial"/>
                <w:b/>
                <w:bCs/>
                <w:sz w:val="22"/>
                <w:szCs w:val="22"/>
              </w:rPr>
              <w:t>(</w:t>
            </w:r>
            <w:r w:rsidRPr="000D1B0B">
              <w:rPr>
                <w:rFonts w:asciiTheme="minorHAnsi" w:hAnsiTheme="minorHAnsi" w:cs="Arial"/>
                <w:b/>
                <w:bCs/>
                <w:sz w:val="22"/>
                <w:szCs w:val="22"/>
              </w:rPr>
              <w:t>tis. Kč)</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0,77</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0,79</w:t>
            </w:r>
          </w:p>
        </w:tc>
        <w:tc>
          <w:tcPr>
            <w:tcW w:w="1116"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0,80</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0,75</w:t>
            </w:r>
          </w:p>
        </w:tc>
        <w:tc>
          <w:tcPr>
            <w:tcW w:w="1115"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0,81</w:t>
            </w:r>
          </w:p>
        </w:tc>
        <w:tc>
          <w:tcPr>
            <w:tcW w:w="1116"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0,78</w:t>
            </w:r>
          </w:p>
        </w:tc>
      </w:tr>
    </w:tbl>
    <w:p w:rsidR="00302527" w:rsidRDefault="00302527" w:rsidP="00302527">
      <w:pPr>
        <w:spacing w:after="120"/>
        <w:ind w:firstLine="357"/>
        <w:jc w:val="both"/>
        <w:rPr>
          <w:rFonts w:asciiTheme="minorHAnsi" w:hAnsiTheme="minorHAnsi" w:cs="Arial"/>
          <w:b/>
        </w:rPr>
      </w:pPr>
    </w:p>
    <w:p w:rsidR="00302527" w:rsidRDefault="00302527" w:rsidP="007C5D12">
      <w:pPr>
        <w:ind w:firstLine="426"/>
        <w:jc w:val="both"/>
        <w:rPr>
          <w:rFonts w:asciiTheme="minorHAnsi" w:hAnsiTheme="minorHAnsi" w:cs="Arial"/>
        </w:rPr>
      </w:pPr>
      <w:r>
        <w:rPr>
          <w:rFonts w:asciiTheme="minorHAnsi" w:hAnsiTheme="minorHAnsi" w:cs="Arial"/>
          <w:b/>
        </w:rPr>
        <w:t>Náklady na léčení cizinců</w:t>
      </w:r>
      <w:r w:rsidRPr="005A357D">
        <w:rPr>
          <w:rFonts w:asciiTheme="minorHAnsi" w:hAnsiTheme="minorHAnsi" w:cs="Arial"/>
        </w:rPr>
        <w:t>, kteří si jako výpomocnou zdravotní pojišťovnu</w:t>
      </w:r>
      <w:r>
        <w:rPr>
          <w:rFonts w:asciiTheme="minorHAnsi" w:hAnsiTheme="minorHAnsi" w:cs="Arial"/>
        </w:rPr>
        <w:t xml:space="preserve"> zvolí ČPZP, jsou plánovány ve výši 31 184 tis. Kč. Oproti očekávané skutečnosti předchozího roku se jedná o nárůst o 11,31 %. Při plánovaném počtu 3 385 ošetřených cizinců vzroste průměrný náklad na jednoho ošetřeného cizince o 0,92 % oproti očekávané skutečnosti roku 2013 (Tabulka </w:t>
      </w:r>
      <w:r w:rsidR="00C42C3B">
        <w:rPr>
          <w:rFonts w:asciiTheme="minorHAnsi" w:hAnsiTheme="minorHAnsi" w:cs="Arial"/>
        </w:rPr>
        <w:br/>
      </w:r>
      <w:r>
        <w:rPr>
          <w:rFonts w:asciiTheme="minorHAnsi" w:hAnsiTheme="minorHAnsi" w:cs="Arial"/>
        </w:rPr>
        <w:t>č. 6).</w:t>
      </w:r>
    </w:p>
    <w:p w:rsidR="00302527" w:rsidRPr="005A357D" w:rsidRDefault="00302527" w:rsidP="007C5D12">
      <w:pPr>
        <w:spacing w:after="120"/>
        <w:ind w:firstLine="426"/>
        <w:jc w:val="both"/>
        <w:rPr>
          <w:rFonts w:asciiTheme="minorHAnsi" w:hAnsiTheme="minorHAnsi" w:cs="Arial"/>
        </w:rPr>
      </w:pPr>
      <w:r>
        <w:rPr>
          <w:rFonts w:asciiTheme="minorHAnsi" w:hAnsiTheme="minorHAnsi" w:cs="Arial"/>
        </w:rPr>
        <w:t xml:space="preserve">Na ZFZP je plánováno přijmout od zahraničních pojišťoven za léčení cizinců (včetně plateb vypořádaných tzv. paušálem) 25 669 tis. Kč a z prostředků ZFZP uhradit za léčení </w:t>
      </w:r>
      <w:r>
        <w:rPr>
          <w:rFonts w:asciiTheme="minorHAnsi" w:hAnsiTheme="minorHAnsi" w:cs="Arial"/>
        </w:rPr>
        <w:lastRenderedPageBreak/>
        <w:t xml:space="preserve">cizinců PZS 25 594 tis. Kč, což znamená rozdíl mezi těmito pohledávkami a závazky ve výši </w:t>
      </w:r>
      <w:r w:rsidR="00C42C3B">
        <w:rPr>
          <w:rFonts w:asciiTheme="minorHAnsi" w:hAnsiTheme="minorHAnsi" w:cs="Arial"/>
        </w:rPr>
        <w:br/>
      </w:r>
      <w:r>
        <w:rPr>
          <w:rFonts w:asciiTheme="minorHAnsi" w:hAnsiTheme="minorHAnsi" w:cs="Arial"/>
        </w:rPr>
        <w:t>75 tis. Kč. Tato částka zvyšuje konečný zůstatek ZFZP.</w:t>
      </w:r>
    </w:p>
    <w:p w:rsidR="00302527" w:rsidRPr="005F1629" w:rsidRDefault="00302527" w:rsidP="00302527">
      <w:pPr>
        <w:pStyle w:val="Zkladntext"/>
        <w:spacing w:after="0" w:line="280" w:lineRule="atLeast"/>
        <w:jc w:val="both"/>
        <w:rPr>
          <w:rFonts w:asciiTheme="minorHAnsi" w:hAnsiTheme="minorHAnsi" w:cs="Arial"/>
          <w:sz w:val="24"/>
        </w:rPr>
      </w:pPr>
      <w:r w:rsidRPr="005F1629">
        <w:rPr>
          <w:rFonts w:asciiTheme="minorHAnsi" w:hAnsiTheme="minorHAnsi" w:cs="Arial"/>
          <w:sz w:val="24"/>
        </w:rPr>
        <w:t>Tabulka č. 6: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302527" w:rsidRPr="005F1629" w:rsidTr="00F20591">
        <w:tc>
          <w:tcPr>
            <w:tcW w:w="1951"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pStyle w:val="Zkladntext"/>
              <w:spacing w:after="0" w:line="280" w:lineRule="atLeast"/>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10" w:type="dxa"/>
            <w:shd w:val="solid" w:color="000080" w:fill="FFFFFF"/>
          </w:tcPr>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7C5D12">
        <w:tc>
          <w:tcPr>
            <w:tcW w:w="1951" w:type="dxa"/>
            <w:shd w:val="clear" w:color="auto" w:fill="auto"/>
          </w:tcPr>
          <w:p w:rsidR="00302527" w:rsidRPr="005F1629" w:rsidRDefault="00302527" w:rsidP="00F2059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Náklady na léčení cizinců</w:t>
            </w:r>
            <w:r>
              <w:rPr>
                <w:rFonts w:asciiTheme="minorHAnsi" w:hAnsiTheme="minorHAnsi" w:cs="Arial"/>
                <w:b/>
                <w:sz w:val="22"/>
                <w:szCs w:val="22"/>
              </w:rPr>
              <w:t xml:space="preserve"> </w:t>
            </w:r>
            <w:r w:rsidRPr="000D1B0B">
              <w:rPr>
                <w:rFonts w:asciiTheme="minorHAnsi" w:hAnsiTheme="minorHAnsi" w:cs="Arial"/>
                <w:b/>
                <w:bCs/>
                <w:sz w:val="22"/>
                <w:szCs w:val="22"/>
              </w:rPr>
              <w:t>(tis. Kč)</w:t>
            </w:r>
          </w:p>
        </w:tc>
        <w:tc>
          <w:tcPr>
            <w:tcW w:w="1209"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9 172</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12 824</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20 402</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25 056</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28 015</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31 184</w:t>
            </w:r>
          </w:p>
        </w:tc>
      </w:tr>
      <w:tr w:rsidR="00302527" w:rsidRPr="005F1629" w:rsidTr="007C5D12">
        <w:tc>
          <w:tcPr>
            <w:tcW w:w="1951" w:type="dxa"/>
            <w:shd w:val="clear" w:color="auto" w:fill="auto"/>
          </w:tcPr>
          <w:p w:rsidR="00302527" w:rsidRPr="005F1629" w:rsidRDefault="00302527" w:rsidP="00F2059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Počet ošetřených cizinců</w:t>
            </w:r>
            <w:r>
              <w:rPr>
                <w:rFonts w:asciiTheme="minorHAnsi" w:hAnsiTheme="minorHAnsi" w:cs="Arial"/>
                <w:b/>
                <w:sz w:val="22"/>
                <w:szCs w:val="22"/>
              </w:rPr>
              <w:t xml:space="preserve"> </w:t>
            </w:r>
          </w:p>
        </w:tc>
        <w:tc>
          <w:tcPr>
            <w:tcW w:w="1209"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2 380</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1 042</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1 360</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3 125</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3 069</w:t>
            </w:r>
          </w:p>
        </w:tc>
        <w:tc>
          <w:tcPr>
            <w:tcW w:w="1210"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3 385</w:t>
            </w:r>
          </w:p>
        </w:tc>
      </w:tr>
      <w:tr w:rsidR="00302527" w:rsidRPr="005F1629" w:rsidTr="007C5D12">
        <w:tc>
          <w:tcPr>
            <w:tcW w:w="1951" w:type="dxa"/>
            <w:shd w:val="clear" w:color="auto" w:fill="auto"/>
          </w:tcPr>
          <w:p w:rsidR="00302527" w:rsidRPr="005F1629" w:rsidRDefault="00302527" w:rsidP="00F20591">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Pr>
                <w:rFonts w:asciiTheme="minorHAnsi" w:hAnsiTheme="minorHAnsi" w:cs="Arial"/>
                <w:b/>
                <w:sz w:val="22"/>
                <w:szCs w:val="22"/>
              </w:rPr>
              <w:t xml:space="preserve"> </w:t>
            </w:r>
            <w:r w:rsidRPr="000D1B0B">
              <w:rPr>
                <w:rFonts w:asciiTheme="minorHAnsi" w:hAnsiTheme="minorHAnsi" w:cs="Arial"/>
                <w:b/>
                <w:bCs/>
                <w:sz w:val="22"/>
                <w:szCs w:val="22"/>
              </w:rPr>
              <w:t>(tis. Kč)</w:t>
            </w:r>
          </w:p>
        </w:tc>
        <w:tc>
          <w:tcPr>
            <w:tcW w:w="1209" w:type="dxa"/>
            <w:shd w:val="clear" w:color="auto" w:fill="auto"/>
            <w:vAlign w:val="bottom"/>
          </w:tcPr>
          <w:p w:rsidR="00302527" w:rsidRDefault="00C42C3B" w:rsidP="007C5D12">
            <w:pPr>
              <w:jc w:val="right"/>
              <w:rPr>
                <w:rFonts w:ascii="Calibri" w:hAnsi="Calibri"/>
                <w:color w:val="000000"/>
                <w:sz w:val="22"/>
                <w:szCs w:val="22"/>
              </w:rPr>
            </w:pPr>
            <w:r>
              <w:rPr>
                <w:rFonts w:ascii="Calibri" w:hAnsi="Calibri"/>
                <w:color w:val="000000"/>
                <w:sz w:val="22"/>
                <w:szCs w:val="22"/>
              </w:rPr>
              <w:t>3</w:t>
            </w:r>
            <w:r w:rsidR="000E74F9">
              <w:rPr>
                <w:rFonts w:ascii="Calibri" w:hAnsi="Calibri"/>
                <w:color w:val="000000"/>
                <w:sz w:val="22"/>
                <w:szCs w:val="22"/>
              </w:rPr>
              <w:t>,</w:t>
            </w:r>
            <w:r w:rsidR="00302527">
              <w:rPr>
                <w:rFonts w:ascii="Calibri" w:hAnsi="Calibri"/>
                <w:color w:val="000000"/>
                <w:sz w:val="22"/>
                <w:szCs w:val="22"/>
              </w:rPr>
              <w:t>854</w:t>
            </w:r>
          </w:p>
        </w:tc>
        <w:tc>
          <w:tcPr>
            <w:tcW w:w="1210" w:type="dxa"/>
            <w:shd w:val="clear" w:color="auto" w:fill="auto"/>
            <w:vAlign w:val="bottom"/>
          </w:tcPr>
          <w:p w:rsidR="00302527" w:rsidRDefault="000E74F9" w:rsidP="007C5D12">
            <w:pPr>
              <w:jc w:val="right"/>
              <w:rPr>
                <w:rFonts w:ascii="Calibri" w:hAnsi="Calibri"/>
                <w:color w:val="000000"/>
                <w:sz w:val="22"/>
                <w:szCs w:val="22"/>
              </w:rPr>
            </w:pPr>
            <w:r>
              <w:rPr>
                <w:rFonts w:ascii="Calibri" w:hAnsi="Calibri"/>
                <w:color w:val="000000"/>
                <w:sz w:val="22"/>
                <w:szCs w:val="22"/>
              </w:rPr>
              <w:t>12,</w:t>
            </w:r>
            <w:r w:rsidR="00302527">
              <w:rPr>
                <w:rFonts w:ascii="Calibri" w:hAnsi="Calibri"/>
                <w:color w:val="000000"/>
                <w:sz w:val="22"/>
                <w:szCs w:val="22"/>
              </w:rPr>
              <w:t>307</w:t>
            </w:r>
          </w:p>
        </w:tc>
        <w:tc>
          <w:tcPr>
            <w:tcW w:w="1210" w:type="dxa"/>
            <w:shd w:val="clear" w:color="auto" w:fill="auto"/>
            <w:vAlign w:val="bottom"/>
          </w:tcPr>
          <w:p w:rsidR="00302527" w:rsidRDefault="000E74F9" w:rsidP="007C5D12">
            <w:pPr>
              <w:jc w:val="right"/>
              <w:rPr>
                <w:rFonts w:ascii="Calibri" w:hAnsi="Calibri"/>
                <w:color w:val="000000"/>
                <w:sz w:val="22"/>
                <w:szCs w:val="22"/>
              </w:rPr>
            </w:pPr>
            <w:r>
              <w:rPr>
                <w:rFonts w:ascii="Calibri" w:hAnsi="Calibri"/>
                <w:color w:val="000000"/>
                <w:sz w:val="22"/>
                <w:szCs w:val="22"/>
              </w:rPr>
              <w:t>15,</w:t>
            </w:r>
            <w:r w:rsidR="00302527">
              <w:rPr>
                <w:rFonts w:ascii="Calibri" w:hAnsi="Calibri"/>
                <w:color w:val="000000"/>
                <w:sz w:val="22"/>
                <w:szCs w:val="22"/>
              </w:rPr>
              <w:t>001</w:t>
            </w:r>
          </w:p>
        </w:tc>
        <w:tc>
          <w:tcPr>
            <w:tcW w:w="1210" w:type="dxa"/>
            <w:shd w:val="clear" w:color="auto" w:fill="auto"/>
            <w:vAlign w:val="bottom"/>
          </w:tcPr>
          <w:p w:rsidR="00302527" w:rsidRDefault="000E74F9" w:rsidP="007C5D12">
            <w:pPr>
              <w:jc w:val="right"/>
              <w:rPr>
                <w:rFonts w:ascii="Calibri" w:hAnsi="Calibri"/>
                <w:color w:val="000000"/>
                <w:sz w:val="22"/>
                <w:szCs w:val="22"/>
              </w:rPr>
            </w:pPr>
            <w:r>
              <w:rPr>
                <w:rFonts w:ascii="Calibri" w:hAnsi="Calibri"/>
                <w:color w:val="000000"/>
                <w:sz w:val="22"/>
                <w:szCs w:val="22"/>
              </w:rPr>
              <w:t>7,</w:t>
            </w:r>
            <w:r w:rsidR="00302527">
              <w:rPr>
                <w:rFonts w:ascii="Calibri" w:hAnsi="Calibri"/>
                <w:color w:val="000000"/>
                <w:sz w:val="22"/>
                <w:szCs w:val="22"/>
              </w:rPr>
              <w:t>950</w:t>
            </w:r>
          </w:p>
        </w:tc>
        <w:tc>
          <w:tcPr>
            <w:tcW w:w="1210" w:type="dxa"/>
            <w:shd w:val="clear" w:color="auto" w:fill="auto"/>
            <w:vAlign w:val="bottom"/>
          </w:tcPr>
          <w:p w:rsidR="00302527" w:rsidRDefault="000E74F9" w:rsidP="007C5D12">
            <w:pPr>
              <w:jc w:val="right"/>
              <w:rPr>
                <w:rFonts w:ascii="Calibri" w:hAnsi="Calibri"/>
                <w:color w:val="000000"/>
                <w:sz w:val="22"/>
                <w:szCs w:val="22"/>
              </w:rPr>
            </w:pPr>
            <w:r>
              <w:rPr>
                <w:rFonts w:ascii="Calibri" w:hAnsi="Calibri"/>
                <w:color w:val="000000"/>
                <w:sz w:val="22"/>
                <w:szCs w:val="22"/>
              </w:rPr>
              <w:t>9,</w:t>
            </w:r>
            <w:r w:rsidR="00302527">
              <w:rPr>
                <w:rFonts w:ascii="Calibri" w:hAnsi="Calibri"/>
                <w:color w:val="000000"/>
                <w:sz w:val="22"/>
                <w:szCs w:val="22"/>
              </w:rPr>
              <w:t>128</w:t>
            </w:r>
          </w:p>
        </w:tc>
        <w:tc>
          <w:tcPr>
            <w:tcW w:w="1210" w:type="dxa"/>
            <w:shd w:val="clear" w:color="auto" w:fill="auto"/>
            <w:vAlign w:val="bottom"/>
          </w:tcPr>
          <w:p w:rsidR="00302527" w:rsidRDefault="000E74F9" w:rsidP="007C5D12">
            <w:pPr>
              <w:jc w:val="right"/>
              <w:rPr>
                <w:rFonts w:ascii="Calibri" w:hAnsi="Calibri"/>
                <w:color w:val="000000"/>
                <w:sz w:val="22"/>
                <w:szCs w:val="22"/>
              </w:rPr>
            </w:pPr>
            <w:r>
              <w:rPr>
                <w:rFonts w:ascii="Calibri" w:hAnsi="Calibri"/>
                <w:color w:val="000000"/>
                <w:sz w:val="22"/>
                <w:szCs w:val="22"/>
              </w:rPr>
              <w:t>9,</w:t>
            </w:r>
            <w:r w:rsidR="00302527">
              <w:rPr>
                <w:rFonts w:ascii="Calibri" w:hAnsi="Calibri"/>
                <w:color w:val="000000"/>
                <w:sz w:val="22"/>
                <w:szCs w:val="22"/>
              </w:rPr>
              <w:t>212</w:t>
            </w:r>
          </w:p>
        </w:tc>
      </w:tr>
    </w:tbl>
    <w:p w:rsidR="00302527" w:rsidRPr="005F1629" w:rsidRDefault="00302527" w:rsidP="00302527">
      <w:pPr>
        <w:pStyle w:val="Zkladntext"/>
        <w:spacing w:line="280" w:lineRule="atLeast"/>
        <w:ind w:firstLine="709"/>
        <w:jc w:val="both"/>
        <w:rPr>
          <w:rFonts w:asciiTheme="minorHAnsi" w:hAnsiTheme="minorHAnsi" w:cs="Arial"/>
          <w:sz w:val="24"/>
        </w:rPr>
      </w:pPr>
    </w:p>
    <w:p w:rsidR="00302527" w:rsidRDefault="00302527" w:rsidP="007C5D12">
      <w:pPr>
        <w:ind w:firstLine="426"/>
        <w:jc w:val="both"/>
        <w:rPr>
          <w:rFonts w:asciiTheme="minorHAnsi" w:hAnsiTheme="minorHAnsi" w:cs="Arial"/>
        </w:rPr>
      </w:pPr>
      <w:r w:rsidRPr="00FF05A6">
        <w:rPr>
          <w:rFonts w:asciiTheme="minorHAnsi" w:hAnsiTheme="minorHAnsi" w:cs="Arial"/>
          <w:b/>
        </w:rPr>
        <w:t>Náklady na preventivní péči</w:t>
      </w:r>
      <w:r>
        <w:rPr>
          <w:rFonts w:asciiTheme="minorHAnsi" w:hAnsiTheme="minorHAnsi" w:cs="Arial"/>
        </w:rPr>
        <w:t xml:space="preserve"> čerpané z Fprev plánuje  ČPZP ve výši 200 000 tis. Kč, </w:t>
      </w:r>
      <w:r w:rsidR="00F62F04">
        <w:rPr>
          <w:rFonts w:asciiTheme="minorHAnsi" w:hAnsiTheme="minorHAnsi" w:cs="Arial"/>
        </w:rPr>
        <w:br/>
      </w:r>
      <w:r>
        <w:rPr>
          <w:rFonts w:asciiTheme="minorHAnsi" w:hAnsiTheme="minorHAnsi" w:cs="Arial"/>
        </w:rPr>
        <w:t>tj. meziroční pokles nákladů o 3,3 %.</w:t>
      </w:r>
    </w:p>
    <w:p w:rsidR="00302527" w:rsidRPr="005F1629" w:rsidRDefault="00302527" w:rsidP="007C5D12">
      <w:pPr>
        <w:spacing w:after="240"/>
        <w:ind w:firstLine="426"/>
        <w:jc w:val="both"/>
        <w:rPr>
          <w:rFonts w:asciiTheme="minorHAnsi" w:hAnsiTheme="minorHAnsi" w:cs="Arial"/>
        </w:rPr>
      </w:pPr>
      <w:r>
        <w:rPr>
          <w:rFonts w:asciiTheme="minorHAnsi" w:hAnsiTheme="minorHAnsi" w:cs="Arial"/>
        </w:rPr>
        <w:t xml:space="preserve">Program prevence pro r. 2014 je členěn do tří základních skupin. První skupina zahrnuje zdravotně preventivní programy. Do druhé skupiny jsou zařazeny ozdravné pobyty. Do třetí skupiny jsou zařazeny ostatní činnosti, na které ČPZP poslední tři roky nevydávala žádné náklady. ČPZP předpokládá, že náklady na zdravotní programy v roce 2014 klesnou </w:t>
      </w:r>
      <w:r w:rsidR="000E74F9">
        <w:rPr>
          <w:rFonts w:asciiTheme="minorHAnsi" w:hAnsiTheme="minorHAnsi" w:cs="Arial"/>
        </w:rPr>
        <w:br/>
      </w:r>
      <w:r>
        <w:rPr>
          <w:rFonts w:asciiTheme="minorHAnsi" w:hAnsiTheme="minorHAnsi" w:cs="Arial"/>
        </w:rPr>
        <w:t>o 4,03 % a náklady na ozdravné pobyty vzrostou o 11,99 %.</w:t>
      </w:r>
    </w:p>
    <w:p w:rsidR="00302527" w:rsidRPr="005F1629" w:rsidRDefault="00302527" w:rsidP="00302527">
      <w:pPr>
        <w:jc w:val="both"/>
        <w:rPr>
          <w:rFonts w:asciiTheme="minorHAnsi" w:hAnsiTheme="minorHAnsi" w:cs="Arial"/>
        </w:rPr>
      </w:pPr>
      <w:r w:rsidRPr="005F1629">
        <w:rPr>
          <w:rFonts w:asciiTheme="minorHAnsi" w:hAnsiTheme="minorHAnsi" w:cs="Arial"/>
        </w:rPr>
        <w:t>Tabulka č. 7: Náklady na preventivní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302527" w:rsidRPr="005F1629" w:rsidTr="00F20591">
        <w:tc>
          <w:tcPr>
            <w:tcW w:w="2660"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302527" w:rsidRPr="005F1629" w:rsidRDefault="00302527" w:rsidP="00F20591">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302527" w:rsidRPr="005F1629" w:rsidTr="007C5D12">
        <w:tc>
          <w:tcPr>
            <w:tcW w:w="2660" w:type="dxa"/>
            <w:tcBorders>
              <w:top w:val="nil"/>
              <w:left w:val="single" w:sz="8" w:space="0" w:color="auto"/>
              <w:bottom w:val="single" w:sz="8" w:space="0" w:color="auto"/>
              <w:right w:val="single" w:sz="8"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94 364</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51 627</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59 059</w:t>
            </w:r>
          </w:p>
        </w:tc>
        <w:tc>
          <w:tcPr>
            <w:tcW w:w="1091"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109 672</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197 848</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189 875</w:t>
            </w:r>
          </w:p>
        </w:tc>
      </w:tr>
      <w:tr w:rsidR="00302527" w:rsidRPr="005F1629" w:rsidTr="007C5D12">
        <w:tc>
          <w:tcPr>
            <w:tcW w:w="2660" w:type="dxa"/>
            <w:tcBorders>
              <w:top w:val="nil"/>
              <w:left w:val="single" w:sz="8" w:space="0" w:color="auto"/>
              <w:bottom w:val="single" w:sz="8" w:space="0" w:color="auto"/>
              <w:right w:val="single" w:sz="8"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1 676</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5 201</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7 232</w:t>
            </w:r>
          </w:p>
        </w:tc>
        <w:tc>
          <w:tcPr>
            <w:tcW w:w="1091"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6 934</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9 041</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10 125</w:t>
            </w:r>
          </w:p>
        </w:tc>
      </w:tr>
      <w:tr w:rsidR="00302527" w:rsidRPr="005F1629" w:rsidTr="007C5D12">
        <w:tc>
          <w:tcPr>
            <w:tcW w:w="2660" w:type="dxa"/>
            <w:tcBorders>
              <w:top w:val="nil"/>
              <w:left w:val="single" w:sz="8" w:space="0" w:color="auto"/>
              <w:bottom w:val="single" w:sz="4" w:space="0" w:color="auto"/>
              <w:right w:val="single" w:sz="8"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2 272</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4 447</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w:t>
            </w:r>
          </w:p>
        </w:tc>
        <w:tc>
          <w:tcPr>
            <w:tcW w:w="1091"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w:t>
            </w:r>
          </w:p>
        </w:tc>
        <w:tc>
          <w:tcPr>
            <w:tcW w:w="1092" w:type="dxa"/>
            <w:shd w:val="clear" w:color="auto" w:fill="auto"/>
            <w:vAlign w:val="bottom"/>
          </w:tcPr>
          <w:p w:rsidR="00302527" w:rsidRDefault="00302527" w:rsidP="007C5D12">
            <w:pPr>
              <w:jc w:val="right"/>
              <w:rPr>
                <w:rFonts w:ascii="Calibri" w:hAnsi="Calibri"/>
                <w:color w:val="000000"/>
                <w:sz w:val="22"/>
                <w:szCs w:val="22"/>
              </w:rPr>
            </w:pPr>
            <w:r>
              <w:rPr>
                <w:rFonts w:ascii="Calibri" w:hAnsi="Calibri"/>
                <w:color w:val="000000"/>
                <w:sz w:val="22"/>
                <w:szCs w:val="22"/>
              </w:rPr>
              <w:t>0</w:t>
            </w:r>
          </w:p>
        </w:tc>
      </w:tr>
      <w:tr w:rsidR="00302527" w:rsidRPr="005F1629" w:rsidTr="007C5D12">
        <w:tc>
          <w:tcPr>
            <w:tcW w:w="2660" w:type="dxa"/>
            <w:tcBorders>
              <w:top w:val="single" w:sz="4" w:space="0" w:color="auto"/>
              <w:left w:val="single" w:sz="4" w:space="0" w:color="auto"/>
              <w:bottom w:val="single" w:sz="4" w:space="0" w:color="auto"/>
              <w:right w:val="single" w:sz="4" w:space="0" w:color="auto"/>
            </w:tcBorders>
            <w:shd w:val="clear" w:color="auto" w:fill="auto"/>
          </w:tcPr>
          <w:p w:rsidR="00302527" w:rsidRPr="005F1629" w:rsidRDefault="00302527" w:rsidP="00F20591">
            <w:pPr>
              <w:rPr>
                <w:rFonts w:asciiTheme="minorHAnsi" w:hAnsiTheme="minorHAnsi" w:cs="Arial"/>
                <w:b/>
                <w:bCs/>
                <w:sz w:val="22"/>
                <w:szCs w:val="22"/>
              </w:rPr>
            </w:pPr>
            <w:r w:rsidRPr="005F1629">
              <w:rPr>
                <w:rFonts w:asciiTheme="minorHAnsi" w:hAnsiTheme="minorHAnsi" w:cs="Arial"/>
                <w:b/>
                <w:bCs/>
                <w:sz w:val="22"/>
                <w:szCs w:val="22"/>
              </w:rPr>
              <w:t>Celkové náklady na preventivní zdravotní péči</w:t>
            </w:r>
          </w:p>
        </w:tc>
        <w:tc>
          <w:tcPr>
            <w:tcW w:w="1091" w:type="dxa"/>
            <w:tcBorders>
              <w:left w:val="single" w:sz="4" w:space="0" w:color="auto"/>
            </w:tcBorders>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98 312</w:t>
            </w:r>
          </w:p>
        </w:tc>
        <w:tc>
          <w:tcPr>
            <w:tcW w:w="1092"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61 275</w:t>
            </w:r>
          </w:p>
        </w:tc>
        <w:tc>
          <w:tcPr>
            <w:tcW w:w="1092"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66 291</w:t>
            </w:r>
          </w:p>
        </w:tc>
        <w:tc>
          <w:tcPr>
            <w:tcW w:w="1091"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116 606</w:t>
            </w:r>
          </w:p>
        </w:tc>
        <w:tc>
          <w:tcPr>
            <w:tcW w:w="1092"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206 889</w:t>
            </w:r>
          </w:p>
        </w:tc>
        <w:tc>
          <w:tcPr>
            <w:tcW w:w="1092" w:type="dxa"/>
            <w:shd w:val="clear" w:color="auto" w:fill="auto"/>
            <w:vAlign w:val="bottom"/>
          </w:tcPr>
          <w:p w:rsidR="00302527" w:rsidRDefault="00302527" w:rsidP="007C5D12">
            <w:pPr>
              <w:jc w:val="right"/>
              <w:rPr>
                <w:rFonts w:ascii="Calibri" w:hAnsi="Calibri"/>
                <w:b/>
                <w:bCs/>
                <w:color w:val="000000"/>
                <w:sz w:val="22"/>
                <w:szCs w:val="22"/>
              </w:rPr>
            </w:pPr>
            <w:r>
              <w:rPr>
                <w:rFonts w:ascii="Calibri" w:hAnsi="Calibri"/>
                <w:b/>
                <w:bCs/>
                <w:color w:val="000000"/>
                <w:sz w:val="22"/>
                <w:szCs w:val="22"/>
              </w:rPr>
              <w:t>200 000</w:t>
            </w:r>
          </w:p>
        </w:tc>
      </w:tr>
    </w:tbl>
    <w:p w:rsidR="00302527" w:rsidRDefault="00302527" w:rsidP="00302527">
      <w:pPr>
        <w:ind w:firstLine="426"/>
        <w:jc w:val="both"/>
        <w:rPr>
          <w:rFonts w:asciiTheme="minorHAnsi" w:hAnsiTheme="minorHAnsi"/>
        </w:rPr>
      </w:pPr>
    </w:p>
    <w:p w:rsidR="00302527" w:rsidRDefault="00302527" w:rsidP="007C5D12">
      <w:pPr>
        <w:spacing w:after="240"/>
        <w:ind w:firstLine="426"/>
        <w:jc w:val="both"/>
        <w:rPr>
          <w:rFonts w:asciiTheme="minorHAnsi" w:hAnsiTheme="minorHAnsi"/>
        </w:rPr>
      </w:pPr>
      <w:r>
        <w:rPr>
          <w:rFonts w:asciiTheme="minorHAnsi" w:hAnsiTheme="minorHAnsi"/>
        </w:rPr>
        <w:t xml:space="preserve">Zdravotně preventivní programy zahrnují podporu prevence vzniku závažných onemocnění, programy podporující zdravý způsob života, </w:t>
      </w:r>
      <w:r w:rsidRPr="00356311">
        <w:rPr>
          <w:rFonts w:asciiTheme="minorHAnsi" w:hAnsiTheme="minorHAnsi"/>
        </w:rPr>
        <w:t>preventivní programy pro dárce krve, plasmy a kostní dřeně</w:t>
      </w:r>
      <w:r>
        <w:rPr>
          <w:rFonts w:asciiTheme="minorHAnsi" w:hAnsiTheme="minorHAnsi"/>
        </w:rPr>
        <w:t xml:space="preserve"> a</w:t>
      </w:r>
      <w:r>
        <w:t xml:space="preserve"> </w:t>
      </w:r>
      <w:r w:rsidRPr="00356311">
        <w:rPr>
          <w:rFonts w:asciiTheme="minorHAnsi" w:hAnsiTheme="minorHAnsi"/>
        </w:rPr>
        <w:t>rehabilitačně rekondiční preventivní programy</w:t>
      </w:r>
      <w:r>
        <w:rPr>
          <w:rFonts w:asciiTheme="minorHAnsi" w:hAnsiTheme="minorHAnsi"/>
        </w:rPr>
        <w:t>.</w:t>
      </w:r>
    </w:p>
    <w:p w:rsidR="00302527" w:rsidRPr="006A4E3D" w:rsidRDefault="00302527" w:rsidP="00302527">
      <w:pPr>
        <w:ind w:firstLine="426"/>
        <w:jc w:val="both"/>
        <w:rPr>
          <w:rFonts w:asciiTheme="minorHAnsi" w:hAnsiTheme="minorHAnsi"/>
        </w:rPr>
      </w:pPr>
      <w:r w:rsidRPr="006A4E3D">
        <w:rPr>
          <w:rFonts w:asciiTheme="minorHAnsi" w:hAnsiTheme="minorHAnsi"/>
        </w:rPr>
        <w:t xml:space="preserve">Ministerstvo zdravotnictví vytváří vlastní modelaci </w:t>
      </w:r>
      <w:r w:rsidRPr="00356311">
        <w:rPr>
          <w:rFonts w:asciiTheme="minorHAnsi" w:hAnsiTheme="minorHAnsi"/>
          <w:b/>
        </w:rPr>
        <w:t>příjmů z pojistného</w:t>
      </w:r>
      <w:r w:rsidRPr="006A4E3D">
        <w:rPr>
          <w:rFonts w:asciiTheme="minorHAnsi" w:hAnsiTheme="minorHAnsi"/>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302527" w:rsidRPr="006A4E3D" w:rsidRDefault="00302527" w:rsidP="00302527">
      <w:pPr>
        <w:ind w:firstLine="426"/>
        <w:jc w:val="both"/>
        <w:rPr>
          <w:rFonts w:asciiTheme="minorHAnsi" w:hAnsiTheme="minorHAnsi"/>
        </w:rPr>
      </w:pPr>
      <w:r>
        <w:rPr>
          <w:rFonts w:asciiTheme="minorHAnsi" w:hAnsiTheme="minorHAnsi"/>
        </w:rPr>
        <w:t>ČPZP</w:t>
      </w:r>
      <w:r w:rsidRPr="006A4E3D">
        <w:rPr>
          <w:rFonts w:asciiTheme="minorHAnsi" w:hAnsiTheme="minorHAnsi"/>
        </w:rPr>
        <w:t xml:space="preserve"> plánuje na straně příjmů pro rok 2014 objem prostředků z pojistného po přerozdělení ve výši </w:t>
      </w:r>
      <w:r>
        <w:rPr>
          <w:rFonts w:asciiTheme="minorHAnsi" w:hAnsiTheme="minorHAnsi"/>
        </w:rPr>
        <w:t>2</w:t>
      </w:r>
      <w:r w:rsidR="006963B3">
        <w:rPr>
          <w:rFonts w:asciiTheme="minorHAnsi" w:hAnsiTheme="minorHAnsi"/>
        </w:rPr>
        <w:t>3,57</w:t>
      </w:r>
      <w:r>
        <w:rPr>
          <w:rFonts w:asciiTheme="minorHAnsi" w:hAnsiTheme="minorHAnsi"/>
        </w:rPr>
        <w:t xml:space="preserve"> </w:t>
      </w:r>
      <w:r w:rsidRPr="006A4E3D">
        <w:rPr>
          <w:rFonts w:asciiTheme="minorHAnsi" w:hAnsiTheme="minorHAnsi"/>
        </w:rPr>
        <w:t xml:space="preserve">mld. Kč. Lze konstatovat, že tento odhad je ve shodě s výše </w:t>
      </w:r>
      <w:r w:rsidRPr="006A4E3D">
        <w:rPr>
          <w:rFonts w:asciiTheme="minorHAnsi" w:hAnsiTheme="minorHAnsi"/>
        </w:rPr>
        <w:lastRenderedPageBreak/>
        <w:t>popsanou modelací Ministers</w:t>
      </w:r>
      <w:r>
        <w:rPr>
          <w:rFonts w:asciiTheme="minorHAnsi" w:hAnsiTheme="minorHAnsi"/>
        </w:rPr>
        <w:t>t</w:t>
      </w:r>
      <w:r w:rsidR="000E74F9">
        <w:rPr>
          <w:rFonts w:asciiTheme="minorHAnsi" w:hAnsiTheme="minorHAnsi"/>
        </w:rPr>
        <w:t>va zdravotnictví, které pro ČPZP</w:t>
      </w:r>
      <w:r>
        <w:rPr>
          <w:rFonts w:asciiTheme="minorHAnsi" w:hAnsiTheme="minorHAnsi"/>
        </w:rPr>
        <w:t xml:space="preserve"> </w:t>
      </w:r>
      <w:r w:rsidRPr="006A4E3D">
        <w:rPr>
          <w:rFonts w:asciiTheme="minorHAnsi" w:hAnsiTheme="minorHAnsi"/>
        </w:rPr>
        <w:t xml:space="preserve">předpokládá v roce 2014 příjmy ve </w:t>
      </w:r>
      <w:r w:rsidRPr="007D11D5">
        <w:rPr>
          <w:rFonts w:asciiTheme="minorHAnsi" w:hAnsiTheme="minorHAnsi"/>
        </w:rPr>
        <w:t xml:space="preserve">výši </w:t>
      </w:r>
      <w:r>
        <w:rPr>
          <w:rFonts w:asciiTheme="minorHAnsi" w:hAnsiTheme="minorHAnsi"/>
        </w:rPr>
        <w:t>23,72</w:t>
      </w:r>
      <w:r w:rsidRPr="007D11D5">
        <w:rPr>
          <w:rFonts w:asciiTheme="minorHAnsi" w:hAnsiTheme="minorHAnsi"/>
        </w:rPr>
        <w:t xml:space="preserve"> mld</w:t>
      </w:r>
      <w:r w:rsidR="000E74F9">
        <w:rPr>
          <w:rFonts w:asciiTheme="minorHAnsi" w:hAnsiTheme="minorHAnsi"/>
        </w:rPr>
        <w:t xml:space="preserve">. Kč. Odhad ČPZP </w:t>
      </w:r>
      <w:r w:rsidRPr="007D11D5">
        <w:rPr>
          <w:rFonts w:asciiTheme="minorHAnsi" w:hAnsiTheme="minorHAnsi"/>
        </w:rPr>
        <w:t xml:space="preserve">tvoří </w:t>
      </w:r>
      <w:r>
        <w:rPr>
          <w:rFonts w:asciiTheme="minorHAnsi" w:hAnsiTheme="minorHAnsi"/>
        </w:rPr>
        <w:t>100,80</w:t>
      </w:r>
      <w:r w:rsidRPr="007D11D5">
        <w:rPr>
          <w:rFonts w:asciiTheme="minorHAnsi" w:hAnsiTheme="minorHAnsi"/>
        </w:rPr>
        <w:t xml:space="preserve"> </w:t>
      </w:r>
      <w:r w:rsidRPr="006A4E3D">
        <w:rPr>
          <w:rFonts w:asciiTheme="minorHAnsi" w:hAnsiTheme="minorHAnsi"/>
        </w:rPr>
        <w:t>% odhadu ministerstva, a splňuje tak stanovenou toleranci 10 %.</w:t>
      </w:r>
    </w:p>
    <w:p w:rsidR="00302527" w:rsidRPr="006A4E3D" w:rsidRDefault="00302527" w:rsidP="00302527">
      <w:pPr>
        <w:ind w:firstLine="426"/>
        <w:jc w:val="both"/>
        <w:rPr>
          <w:rFonts w:asciiTheme="minorHAnsi" w:hAnsiTheme="minorHAnsi"/>
        </w:rPr>
      </w:pPr>
      <w:r w:rsidRPr="006A4E3D">
        <w:rPr>
          <w:rFonts w:asciiTheme="minorHAnsi" w:hAnsiTheme="minorHAnsi"/>
        </w:rPr>
        <w:t xml:space="preserve">V oblasti zdravotní politiky Ministerstvo zdravotnictví hodnotí především </w:t>
      </w:r>
      <w:r w:rsidRPr="00356311">
        <w:rPr>
          <w:rFonts w:asciiTheme="minorHAnsi" w:hAnsiTheme="minorHAnsi"/>
          <w:b/>
        </w:rPr>
        <w:t xml:space="preserve">soulad </w:t>
      </w:r>
      <w:r w:rsidR="000E74F9">
        <w:rPr>
          <w:rFonts w:asciiTheme="minorHAnsi" w:hAnsiTheme="minorHAnsi"/>
          <w:b/>
        </w:rPr>
        <w:br/>
      </w:r>
      <w:r w:rsidRPr="00356311">
        <w:rPr>
          <w:rFonts w:asciiTheme="minorHAnsi" w:hAnsiTheme="minorHAnsi"/>
          <w:b/>
        </w:rPr>
        <w:t>s modelacemi dopadů úhradové vyhlášky na rok 2014</w:t>
      </w:r>
      <w:r w:rsidRPr="006A4E3D">
        <w:rPr>
          <w:rFonts w:asciiTheme="minorHAnsi" w:hAnsiTheme="minorHAnsi"/>
        </w:rPr>
        <w:t>. Úhradová vyhláška je na smluvní vztahy aplikována pouze v případě, kdy nedojde k dohodě na úhradovém dodatku</w:t>
      </w:r>
      <w:r w:rsidR="005111C5">
        <w:rPr>
          <w:rFonts w:asciiTheme="minorHAnsi" w:hAnsiTheme="minorHAnsi"/>
        </w:rPr>
        <w:t>. P</w:t>
      </w:r>
      <w:r w:rsidRPr="006A4E3D">
        <w:rPr>
          <w:rFonts w:asciiTheme="minorHAnsi" w:hAnsiTheme="minorHAnsi"/>
        </w:rPr>
        <w:t>ro hypotetický případ, kdy k dohodám nedojde, a kdy by celý systém fungoval právě podle úhradové vyhlášky, je nutné dohlédnout na konstrukci zdravotně pojistného plánu v takové podobě, aby úhrady podle úhradové vyhlášky umožňoval.</w:t>
      </w:r>
    </w:p>
    <w:p w:rsidR="00302527" w:rsidRPr="006A4E3D" w:rsidRDefault="00302527" w:rsidP="00302527">
      <w:pPr>
        <w:ind w:firstLine="426"/>
        <w:jc w:val="both"/>
        <w:rPr>
          <w:rFonts w:asciiTheme="minorHAnsi" w:hAnsiTheme="minorHAnsi"/>
        </w:rPr>
      </w:pPr>
      <w:r w:rsidRPr="006A4E3D">
        <w:rPr>
          <w:rFonts w:asciiTheme="minorHAnsi" w:hAnsiTheme="minorHAnsi"/>
        </w:rPr>
        <w:t>Ministerstvo hodnotí jednotlivé plánované položky dle segmentů uvedených v příloze ZPP v tabulce č. 12 tím způsobem, že umožňuje zdravotní pojišťovně odchylku směrem nahoru, tedy plánování vyšších nákladů na daný segment, než jaké předpokládá modelace na základě úhradové vyhlášky. V opačném směru je tolerována odchylka do výše 10 % z důvodu skutečnosti, že výsledky výpočtů zdravotní pojišťovny a ministerstva jsou modelací, nikoli přesným odhadem.</w:t>
      </w:r>
    </w:p>
    <w:p w:rsidR="00302527" w:rsidRDefault="00302527" w:rsidP="00302527">
      <w:pPr>
        <w:ind w:firstLine="426"/>
        <w:jc w:val="both"/>
        <w:rPr>
          <w:rFonts w:asciiTheme="minorHAnsi" w:hAnsiTheme="minorHAnsi"/>
        </w:rPr>
      </w:pPr>
      <w:r>
        <w:rPr>
          <w:rFonts w:asciiTheme="minorHAnsi" w:hAnsiTheme="minorHAnsi"/>
        </w:rPr>
        <w:t>V případě</w:t>
      </w:r>
      <w:r w:rsidR="000E74F9">
        <w:rPr>
          <w:rFonts w:asciiTheme="minorHAnsi" w:hAnsiTheme="minorHAnsi"/>
        </w:rPr>
        <w:t xml:space="preserve"> ČPZP</w:t>
      </w:r>
      <w:r w:rsidRPr="006A4E3D">
        <w:rPr>
          <w:rFonts w:asciiTheme="minorHAnsi" w:hAnsiTheme="minorHAnsi"/>
        </w:rPr>
        <w:t xml:space="preserve"> lze konstatovat, že struktura nákladů dle segmentů v příloze ZPP </w:t>
      </w:r>
      <w:r w:rsidR="000E74F9">
        <w:rPr>
          <w:rFonts w:asciiTheme="minorHAnsi" w:hAnsiTheme="minorHAnsi"/>
        </w:rPr>
        <w:br/>
      </w:r>
      <w:r w:rsidRPr="006A4E3D">
        <w:rPr>
          <w:rFonts w:asciiTheme="minorHAnsi" w:hAnsiTheme="minorHAnsi"/>
        </w:rPr>
        <w:t>v tabulce č. 12 je ve všech položkách v souladu s modelací Ministerstva zdravotnictví.</w:t>
      </w:r>
    </w:p>
    <w:p w:rsidR="00302527" w:rsidRPr="002B6E5A" w:rsidRDefault="00302527" w:rsidP="00302527">
      <w:pPr>
        <w:ind w:firstLine="426"/>
        <w:jc w:val="both"/>
        <w:rPr>
          <w:rFonts w:asciiTheme="minorHAnsi" w:hAnsiTheme="minorHAnsi"/>
        </w:rPr>
      </w:pPr>
    </w:p>
    <w:p w:rsidR="00302527" w:rsidRPr="00356311" w:rsidRDefault="00302527" w:rsidP="00302527">
      <w:pPr>
        <w:pStyle w:val="Odstavecseseznamem"/>
        <w:ind w:left="0"/>
        <w:rPr>
          <w:rFonts w:asciiTheme="minorHAnsi" w:hAnsiTheme="minorHAnsi" w:cs="Arial"/>
          <w:b/>
          <w:sz w:val="24"/>
          <w:szCs w:val="24"/>
          <w:u w:val="single"/>
        </w:rPr>
      </w:pPr>
      <w:r w:rsidRPr="00356311">
        <w:rPr>
          <w:rFonts w:asciiTheme="minorHAnsi" w:hAnsiTheme="minorHAnsi" w:cs="Arial"/>
          <w:b/>
          <w:sz w:val="24"/>
          <w:szCs w:val="24"/>
          <w:u w:val="single"/>
        </w:rPr>
        <w:t>Závěr</w:t>
      </w:r>
    </w:p>
    <w:p w:rsidR="00302527" w:rsidRDefault="00302527" w:rsidP="00302527">
      <w:pPr>
        <w:ind w:firstLine="426"/>
        <w:jc w:val="both"/>
        <w:rPr>
          <w:rFonts w:asciiTheme="minorHAnsi" w:hAnsiTheme="minorHAnsi" w:cs="Arial"/>
          <w:b/>
        </w:rPr>
      </w:pPr>
      <w:r w:rsidRPr="005F1629">
        <w:rPr>
          <w:rFonts w:asciiTheme="minorHAnsi" w:hAnsiTheme="minorHAnsi" w:cs="Arial"/>
          <w:b/>
        </w:rPr>
        <w:t xml:space="preserve">Z obdržených podkladů lze soudit, že návrh ZPP 2014 </w:t>
      </w:r>
      <w:r>
        <w:rPr>
          <w:rFonts w:asciiTheme="minorHAnsi" w:hAnsiTheme="minorHAnsi" w:cs="Arial"/>
          <w:b/>
        </w:rPr>
        <w:t>České průmyslové zdravotní pojišťovny</w:t>
      </w:r>
      <w:r w:rsidRPr="005F1629">
        <w:rPr>
          <w:rFonts w:asciiTheme="minorHAnsi" w:hAnsiTheme="minorHAnsi" w:cs="Arial"/>
          <w:b/>
        </w:rPr>
        <w:t xml:space="preserve"> je v souladu s právními předpisy a veřejným zájmem. Ministerstvo zdravotnictví a Minister</w:t>
      </w:r>
      <w:r w:rsidR="000E74F9">
        <w:rPr>
          <w:rFonts w:asciiTheme="minorHAnsi" w:hAnsiTheme="minorHAnsi" w:cs="Arial"/>
          <w:b/>
        </w:rPr>
        <w:t>stvo financí doporučují vládě České republiky</w:t>
      </w:r>
      <w:r w:rsidRPr="005F1629">
        <w:rPr>
          <w:rFonts w:asciiTheme="minorHAnsi" w:hAnsiTheme="minorHAnsi" w:cs="Arial"/>
          <w:b/>
        </w:rPr>
        <w:t xml:space="preserve"> předložit tento návrh Poslanecké sněmovně Parlamentu České republiky k projednání s návrhem na jeho schválení.</w:t>
      </w:r>
    </w:p>
    <w:p w:rsidR="00302527" w:rsidRDefault="00302527" w:rsidP="004F6633">
      <w:pPr>
        <w:ind w:left="993" w:hanging="993"/>
        <w:jc w:val="both"/>
        <w:rPr>
          <w:rFonts w:asciiTheme="minorHAnsi" w:hAnsiTheme="minorHAnsi" w:cs="Arial"/>
          <w:b/>
          <w:sz w:val="28"/>
          <w:szCs w:val="28"/>
        </w:rPr>
      </w:pPr>
    </w:p>
    <w:p w:rsidR="00302527" w:rsidRDefault="00302527">
      <w:pPr>
        <w:rPr>
          <w:rFonts w:asciiTheme="minorHAnsi" w:hAnsiTheme="minorHAnsi" w:cs="Arial"/>
          <w:b/>
          <w:sz w:val="28"/>
          <w:szCs w:val="28"/>
        </w:rPr>
      </w:pPr>
      <w:r>
        <w:rPr>
          <w:rFonts w:asciiTheme="minorHAnsi" w:hAnsiTheme="minorHAnsi" w:cs="Arial"/>
          <w:b/>
          <w:sz w:val="28"/>
          <w:szCs w:val="28"/>
        </w:rPr>
        <w:br w:type="page"/>
      </w:r>
    </w:p>
    <w:p w:rsidR="00483C75" w:rsidRPr="005F1629" w:rsidRDefault="00483C75" w:rsidP="004F6633">
      <w:pPr>
        <w:ind w:left="993" w:hanging="993"/>
        <w:jc w:val="both"/>
        <w:rPr>
          <w:rFonts w:asciiTheme="minorHAnsi" w:hAnsiTheme="minorHAnsi" w:cs="Arial"/>
          <w:b/>
          <w:sz w:val="28"/>
          <w:szCs w:val="28"/>
          <w:u w:val="single"/>
        </w:rPr>
      </w:pPr>
      <w:r w:rsidRPr="005F1629">
        <w:rPr>
          <w:rFonts w:asciiTheme="minorHAnsi" w:hAnsiTheme="minorHAnsi" w:cs="Arial"/>
          <w:b/>
          <w:sz w:val="28"/>
          <w:szCs w:val="28"/>
        </w:rPr>
        <w:lastRenderedPageBreak/>
        <w:t xml:space="preserve">207 – </w:t>
      </w:r>
      <w:r w:rsidRPr="005F1629">
        <w:rPr>
          <w:rFonts w:asciiTheme="minorHAnsi" w:hAnsiTheme="minorHAnsi" w:cs="Arial"/>
          <w:b/>
          <w:sz w:val="28"/>
          <w:szCs w:val="28"/>
          <w:u w:val="single"/>
        </w:rPr>
        <w:t xml:space="preserve">Oborová zdravotní pojišťovna </w:t>
      </w:r>
      <w:r w:rsidR="008F47F2" w:rsidRPr="005F1629">
        <w:rPr>
          <w:rFonts w:asciiTheme="minorHAnsi" w:hAnsiTheme="minorHAnsi" w:cs="Arial"/>
          <w:b/>
          <w:sz w:val="28"/>
          <w:szCs w:val="28"/>
          <w:u w:val="single"/>
        </w:rPr>
        <w:t xml:space="preserve">zaměstnanců </w:t>
      </w:r>
      <w:r w:rsidRPr="005F1629">
        <w:rPr>
          <w:rFonts w:asciiTheme="minorHAnsi" w:hAnsiTheme="minorHAnsi" w:cs="Arial"/>
          <w:b/>
          <w:sz w:val="28"/>
          <w:szCs w:val="28"/>
          <w:u w:val="single"/>
        </w:rPr>
        <w:t>bank, pojišťoven a stavebnictví</w:t>
      </w:r>
      <w:r w:rsidR="004F6633" w:rsidRPr="005F1629">
        <w:rPr>
          <w:rFonts w:asciiTheme="minorHAnsi" w:hAnsiTheme="minorHAnsi" w:cs="Arial"/>
          <w:b/>
          <w:sz w:val="28"/>
          <w:szCs w:val="28"/>
          <w:u w:val="single"/>
        </w:rPr>
        <w:t xml:space="preserve"> </w:t>
      </w:r>
      <w:r w:rsidRPr="005F1629">
        <w:rPr>
          <w:rFonts w:asciiTheme="minorHAnsi" w:hAnsiTheme="minorHAnsi" w:cs="Arial"/>
          <w:b/>
          <w:sz w:val="28"/>
          <w:szCs w:val="28"/>
        </w:rPr>
        <w:t>(OZP)</w:t>
      </w:r>
    </w:p>
    <w:p w:rsidR="00483C75" w:rsidRPr="005F1629" w:rsidRDefault="00483C75" w:rsidP="00483C75">
      <w:pPr>
        <w:rPr>
          <w:rFonts w:asciiTheme="minorHAnsi" w:hAnsiTheme="minorHAnsi" w:cs="Arial"/>
        </w:rPr>
      </w:pPr>
    </w:p>
    <w:p w:rsidR="004B7948" w:rsidRPr="005F1629" w:rsidRDefault="004B7948" w:rsidP="004B7948">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4B7948" w:rsidRPr="005F1629" w:rsidRDefault="004B7948" w:rsidP="004B7948">
      <w:pPr>
        <w:ind w:left="360" w:hanging="360"/>
        <w:jc w:val="both"/>
        <w:rPr>
          <w:rFonts w:asciiTheme="minorHAnsi" w:hAnsiTheme="minorHAnsi" w:cs="Arial"/>
          <w:b/>
          <w:sz w:val="28"/>
          <w:szCs w:val="28"/>
          <w:u w:val="single"/>
        </w:rPr>
      </w:pPr>
      <w:r w:rsidRPr="005F1629">
        <w:rPr>
          <w:rFonts w:asciiTheme="minorHAnsi" w:hAnsiTheme="minorHAnsi" w:cs="Arial"/>
          <w:i/>
          <w:sz w:val="20"/>
          <w:szCs w:val="20"/>
        </w:rPr>
        <w:t xml:space="preserve">(použité číselné údaje jsou obsaženy v příloze, v tabulkách č. 1, 1a),1b,) 1c), případně v ZPP 2014) </w:t>
      </w:r>
    </w:p>
    <w:p w:rsidR="004B7948" w:rsidRPr="005F1629" w:rsidRDefault="004B7948" w:rsidP="004B7948">
      <w:pPr>
        <w:ind w:firstLine="360"/>
        <w:jc w:val="both"/>
        <w:rPr>
          <w:rFonts w:asciiTheme="minorHAnsi" w:hAnsiTheme="minorHAnsi" w:cs="Arial"/>
        </w:rPr>
      </w:pPr>
    </w:p>
    <w:p w:rsidR="004B7948" w:rsidRPr="005F1629" w:rsidRDefault="004B7948" w:rsidP="00DE0C41">
      <w:pPr>
        <w:ind w:firstLine="426"/>
        <w:jc w:val="both"/>
        <w:rPr>
          <w:rFonts w:asciiTheme="minorHAnsi" w:hAnsiTheme="minorHAnsi" w:cs="Arial"/>
        </w:rPr>
      </w:pPr>
      <w:r w:rsidRPr="005F1629">
        <w:rPr>
          <w:rFonts w:asciiTheme="minorHAnsi" w:hAnsiTheme="minorHAnsi" w:cs="Arial"/>
        </w:rPr>
        <w:t>OZP jako zdravotní pojišťovna s celostátní působností počítá pro rok 2014 se zachováním </w:t>
      </w:r>
      <w:r w:rsidRPr="005F1629">
        <w:rPr>
          <w:rFonts w:asciiTheme="minorHAnsi" w:hAnsiTheme="minorHAnsi" w:cs="Arial"/>
          <w:b/>
        </w:rPr>
        <w:t>organizační struktury</w:t>
      </w:r>
      <w:r w:rsidRPr="005F1629">
        <w:rPr>
          <w:rFonts w:asciiTheme="minorHAnsi" w:hAnsiTheme="minorHAnsi" w:cs="Arial"/>
        </w:rPr>
        <w:t>, která byla v roce 2013 upravena postupným převodem administrace smluvních vztahů na dvě regionální divize Čechy a Morava. OZP plánuje v roce 2014 jen mírný nárůst počtu pracovních pozic na ředitelství a dílčí změny pracovních míst, zejména s ohledem na zavádění nového informačního systému.</w:t>
      </w:r>
    </w:p>
    <w:p w:rsidR="004B7948" w:rsidRPr="005F1629" w:rsidRDefault="004B7948" w:rsidP="00553365">
      <w:pPr>
        <w:ind w:firstLine="357"/>
        <w:rPr>
          <w:rFonts w:asciiTheme="minorHAnsi" w:hAnsiTheme="minorHAnsi" w:cs="Arial"/>
        </w:rPr>
      </w:pPr>
    </w:p>
    <w:p w:rsidR="004B7948" w:rsidRPr="005F1629" w:rsidRDefault="004B7948" w:rsidP="00DE0C41">
      <w:pPr>
        <w:ind w:firstLine="426"/>
        <w:jc w:val="both"/>
        <w:rPr>
          <w:rFonts w:asciiTheme="minorHAnsi" w:hAnsiTheme="minorHAnsi" w:cs="Arial"/>
        </w:rPr>
      </w:pPr>
      <w:r w:rsidRPr="005F1629">
        <w:rPr>
          <w:rFonts w:asciiTheme="minorHAnsi" w:hAnsiTheme="minorHAnsi" w:cs="Arial"/>
        </w:rPr>
        <w:t xml:space="preserve">Cílem OZP v roce 2014 je udržení </w:t>
      </w:r>
      <w:r w:rsidRPr="005F1629">
        <w:rPr>
          <w:rFonts w:asciiTheme="minorHAnsi" w:hAnsiTheme="minorHAnsi" w:cs="Arial"/>
          <w:b/>
        </w:rPr>
        <w:t>vyrovnaného</w:t>
      </w:r>
      <w:r w:rsidRPr="005F1629">
        <w:rPr>
          <w:rFonts w:asciiTheme="minorHAnsi" w:hAnsiTheme="minorHAnsi" w:cs="Arial"/>
        </w:rPr>
        <w:t xml:space="preserve"> hospodaření při růstu výdajů na zdravotní služby v celém rozsahu předpokládaného zvýšení příjmů, odhadovaného vývoje množství a spektra poskytovaných zdravotních služeb, návrhu úhradové vyhlášky na rok 2014 a vlivu platných změn dalších právních předpisů, které byly k dispozici při sestavení návrhu ZPP 2014. V případě, že by se vývoj příjmů vyvíjel příznivěji, každé dodatečné zdroje hodlá OZP použít na zvýšení výdajů až do hranice plánovaného zůstatku BÚ ZFZP k 31. 12. 2014, tj. do výše peněžní zásoby potřebné k zajištění plynulosti úhrad za zdravotní služby ve lhůtě splatnosti. Při naplnění plánovaných předpokladů tempo nárůstu výdajů na zdravotní služby hrazených ze ZFZP ve výši 8,8 % převyšuje tempo nárůstu příjmů z pojistného vč. vlivu přerozdělování o 1,5 p.</w:t>
      </w:r>
      <w:r w:rsidR="00E276B6">
        <w:rPr>
          <w:rFonts w:asciiTheme="minorHAnsi" w:hAnsiTheme="minorHAnsi" w:cs="Arial"/>
        </w:rPr>
        <w:t xml:space="preserve"> </w:t>
      </w:r>
      <w:r w:rsidRPr="005F1629">
        <w:rPr>
          <w:rFonts w:asciiTheme="minorHAnsi" w:hAnsiTheme="minorHAnsi" w:cs="Arial"/>
        </w:rPr>
        <w:t xml:space="preserve">b. </w:t>
      </w:r>
    </w:p>
    <w:p w:rsidR="004B7948" w:rsidRPr="005F1629" w:rsidRDefault="004B7948" w:rsidP="00553365">
      <w:pPr>
        <w:ind w:firstLine="357"/>
        <w:jc w:val="both"/>
        <w:rPr>
          <w:rFonts w:asciiTheme="minorHAnsi" w:hAnsiTheme="minorHAnsi" w:cs="Arial"/>
        </w:rPr>
      </w:pPr>
    </w:p>
    <w:p w:rsidR="004B7948" w:rsidRPr="005F1629" w:rsidRDefault="004B7948" w:rsidP="00DE0C41">
      <w:pPr>
        <w:ind w:firstLine="426"/>
        <w:jc w:val="both"/>
        <w:rPr>
          <w:rFonts w:asciiTheme="minorHAnsi" w:hAnsiTheme="minorHAnsi" w:cs="Arial"/>
        </w:rPr>
      </w:pPr>
      <w:r w:rsidRPr="005F1629">
        <w:rPr>
          <w:rFonts w:asciiTheme="minorHAnsi" w:hAnsiTheme="minorHAnsi" w:cs="Arial"/>
          <w:b/>
        </w:rPr>
        <w:t>Plánovaný průměrný počet</w:t>
      </w:r>
      <w:r w:rsidRPr="005F1629">
        <w:rPr>
          <w:rFonts w:asciiTheme="minorHAnsi" w:hAnsiTheme="minorHAnsi" w:cs="Arial"/>
        </w:rPr>
        <w:t xml:space="preserve"> 728 985 </w:t>
      </w:r>
      <w:r w:rsidRPr="005F1629">
        <w:rPr>
          <w:rFonts w:asciiTheme="minorHAnsi" w:hAnsiTheme="minorHAnsi" w:cs="Arial"/>
          <w:b/>
        </w:rPr>
        <w:t>pojištěnců</w:t>
      </w:r>
      <w:r w:rsidRPr="005F1629">
        <w:rPr>
          <w:rFonts w:asciiTheme="minorHAnsi" w:hAnsiTheme="minorHAnsi" w:cs="Arial"/>
        </w:rPr>
        <w:t xml:space="preserve"> mezir</w:t>
      </w:r>
      <w:r w:rsidR="00B8004F" w:rsidRPr="005F1629">
        <w:rPr>
          <w:rFonts w:asciiTheme="minorHAnsi" w:hAnsiTheme="minorHAnsi" w:cs="Arial"/>
        </w:rPr>
        <w:t>očně roste o 3,4 % (o </w:t>
      </w:r>
      <w:r w:rsidRPr="005F1629">
        <w:rPr>
          <w:rFonts w:asciiTheme="minorHAnsi" w:hAnsiTheme="minorHAnsi" w:cs="Arial"/>
        </w:rPr>
        <w:t>24 179). Z toho rychleji roste plánovaný počet státem hrazených pojištěnců o 4,4 % (o 17 925) a OZP předpokládá, že jejich podíl přesáhne 58 %. Plánovaný počet pojištěnců k 31. 12. 2014 činí 731 350 s meziročním nárůstem o 3,4 % (o 24 050). Na jednoho zaměstnance připadá v průměru 1 894 pojištěnců, což je meziročně více o 39 pojištěnců.</w:t>
      </w:r>
    </w:p>
    <w:p w:rsidR="004B7948" w:rsidRPr="005F1629" w:rsidRDefault="004B7948" w:rsidP="004B7948">
      <w:pPr>
        <w:rPr>
          <w:rFonts w:asciiTheme="minorHAnsi" w:hAnsiTheme="minorHAnsi" w:cs="Arial"/>
          <w:b/>
          <w:i/>
          <w:u w:val="single"/>
        </w:rPr>
      </w:pPr>
    </w:p>
    <w:p w:rsidR="004B7948" w:rsidRPr="005F1629" w:rsidRDefault="004B7948" w:rsidP="004B7948">
      <w:pPr>
        <w:rPr>
          <w:rFonts w:asciiTheme="minorHAnsi" w:hAnsiTheme="minorHAnsi" w:cs="Arial"/>
          <w:b/>
          <w:i/>
          <w:u w:val="single"/>
        </w:rPr>
      </w:pPr>
      <w:r w:rsidRPr="005F1629">
        <w:rPr>
          <w:rFonts w:asciiTheme="minorHAnsi" w:hAnsiTheme="minorHAnsi" w:cs="Arial"/>
          <w:b/>
          <w:i/>
          <w:u w:val="single"/>
        </w:rPr>
        <w:t xml:space="preserve">Plánované ukazatele  na rok 2014 </w:t>
      </w:r>
    </w:p>
    <w:p w:rsidR="004B7948" w:rsidRPr="005F1629" w:rsidRDefault="004B7948" w:rsidP="004B7948">
      <w:pPr>
        <w:ind w:firstLine="360"/>
        <w:jc w:val="both"/>
        <w:rPr>
          <w:rFonts w:asciiTheme="minorHAnsi" w:hAnsiTheme="minorHAnsi" w:cs="Arial"/>
        </w:rPr>
      </w:pPr>
    </w:p>
    <w:p w:rsidR="004B7948" w:rsidRPr="005F1629" w:rsidRDefault="004B7948" w:rsidP="00553365">
      <w:pPr>
        <w:pStyle w:val="Odstavecseseznamem"/>
        <w:numPr>
          <w:ilvl w:val="0"/>
          <w:numId w:val="27"/>
        </w:numPr>
        <w:spacing w:after="0" w:line="240" w:lineRule="auto"/>
        <w:jc w:val="both"/>
        <w:rPr>
          <w:rFonts w:asciiTheme="minorHAnsi" w:hAnsiTheme="minorHAnsi" w:cs="Arial"/>
          <w:sz w:val="24"/>
          <w:szCs w:val="24"/>
        </w:rPr>
      </w:pPr>
      <w:r w:rsidRPr="005F1629">
        <w:rPr>
          <w:rFonts w:asciiTheme="minorHAnsi" w:hAnsiTheme="minorHAnsi" w:cs="Arial"/>
          <w:b/>
          <w:sz w:val="24"/>
          <w:szCs w:val="24"/>
        </w:rPr>
        <w:t>Příjmy celkem včetně zdaňovaných</w:t>
      </w:r>
      <w:r w:rsidRPr="005F1629">
        <w:rPr>
          <w:rFonts w:asciiTheme="minorHAnsi" w:hAnsiTheme="minorHAnsi" w:cs="Arial"/>
          <w:sz w:val="24"/>
          <w:szCs w:val="24"/>
        </w:rPr>
        <w:t xml:space="preserve"> jsou odhadovány ve výši 14 592 889 tis. Kč s meziročním nárůstem o 7,3 %. Tyto plánované příjmy pokrývají plánované výdaje celkem včetně zdaňovaných z 99 %. Zbytek představuje zapojení peněžních zůstatků fondů OZP z minulých let.</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 xml:space="preserve">Příjmy z pojistného po přerozdělování </w:t>
      </w:r>
      <w:r w:rsidR="00B8004F" w:rsidRPr="005F1629">
        <w:rPr>
          <w:rFonts w:asciiTheme="minorHAnsi" w:hAnsiTheme="minorHAnsi" w:cs="Arial"/>
          <w:sz w:val="24"/>
          <w:szCs w:val="24"/>
        </w:rPr>
        <w:t xml:space="preserve">jsou plánovány ve výši </w:t>
      </w:r>
      <w:r w:rsidRPr="005F1629">
        <w:rPr>
          <w:rFonts w:asciiTheme="minorHAnsi" w:hAnsiTheme="minorHAnsi" w:cs="Arial"/>
          <w:sz w:val="24"/>
          <w:szCs w:val="24"/>
        </w:rPr>
        <w:t xml:space="preserve">14 459 000 tis. Kč s meziročním nárůstem o 7,3 %, v tom příjmy z vlastního výběru pojistného činí 16 438 000 tis. Kč s meziročním nárůstem o 2,7 % a peněžní prostředky plynoucí z OZP do přerozdělování v systému v.z.p. jsou odhadovány ve výši – 1 979 000 tis. Kč s meziročním poklesem o 21,8 %. Odhad této meziroční změny je ovlivněn zejména zvýšením platby státu při očekávaném zvýšení počtu pojištěnců OZP, za které je plátcem stát. </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Průměrný příjem pojistného po přerozděl</w:t>
      </w:r>
      <w:r w:rsidR="00553365" w:rsidRPr="005F1629">
        <w:rPr>
          <w:rFonts w:asciiTheme="minorHAnsi" w:hAnsiTheme="minorHAnsi" w:cs="Arial"/>
          <w:b/>
          <w:sz w:val="24"/>
          <w:szCs w:val="24"/>
        </w:rPr>
        <w:t>ování na jednoho pojištěnce činí</w:t>
      </w:r>
      <w:r w:rsidR="00B8004F" w:rsidRPr="005F1629">
        <w:rPr>
          <w:rFonts w:asciiTheme="minorHAnsi" w:hAnsiTheme="minorHAnsi" w:cs="Arial"/>
          <w:b/>
          <w:sz w:val="24"/>
          <w:szCs w:val="24"/>
        </w:rPr>
        <w:t> </w:t>
      </w:r>
      <w:r w:rsidR="00B8004F" w:rsidRPr="005F1629">
        <w:rPr>
          <w:rFonts w:asciiTheme="minorHAnsi" w:hAnsiTheme="minorHAnsi" w:cs="Arial"/>
          <w:sz w:val="24"/>
          <w:szCs w:val="24"/>
        </w:rPr>
        <w:t>19 </w:t>
      </w:r>
      <w:r w:rsidRPr="005F1629">
        <w:rPr>
          <w:rFonts w:asciiTheme="minorHAnsi" w:hAnsiTheme="minorHAnsi" w:cs="Arial"/>
          <w:sz w:val="24"/>
          <w:szCs w:val="24"/>
        </w:rPr>
        <w:t>834 Kč s meziročním nárůstem o 3,8 %.</w:t>
      </w:r>
    </w:p>
    <w:p w:rsidR="004B7948" w:rsidRPr="005F1629" w:rsidRDefault="004B7948" w:rsidP="00553365">
      <w:pPr>
        <w:pStyle w:val="Odstavecseseznamem"/>
        <w:numPr>
          <w:ilvl w:val="0"/>
          <w:numId w:val="27"/>
        </w:numPr>
        <w:spacing w:after="0" w:line="240" w:lineRule="auto"/>
        <w:ind w:left="330" w:hanging="330"/>
        <w:jc w:val="both"/>
        <w:rPr>
          <w:rFonts w:asciiTheme="minorHAnsi" w:hAnsiTheme="minorHAnsi" w:cs="Arial"/>
          <w:sz w:val="24"/>
          <w:szCs w:val="24"/>
        </w:rPr>
      </w:pPr>
      <w:r w:rsidRPr="005F1629">
        <w:rPr>
          <w:rFonts w:asciiTheme="minorHAnsi" w:hAnsiTheme="minorHAnsi" w:cs="Arial"/>
          <w:b/>
          <w:sz w:val="24"/>
          <w:szCs w:val="24"/>
        </w:rPr>
        <w:t>Výdaje celkem včetně zdaňovaných</w:t>
      </w:r>
      <w:r w:rsidRPr="005F1629">
        <w:rPr>
          <w:rFonts w:asciiTheme="minorHAnsi" w:hAnsiTheme="minorHAnsi" w:cs="Arial"/>
          <w:sz w:val="24"/>
          <w:szCs w:val="24"/>
        </w:rPr>
        <w:t xml:space="preserve"> se plánují v částce 14 746 010 tis. Kč s  meziročním nárůstem o 9,1 %, který představuje především zvýšení výdajů z fondů pro úhradu zdravotních služeb (ZFZP a Fprev) a v provozní činnosti v</w:t>
      </w:r>
      <w:r w:rsidR="00B8004F" w:rsidRPr="005F1629">
        <w:rPr>
          <w:rFonts w:asciiTheme="minorHAnsi" w:hAnsiTheme="minorHAnsi" w:cs="Arial"/>
          <w:sz w:val="24"/>
          <w:szCs w:val="24"/>
        </w:rPr>
        <w:t xml:space="preserve">ýdajů z FRM  při dodržení výše </w:t>
      </w:r>
      <w:r w:rsidRPr="005F1629">
        <w:rPr>
          <w:rFonts w:asciiTheme="minorHAnsi" w:hAnsiTheme="minorHAnsi" w:cs="Arial"/>
          <w:sz w:val="24"/>
          <w:szCs w:val="24"/>
        </w:rPr>
        <w:t>RF v zákonné výši. Z toho největší podíl 95,4 % tvoří</w:t>
      </w:r>
      <w:r w:rsidRPr="005F1629">
        <w:rPr>
          <w:rFonts w:asciiTheme="minorHAnsi" w:hAnsiTheme="minorHAnsi" w:cs="Arial"/>
          <w:b/>
          <w:sz w:val="24"/>
          <w:szCs w:val="24"/>
        </w:rPr>
        <w:t xml:space="preserve"> výdaje na zdravotní služby hrazené</w:t>
      </w:r>
      <w:r w:rsidRPr="005F1629">
        <w:rPr>
          <w:rFonts w:asciiTheme="minorHAnsi" w:hAnsiTheme="minorHAnsi" w:cs="Arial"/>
          <w:sz w:val="24"/>
          <w:szCs w:val="24"/>
        </w:rPr>
        <w:t xml:space="preserve"> </w:t>
      </w:r>
      <w:r w:rsidRPr="005F1629">
        <w:rPr>
          <w:rFonts w:asciiTheme="minorHAnsi" w:hAnsiTheme="minorHAnsi" w:cs="Arial"/>
          <w:b/>
          <w:sz w:val="24"/>
          <w:szCs w:val="24"/>
        </w:rPr>
        <w:t xml:space="preserve">ze </w:t>
      </w:r>
      <w:r w:rsidRPr="005F1629">
        <w:rPr>
          <w:rFonts w:asciiTheme="minorHAnsi" w:hAnsiTheme="minorHAnsi" w:cs="Arial"/>
          <w:b/>
          <w:sz w:val="24"/>
          <w:szCs w:val="24"/>
        </w:rPr>
        <w:lastRenderedPageBreak/>
        <w:t>ZFZP</w:t>
      </w:r>
      <w:r w:rsidRPr="005F1629">
        <w:rPr>
          <w:rFonts w:asciiTheme="minorHAnsi" w:hAnsiTheme="minorHAnsi" w:cs="Arial"/>
          <w:sz w:val="24"/>
          <w:szCs w:val="24"/>
        </w:rPr>
        <w:t xml:space="preserve"> ve výši 14 071 886 tis. Kč s  meziročním nárůstem o 8,8 %, kterým se naplňují záměry smluvní politiky OZP pro rok 2014 a </w:t>
      </w:r>
      <w:r w:rsidRPr="005F1629">
        <w:rPr>
          <w:rFonts w:asciiTheme="minorHAnsi" w:hAnsiTheme="minorHAnsi" w:cs="Arial"/>
          <w:b/>
          <w:sz w:val="24"/>
          <w:szCs w:val="24"/>
        </w:rPr>
        <w:t>Výdaje na zdravotní služby na 1 pojištěnce ze ZFZP</w:t>
      </w:r>
      <w:r w:rsidRPr="005F1629">
        <w:rPr>
          <w:rFonts w:asciiTheme="minorHAnsi" w:hAnsiTheme="minorHAnsi" w:cs="Arial"/>
          <w:sz w:val="24"/>
          <w:szCs w:val="24"/>
        </w:rPr>
        <w:t xml:space="preserve"> činí 19 303 Kč s meziročním nárůstem o 5,2 %. </w:t>
      </w:r>
      <w:r w:rsidRPr="005F1629">
        <w:rPr>
          <w:rFonts w:asciiTheme="minorHAnsi" w:hAnsiTheme="minorHAnsi" w:cs="Arial"/>
          <w:b/>
          <w:sz w:val="24"/>
          <w:szCs w:val="24"/>
        </w:rPr>
        <w:t xml:space="preserve">Výdaje na zdravotní služby hrazené z Fprev  </w:t>
      </w:r>
      <w:r w:rsidR="00553365" w:rsidRPr="005F1629">
        <w:rPr>
          <w:rFonts w:asciiTheme="minorHAnsi" w:hAnsiTheme="minorHAnsi" w:cs="Arial"/>
          <w:sz w:val="24"/>
          <w:szCs w:val="24"/>
        </w:rPr>
        <w:t xml:space="preserve">ve výši </w:t>
      </w:r>
      <w:r w:rsidRPr="005F1629">
        <w:rPr>
          <w:rFonts w:asciiTheme="minorHAnsi" w:hAnsiTheme="minorHAnsi" w:cs="Arial"/>
          <w:sz w:val="24"/>
          <w:szCs w:val="24"/>
        </w:rPr>
        <w:t>64 500 tis. Kč vykazují  meziroční nárůst o 5,7 %.</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Výdaje  PF</w:t>
      </w:r>
      <w:r w:rsidRPr="005F1629">
        <w:rPr>
          <w:rFonts w:asciiTheme="minorHAnsi" w:hAnsiTheme="minorHAnsi" w:cs="Arial"/>
          <w:sz w:val="24"/>
          <w:szCs w:val="24"/>
        </w:rPr>
        <w:t xml:space="preserve"> se plánují ve výši 543 034 tis. Kč s meziročním poklesem o 7,8 %. Z toho však výdaje na běžné provozní činnosti 461 198 tis. Kč rostou o 13,6 %. Pokles celkových výdajů PF je způsoben především tím, že OZP v roce 2014 neplánuje příděl do FRM kromě částky ve výši odpisů. Příděl ze ZFZP do PF</w:t>
      </w:r>
      <w:r w:rsidRPr="005F1629">
        <w:rPr>
          <w:rFonts w:asciiTheme="minorHAnsi" w:hAnsiTheme="minorHAnsi" w:cs="Arial"/>
          <w:b/>
          <w:sz w:val="24"/>
          <w:szCs w:val="24"/>
        </w:rPr>
        <w:t xml:space="preserve"> </w:t>
      </w:r>
      <w:r w:rsidRPr="005F1629">
        <w:rPr>
          <w:rFonts w:asciiTheme="minorHAnsi" w:hAnsiTheme="minorHAnsi" w:cs="Arial"/>
          <w:sz w:val="24"/>
          <w:szCs w:val="24"/>
        </w:rPr>
        <w:t>je plánován</w:t>
      </w:r>
      <w:r w:rsidRPr="005F1629">
        <w:rPr>
          <w:rFonts w:asciiTheme="minorHAnsi" w:hAnsiTheme="minorHAnsi" w:cs="Arial"/>
          <w:b/>
          <w:sz w:val="24"/>
          <w:szCs w:val="24"/>
        </w:rPr>
        <w:t xml:space="preserve"> </w:t>
      </w:r>
      <w:r w:rsidRPr="005F1629">
        <w:rPr>
          <w:rFonts w:asciiTheme="minorHAnsi" w:hAnsiTheme="minorHAnsi" w:cs="Arial"/>
          <w:sz w:val="24"/>
          <w:szCs w:val="24"/>
        </w:rPr>
        <w:t xml:space="preserve">o 100 mil. Kč pod plným využitím maximálního limitu nákladů na činnost zdravotní pojišťovny, který činí 3,39 % z rozvrhové základny, tj. pod částkou 492 364 tis. Kč. Plán skutečného přídělu ze ZFZP  392 364 tis. Kč je na úrovni 75 % očekávaného přídělu v roce 2013.  Limit převodu z PF do SF je dodržen. </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Výdaje FRM</w:t>
      </w:r>
      <w:r w:rsidRPr="005F1629">
        <w:rPr>
          <w:rFonts w:asciiTheme="minorHAnsi" w:hAnsiTheme="minorHAnsi" w:cs="Arial"/>
          <w:sz w:val="24"/>
          <w:szCs w:val="24"/>
        </w:rPr>
        <w:t xml:space="preserve"> ve výši 80 002 tis. Kč s meziročním nárůstem o 90,5 % jsou s výjimkou přídělu z PF ve výši odpisů kryty zapojením peněžních zůstatků tohoto fondu z minulých let. </w:t>
      </w:r>
    </w:p>
    <w:p w:rsidR="004B7948" w:rsidRPr="005F1629" w:rsidRDefault="004B7948" w:rsidP="00553365">
      <w:pPr>
        <w:pStyle w:val="Odstavecseseznamem"/>
        <w:numPr>
          <w:ilvl w:val="0"/>
          <w:numId w:val="27"/>
        </w:numPr>
        <w:spacing w:after="0" w:line="240" w:lineRule="auto"/>
        <w:ind w:left="330" w:hanging="330"/>
        <w:jc w:val="both"/>
        <w:rPr>
          <w:rFonts w:asciiTheme="minorHAnsi" w:hAnsiTheme="minorHAnsi" w:cs="Arial"/>
          <w:sz w:val="24"/>
          <w:szCs w:val="24"/>
        </w:rPr>
      </w:pPr>
      <w:r w:rsidRPr="005F1629">
        <w:rPr>
          <w:rFonts w:asciiTheme="minorHAnsi" w:hAnsiTheme="minorHAnsi" w:cs="Arial"/>
          <w:b/>
          <w:sz w:val="24"/>
          <w:szCs w:val="24"/>
        </w:rPr>
        <w:t xml:space="preserve">Saldo plánovaných příjmů a výdajů celkem včetně zdaňovaných </w:t>
      </w:r>
      <w:r w:rsidRPr="005F1629">
        <w:rPr>
          <w:rFonts w:asciiTheme="minorHAnsi" w:hAnsiTheme="minorHAnsi" w:cs="Arial"/>
          <w:sz w:val="24"/>
          <w:szCs w:val="24"/>
        </w:rPr>
        <w:t xml:space="preserve">je záporné ve výši – 153 121 tis. Kč s meziročním nárůstem o 242 262 tis. Kč proti očekávanému kladnému saldu v roce 2013. Saldo disponibilních příjmů ZFZP a plánovaných nákladů (čerpání zdrojů) ZFZP, které vykazuje rovněž zápornou hodnotu ve výši – 107 764 tis. Kč, je zčásti ovlivněno meziročním zvýšením průměrného počtu standardizovaných pojištěnců o 1,3 % a je plně kryto finančním zůstatkem na BÚ ZFZP. Saldo plánovaných příjmů z pojistného po přerozdělování a výdajů ZFZP na zdravotní služby vykazuje kladnou hodnotu 387 114 tis. Kč, avšak v přepočtu na 1 pojištěnce ve výši 531 Kč se meziročně snižuje o 223 Kč. </w:t>
      </w:r>
    </w:p>
    <w:p w:rsidR="004B7948" w:rsidRPr="005F1629" w:rsidRDefault="004B7948" w:rsidP="00553365">
      <w:pPr>
        <w:numPr>
          <w:ilvl w:val="0"/>
          <w:numId w:val="27"/>
        </w:numPr>
        <w:jc w:val="both"/>
        <w:rPr>
          <w:rFonts w:asciiTheme="minorHAnsi" w:hAnsiTheme="minorHAnsi" w:cs="Arial"/>
        </w:rPr>
      </w:pPr>
      <w:r w:rsidRPr="005F1629">
        <w:rPr>
          <w:rFonts w:asciiTheme="minorHAnsi" w:hAnsiTheme="minorHAnsi" w:cs="Arial"/>
          <w:b/>
        </w:rPr>
        <w:t>Stav pohledávek celkem</w:t>
      </w:r>
      <w:r w:rsidRPr="005F1629">
        <w:rPr>
          <w:rFonts w:asciiTheme="minorHAnsi" w:hAnsiTheme="minorHAnsi" w:cs="Arial"/>
        </w:rPr>
        <w:t xml:space="preserve"> (bez dohadných položek) k  31. 12. 2014 je odhadován ve výši 2 759 000 tis. Kč, tj. v podstatě na úrovni očekávané na konci roku 2013 (nárůst o 0,1 %).</w:t>
      </w:r>
      <w:r w:rsidRPr="005F1629">
        <w:rPr>
          <w:rFonts w:asciiTheme="minorHAnsi" w:hAnsiTheme="minorHAnsi" w:cs="Arial"/>
          <w:b/>
        </w:rPr>
        <w:t xml:space="preserve"> </w:t>
      </w:r>
      <w:r w:rsidRPr="005F1629">
        <w:rPr>
          <w:rFonts w:asciiTheme="minorHAnsi" w:hAnsiTheme="minorHAnsi" w:cs="Arial"/>
        </w:rPr>
        <w:t xml:space="preserve"> </w:t>
      </w:r>
      <w:r w:rsidRPr="005F1629">
        <w:rPr>
          <w:rFonts w:asciiTheme="minorHAnsi" w:hAnsiTheme="minorHAnsi" w:cs="Arial"/>
          <w:b/>
        </w:rPr>
        <w:t>Z toho pohledávky po lhůtě splatnosti za plátci pojistného</w:t>
      </w:r>
      <w:r w:rsidRPr="005F1629">
        <w:rPr>
          <w:rFonts w:asciiTheme="minorHAnsi" w:hAnsiTheme="minorHAnsi" w:cs="Arial"/>
        </w:rPr>
        <w:t xml:space="preserve"> OZP hodlá snížit o 2,7 % na 1 234 000 tis. Kč. Do</w:t>
      </w:r>
      <w:r w:rsidR="00B8004F" w:rsidRPr="005F1629">
        <w:rPr>
          <w:rFonts w:asciiTheme="minorHAnsi" w:hAnsiTheme="minorHAnsi" w:cs="Arial"/>
        </w:rPr>
        <w:t xml:space="preserve">hadné položky aktivní </w:t>
      </w:r>
      <w:r w:rsidRPr="005F1629">
        <w:rPr>
          <w:rFonts w:asciiTheme="minorHAnsi" w:hAnsiTheme="minorHAnsi" w:cs="Arial"/>
        </w:rPr>
        <w:t xml:space="preserve">k 31. 12. 2014 ve výši 180 000 tis. Kč meziročně vzrostou o 2,9 %. </w:t>
      </w:r>
      <w:r w:rsidRPr="005F1629">
        <w:rPr>
          <w:rFonts w:asciiTheme="minorHAnsi" w:hAnsiTheme="minorHAnsi" w:cs="Arial"/>
          <w:b/>
        </w:rPr>
        <w:t>Stav opravných položek</w:t>
      </w:r>
      <w:r w:rsidRPr="005F1629">
        <w:rPr>
          <w:rFonts w:asciiTheme="minorHAnsi" w:hAnsiTheme="minorHAnsi" w:cs="Arial"/>
        </w:rPr>
        <w:t xml:space="preserve"> dosáhne částky 1 352 900 tis. Kč s meziročním nárůstem o 6,4 %. OZP hodlá odepisovat pohledávky jen v případech, kdy vymáhání nevede k výsledku a náklady na vymáhání převyšují jeho výtěžek. Odpis pohledáv</w:t>
      </w:r>
      <w:r w:rsidR="00E276B6">
        <w:rPr>
          <w:rFonts w:asciiTheme="minorHAnsi" w:hAnsiTheme="minorHAnsi" w:cs="Arial"/>
        </w:rPr>
        <w:t>e</w:t>
      </w:r>
      <w:r w:rsidRPr="005F1629">
        <w:rPr>
          <w:rFonts w:asciiTheme="minorHAnsi" w:hAnsiTheme="minorHAnsi" w:cs="Arial"/>
        </w:rPr>
        <w:t>k ze ZFZP je plánován ve výši 75 000 tis. Kč.</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Stav závazků celkem</w:t>
      </w:r>
      <w:r w:rsidRPr="005F1629">
        <w:rPr>
          <w:rFonts w:asciiTheme="minorHAnsi" w:hAnsiTheme="minorHAnsi" w:cs="Arial"/>
          <w:sz w:val="24"/>
          <w:szCs w:val="24"/>
        </w:rPr>
        <w:t xml:space="preserve"> (bez dohadných položek</w:t>
      </w:r>
      <w:r w:rsidR="00B8004F" w:rsidRPr="005F1629">
        <w:rPr>
          <w:rFonts w:asciiTheme="minorHAnsi" w:hAnsiTheme="minorHAnsi" w:cs="Arial"/>
          <w:sz w:val="24"/>
          <w:szCs w:val="24"/>
        </w:rPr>
        <w:t>) k 31. 12. 2014 je odhadován</w:t>
      </w:r>
      <w:r w:rsidRPr="005F1629">
        <w:rPr>
          <w:rFonts w:asciiTheme="minorHAnsi" w:hAnsiTheme="minorHAnsi" w:cs="Arial"/>
          <w:sz w:val="24"/>
          <w:szCs w:val="24"/>
        </w:rPr>
        <w:t xml:space="preserve"> ve výši 1 782 000 tis.  Kč s meziročním nárůstem o 1,3 %, v tom závazky ve lhůtě splatnosti vůči poskytovatelům zdravotních služeb představují 1 562 000 tis. K</w:t>
      </w:r>
      <w:r w:rsidR="00553365" w:rsidRPr="005F1629">
        <w:rPr>
          <w:rFonts w:asciiTheme="minorHAnsi" w:hAnsiTheme="minorHAnsi" w:cs="Arial"/>
          <w:sz w:val="24"/>
          <w:szCs w:val="24"/>
        </w:rPr>
        <w:t xml:space="preserve">č (minimální nárůst o 0,2 %) a </w:t>
      </w:r>
      <w:r w:rsidR="00B8004F" w:rsidRPr="005F1629">
        <w:rPr>
          <w:rFonts w:asciiTheme="minorHAnsi" w:hAnsiTheme="minorHAnsi" w:cs="Arial"/>
          <w:sz w:val="24"/>
          <w:szCs w:val="24"/>
        </w:rPr>
        <w:t>ostatní závazky 220 000 tis. Kč</w:t>
      </w:r>
      <w:r w:rsidRPr="005F1629">
        <w:rPr>
          <w:rFonts w:asciiTheme="minorHAnsi" w:hAnsiTheme="minorHAnsi" w:cs="Arial"/>
          <w:sz w:val="24"/>
          <w:szCs w:val="24"/>
        </w:rPr>
        <w:t xml:space="preserve"> (nárůst o 10 %). OZP nepočítá na konci roku 2014 se vznikem</w:t>
      </w:r>
      <w:r w:rsidRPr="005F1629">
        <w:rPr>
          <w:rFonts w:asciiTheme="minorHAnsi" w:hAnsiTheme="minorHAnsi" w:cs="Arial"/>
          <w:b/>
          <w:sz w:val="24"/>
          <w:szCs w:val="24"/>
        </w:rPr>
        <w:t xml:space="preserve"> závazků po lhůtě splatnosti vůči poskytovatelům zdravotních služeb</w:t>
      </w:r>
      <w:r w:rsidRPr="005F1629">
        <w:rPr>
          <w:rFonts w:asciiTheme="minorHAnsi" w:hAnsiTheme="minorHAnsi" w:cs="Arial"/>
          <w:sz w:val="24"/>
          <w:szCs w:val="24"/>
        </w:rPr>
        <w:t>. Dohadné položky pasivní</w:t>
      </w:r>
      <w:r w:rsidRPr="005F1629">
        <w:rPr>
          <w:rFonts w:asciiTheme="minorHAnsi" w:hAnsiTheme="minorHAnsi" w:cs="Arial"/>
          <w:b/>
          <w:sz w:val="24"/>
          <w:szCs w:val="24"/>
        </w:rPr>
        <w:t xml:space="preserve"> </w:t>
      </w:r>
      <w:r w:rsidRPr="005F1629">
        <w:rPr>
          <w:rFonts w:asciiTheme="minorHAnsi" w:hAnsiTheme="minorHAnsi" w:cs="Arial"/>
          <w:sz w:val="24"/>
          <w:szCs w:val="24"/>
        </w:rPr>
        <w:t>ve výši 460 000 tis. Kč jsou plánovány s meziročním zvýšením o 2,2 %.</w:t>
      </w:r>
    </w:p>
    <w:p w:rsidR="004B7948" w:rsidRPr="005F1629" w:rsidRDefault="004B7948" w:rsidP="00553365">
      <w:pPr>
        <w:pStyle w:val="Odstavecseseznamem"/>
        <w:numPr>
          <w:ilvl w:val="0"/>
          <w:numId w:val="27"/>
        </w:numPr>
        <w:spacing w:after="0" w:line="240" w:lineRule="auto"/>
        <w:ind w:left="330" w:hanging="330"/>
        <w:jc w:val="both"/>
        <w:rPr>
          <w:rFonts w:asciiTheme="minorHAnsi" w:hAnsiTheme="minorHAnsi" w:cs="Arial"/>
          <w:sz w:val="24"/>
          <w:szCs w:val="24"/>
        </w:rPr>
      </w:pPr>
      <w:r w:rsidRPr="005F1629">
        <w:rPr>
          <w:rFonts w:asciiTheme="minorHAnsi" w:hAnsiTheme="minorHAnsi" w:cs="Arial"/>
          <w:b/>
          <w:sz w:val="24"/>
          <w:szCs w:val="24"/>
        </w:rPr>
        <w:t xml:space="preserve">Stav peněžních prostředků na všech BÚ fondů </w:t>
      </w:r>
      <w:r w:rsidRPr="005F1629">
        <w:rPr>
          <w:rFonts w:asciiTheme="minorHAnsi" w:hAnsiTheme="minorHAnsi" w:cs="Arial"/>
          <w:sz w:val="24"/>
          <w:szCs w:val="24"/>
        </w:rPr>
        <w:t>k  31. 12. 2014 je odhadován ve výši</w:t>
      </w:r>
      <w:r w:rsidRPr="005F1629">
        <w:rPr>
          <w:rFonts w:asciiTheme="minorHAnsi" w:hAnsiTheme="minorHAnsi" w:cs="Arial"/>
          <w:b/>
          <w:sz w:val="24"/>
          <w:szCs w:val="24"/>
        </w:rPr>
        <w:t xml:space="preserve"> </w:t>
      </w:r>
      <w:r w:rsidRPr="005F1629">
        <w:rPr>
          <w:rFonts w:asciiTheme="minorHAnsi" w:hAnsiTheme="minorHAnsi" w:cs="Arial"/>
          <w:sz w:val="24"/>
          <w:szCs w:val="24"/>
        </w:rPr>
        <w:t xml:space="preserve">1 370 988 tis. Kč s meziročním poklesem o 10,1 % (o 154 756 tis. Kč), na kterém se podílí v převážné míře snížení zůstatků BÚ provozních fondů a aktivnější čerpání prostředků Fprev v roce 2014. Zůstatek na BÚ ZFZP k 31. 12. 2014 ve výši 509 095 tis. Kč je na 99,2 % očekávaného zůstatku na konci roku 2013 (snížení o 4 150 tis. Kč). Limit RF je naplněn peněžním zůstatkem k 31. 12. 2014 ve výši 151 541 tis. Kč, zbytek tvoří hodnota spořicích státních dluhopisů nakoupených za 50 000 tis. Kč na konci roku 2013. OZP není zatížena splátkami úvěrů, ani neplánuje jejich přijetí v roce 2014. </w:t>
      </w:r>
    </w:p>
    <w:p w:rsidR="004B7948" w:rsidRPr="005F1629" w:rsidRDefault="004B7948" w:rsidP="00553365">
      <w:pPr>
        <w:pStyle w:val="Odstavecseseznamem"/>
        <w:numPr>
          <w:ilvl w:val="0"/>
          <w:numId w:val="27"/>
        </w:numPr>
        <w:spacing w:after="0" w:line="240" w:lineRule="auto"/>
        <w:ind w:left="330" w:hanging="330"/>
        <w:jc w:val="both"/>
        <w:rPr>
          <w:rFonts w:asciiTheme="minorHAnsi" w:hAnsiTheme="minorHAnsi" w:cs="Arial"/>
          <w:sz w:val="24"/>
          <w:szCs w:val="24"/>
        </w:rPr>
      </w:pPr>
      <w:r w:rsidRPr="005F1629">
        <w:rPr>
          <w:rFonts w:asciiTheme="minorHAnsi" w:hAnsiTheme="minorHAnsi" w:cs="Arial"/>
          <w:b/>
          <w:sz w:val="24"/>
          <w:szCs w:val="24"/>
        </w:rPr>
        <w:t xml:space="preserve">V ostatních zdaňovaných činnostech, </w:t>
      </w:r>
      <w:r w:rsidRPr="005F1629">
        <w:rPr>
          <w:rFonts w:asciiTheme="minorHAnsi" w:hAnsiTheme="minorHAnsi" w:cs="Arial"/>
          <w:sz w:val="24"/>
          <w:szCs w:val="24"/>
        </w:rPr>
        <w:t xml:space="preserve">které představují zejména vedlejší hospodářské aktivity v oblasti pronájmů dočasně volných prostor a zprostředkování prodeje </w:t>
      </w:r>
      <w:r w:rsidRPr="005F1629">
        <w:rPr>
          <w:rFonts w:asciiTheme="minorHAnsi" w:hAnsiTheme="minorHAnsi" w:cs="Arial"/>
          <w:sz w:val="24"/>
          <w:szCs w:val="24"/>
        </w:rPr>
        <w:lastRenderedPageBreak/>
        <w:t xml:space="preserve">komerčního pojištění a připojištění, jsou plánovány výnosy ve výši 14 915 tis. Kč s poklesem o 1,2 % a náklady ve výši 12 340 tis. Kč, s nárůstem o 0,8 %. Odhadovaný hospodářský výsledek 2 575 tis. Kč tak meziročně klesá na 90,4 %. </w:t>
      </w:r>
    </w:p>
    <w:p w:rsidR="004B7948" w:rsidRPr="005F1629" w:rsidRDefault="004B7948" w:rsidP="00553365">
      <w:pPr>
        <w:pStyle w:val="Odstavecseseznamem"/>
        <w:numPr>
          <w:ilvl w:val="0"/>
          <w:numId w:val="27"/>
        </w:numPr>
        <w:spacing w:after="0" w:line="240" w:lineRule="auto"/>
        <w:ind w:left="330" w:hanging="330"/>
        <w:jc w:val="both"/>
        <w:rPr>
          <w:rFonts w:asciiTheme="minorHAnsi" w:hAnsiTheme="minorHAnsi" w:cs="Arial"/>
          <w:sz w:val="24"/>
          <w:szCs w:val="24"/>
        </w:rPr>
      </w:pPr>
      <w:r w:rsidRPr="005F1629">
        <w:rPr>
          <w:rFonts w:asciiTheme="minorHAnsi" w:hAnsiTheme="minorHAnsi" w:cs="Arial"/>
          <w:b/>
          <w:sz w:val="24"/>
          <w:szCs w:val="24"/>
        </w:rPr>
        <w:t>Specifické informace</w:t>
      </w:r>
    </w:p>
    <w:p w:rsidR="004B7948" w:rsidRPr="005F1629" w:rsidRDefault="004B7948" w:rsidP="00553365">
      <w:pPr>
        <w:pStyle w:val="Odstavecseseznamem"/>
        <w:spacing w:line="240" w:lineRule="auto"/>
        <w:ind w:left="440"/>
        <w:jc w:val="both"/>
        <w:rPr>
          <w:rFonts w:asciiTheme="minorHAnsi" w:hAnsiTheme="minorHAnsi" w:cs="Arial"/>
          <w:sz w:val="24"/>
          <w:szCs w:val="24"/>
        </w:rPr>
      </w:pPr>
      <w:r w:rsidRPr="005F1629">
        <w:rPr>
          <w:rFonts w:asciiTheme="minorHAnsi" w:hAnsiTheme="minorHAnsi" w:cs="Arial"/>
          <w:sz w:val="24"/>
          <w:szCs w:val="24"/>
        </w:rPr>
        <w:t>OZP stoprocentně vlastní nebo má majetkové podíly ve 4 dceřiných společno</w:t>
      </w:r>
      <w:r w:rsidR="00B8004F" w:rsidRPr="005F1629">
        <w:rPr>
          <w:rFonts w:asciiTheme="minorHAnsi" w:hAnsiTheme="minorHAnsi" w:cs="Arial"/>
          <w:sz w:val="24"/>
          <w:szCs w:val="24"/>
        </w:rPr>
        <w:t>stech, které poskytují servisní</w:t>
      </w:r>
      <w:r w:rsidRPr="005F1629">
        <w:rPr>
          <w:rFonts w:asciiTheme="minorHAnsi" w:hAnsiTheme="minorHAnsi" w:cs="Arial"/>
          <w:sz w:val="24"/>
          <w:szCs w:val="24"/>
        </w:rPr>
        <w:t xml:space="preserve"> činnosti pro OZP nebo doplňkové služby pro pojištěnce OZP. Jde o komerční pojišťovnu Vitalitas, a. s. (100 % akcií), Prevenci - sdružení právnických osob (Vitalitas, a.s. a OZP) pro financování preventivních a edukačních programů pro pojištěnce OZP, Vitapharmu, s.r.o. (100 % vlastník OZP), která je od roku 2010 provozována jako lékárna a současně využívána jako referenční pracoviště pro analýzy trhu léčivých přípravků a jako školící a poradenské pracoviště, a OZP servis s.r.o.  Odhad hodnoty cenných papírů v rámci ostatní zdaňované činnosti k  31. 12. 2014 ve výši 157 710 tis. Kč meziročně roste o 2,7 %, z toho plánovaný stav cenných papírů  Vitalitas a.s. představuje 125 608 tis. Kč s nárůstem 3,3 %.</w:t>
      </w:r>
    </w:p>
    <w:p w:rsidR="004B7948" w:rsidRPr="005F1629" w:rsidRDefault="004B7948" w:rsidP="00DE0C41">
      <w:pPr>
        <w:ind w:firstLine="426"/>
        <w:jc w:val="both"/>
        <w:rPr>
          <w:rFonts w:asciiTheme="minorHAnsi" w:hAnsiTheme="minorHAnsi" w:cs="Arial"/>
          <w:b/>
          <w:u w:val="single"/>
        </w:rPr>
      </w:pPr>
      <w:r w:rsidRPr="005F1629">
        <w:rPr>
          <w:rFonts w:asciiTheme="minorHAnsi" w:hAnsiTheme="minorHAnsi" w:cs="Arial"/>
        </w:rPr>
        <w:t xml:space="preserve">   V roce 2014 OZP hodlá rozvíjet elektronickou komunikaci s pojištěnci, zejména aplikaci VITAKARTY, která je zároveň zdravotní knížkou, výpisem z účtu pojištěnce i záznamníkem jeho zdravotních údajů, a také postupně měnit a zkvalitňovat program Asistenční služby OZP přechodem na její neplacené poskytování.</w:t>
      </w:r>
    </w:p>
    <w:p w:rsidR="004B7948" w:rsidRPr="005F1629" w:rsidRDefault="004B7948" w:rsidP="002934E1">
      <w:pPr>
        <w:jc w:val="both"/>
        <w:rPr>
          <w:rFonts w:asciiTheme="minorHAnsi" w:hAnsiTheme="minorHAnsi" w:cs="Arial"/>
          <w:b/>
          <w:sz w:val="28"/>
          <w:szCs w:val="28"/>
          <w:u w:val="single"/>
        </w:rPr>
      </w:pPr>
    </w:p>
    <w:p w:rsidR="002934E1" w:rsidRPr="005F1629" w:rsidRDefault="002934E1" w:rsidP="002934E1">
      <w:pPr>
        <w:jc w:val="both"/>
        <w:rPr>
          <w:rFonts w:asciiTheme="minorHAnsi" w:hAnsiTheme="minorHAnsi" w:cs="Arial"/>
          <w:b/>
          <w:sz w:val="28"/>
          <w:szCs w:val="28"/>
          <w:u w:val="single"/>
        </w:rPr>
      </w:pPr>
      <w:r w:rsidRPr="005F1629">
        <w:rPr>
          <w:rFonts w:asciiTheme="minorHAnsi" w:hAnsiTheme="minorHAnsi" w:cs="Arial"/>
          <w:b/>
          <w:sz w:val="28"/>
          <w:szCs w:val="28"/>
          <w:u w:val="single"/>
        </w:rPr>
        <w:t xml:space="preserve">Hodnocení </w:t>
      </w:r>
      <w:r w:rsidR="004B7948" w:rsidRPr="005F1629">
        <w:rPr>
          <w:rFonts w:asciiTheme="minorHAnsi" w:hAnsiTheme="minorHAnsi" w:cs="Arial"/>
          <w:b/>
          <w:sz w:val="28"/>
          <w:szCs w:val="28"/>
          <w:u w:val="single"/>
        </w:rPr>
        <w:t>zdravotní</w:t>
      </w:r>
    </w:p>
    <w:p w:rsidR="002934E1" w:rsidRPr="005F1629" w:rsidRDefault="002934E1" w:rsidP="002934E1">
      <w:pPr>
        <w:jc w:val="both"/>
        <w:rPr>
          <w:rFonts w:asciiTheme="minorHAnsi" w:hAnsiTheme="minorHAnsi" w:cs="Arial"/>
          <w:i/>
          <w:sz w:val="20"/>
          <w:szCs w:val="20"/>
          <w:u w:val="single"/>
        </w:rPr>
      </w:pPr>
      <w:r w:rsidRPr="005F1629">
        <w:rPr>
          <w:rFonts w:asciiTheme="minorHAnsi" w:hAnsiTheme="minorHAnsi" w:cs="Arial"/>
          <w:i/>
          <w:sz w:val="20"/>
          <w:szCs w:val="20"/>
          <w:u w:val="single"/>
        </w:rPr>
        <w:t>(použité číselné údaje jsou obsaženy v příloze, v tabulkách č. 4, 4a), 4b), 4c), příp. ve ZPP 201</w:t>
      </w:r>
      <w:r w:rsidR="00365508" w:rsidRPr="005F1629">
        <w:rPr>
          <w:rFonts w:asciiTheme="minorHAnsi" w:hAnsiTheme="minorHAnsi" w:cs="Arial"/>
          <w:i/>
          <w:sz w:val="20"/>
          <w:szCs w:val="20"/>
          <w:u w:val="single"/>
        </w:rPr>
        <w:t>4</w:t>
      </w:r>
    </w:p>
    <w:p w:rsidR="002934E1" w:rsidRPr="005F1629" w:rsidRDefault="002934E1" w:rsidP="002934E1">
      <w:pPr>
        <w:pStyle w:val="Zkladntext"/>
        <w:spacing w:after="0"/>
        <w:jc w:val="both"/>
        <w:rPr>
          <w:rFonts w:asciiTheme="minorHAnsi" w:hAnsiTheme="minorHAnsi" w:cs="Arial"/>
          <w:b/>
          <w:sz w:val="24"/>
        </w:rPr>
      </w:pPr>
    </w:p>
    <w:p w:rsidR="002934E1" w:rsidRPr="005F1629" w:rsidRDefault="002934E1" w:rsidP="00553365">
      <w:pPr>
        <w:pStyle w:val="Bezmezer"/>
        <w:numPr>
          <w:ilvl w:val="0"/>
          <w:numId w:val="0"/>
        </w:numPr>
        <w:spacing w:before="0" w:after="0"/>
        <w:ind w:firstLine="357"/>
        <w:rPr>
          <w:rFonts w:asciiTheme="minorHAnsi" w:hAnsiTheme="minorHAnsi" w:cs="Arial"/>
          <w:sz w:val="24"/>
          <w:szCs w:val="24"/>
        </w:rPr>
      </w:pPr>
      <w:r w:rsidRPr="005F1629">
        <w:rPr>
          <w:rFonts w:asciiTheme="minorHAnsi" w:hAnsiTheme="minorHAnsi" w:cs="Arial"/>
          <w:sz w:val="24"/>
          <w:szCs w:val="24"/>
        </w:rPr>
        <w:t xml:space="preserve">V oblasti </w:t>
      </w:r>
      <w:r w:rsidRPr="005F1629">
        <w:rPr>
          <w:rFonts w:asciiTheme="minorHAnsi" w:hAnsiTheme="minorHAnsi" w:cs="Arial"/>
          <w:b/>
          <w:sz w:val="24"/>
          <w:szCs w:val="24"/>
        </w:rPr>
        <w:t>smluvní politiky</w:t>
      </w:r>
      <w:r w:rsidRPr="005F1629">
        <w:rPr>
          <w:rFonts w:asciiTheme="minorHAnsi" w:hAnsiTheme="minorHAnsi" w:cs="Arial"/>
          <w:sz w:val="24"/>
          <w:szCs w:val="24"/>
        </w:rPr>
        <w:t xml:space="preserve"> bude OZP v r. 201</w:t>
      </w:r>
      <w:r w:rsidR="00381DF0" w:rsidRPr="005F1629">
        <w:rPr>
          <w:rFonts w:asciiTheme="minorHAnsi" w:hAnsiTheme="minorHAnsi" w:cs="Arial"/>
          <w:sz w:val="24"/>
          <w:szCs w:val="24"/>
        </w:rPr>
        <w:t>4</w:t>
      </w:r>
      <w:r w:rsidR="006541F7" w:rsidRPr="005F1629">
        <w:rPr>
          <w:rFonts w:asciiTheme="minorHAnsi" w:hAnsiTheme="minorHAnsi" w:cs="Arial"/>
          <w:sz w:val="24"/>
          <w:szCs w:val="24"/>
        </w:rPr>
        <w:t xml:space="preserve"> </w:t>
      </w:r>
      <w:r w:rsidRPr="005F1629">
        <w:rPr>
          <w:rFonts w:asciiTheme="minorHAnsi" w:hAnsiTheme="minorHAnsi" w:cs="Arial"/>
          <w:sz w:val="24"/>
          <w:szCs w:val="24"/>
        </w:rPr>
        <w:t xml:space="preserve">usilovat o zajištění </w:t>
      </w:r>
      <w:r w:rsidR="006541F7" w:rsidRPr="005F1629">
        <w:rPr>
          <w:rFonts w:asciiTheme="minorHAnsi" w:hAnsiTheme="minorHAnsi" w:cs="Arial"/>
          <w:sz w:val="24"/>
          <w:szCs w:val="24"/>
        </w:rPr>
        <w:t>efektivní komunikace a úhradové politiky mezi pojiš</w:t>
      </w:r>
      <w:r w:rsidR="002731D7" w:rsidRPr="005F1629">
        <w:rPr>
          <w:rFonts w:asciiTheme="minorHAnsi" w:hAnsiTheme="minorHAnsi" w:cs="Arial"/>
          <w:sz w:val="24"/>
          <w:szCs w:val="24"/>
        </w:rPr>
        <w:t xml:space="preserve">ťovnou a PZS, </w:t>
      </w:r>
      <w:r w:rsidR="006541F7" w:rsidRPr="005F1629">
        <w:rPr>
          <w:rFonts w:asciiTheme="minorHAnsi" w:hAnsiTheme="minorHAnsi" w:cs="Arial"/>
          <w:sz w:val="24"/>
          <w:szCs w:val="24"/>
        </w:rPr>
        <w:t>podporu účelné farmakoterapie s preferencí generické preskripce podporované zveřejňováním pozitivních listů a důslednou kontrolu přiměřené spotřeby léčiv a dodržování podmínek preskripce</w:t>
      </w:r>
      <w:r w:rsidR="00A10E5F" w:rsidRPr="005F1629">
        <w:rPr>
          <w:rFonts w:asciiTheme="minorHAnsi" w:hAnsiTheme="minorHAnsi" w:cs="Arial"/>
          <w:sz w:val="24"/>
          <w:szCs w:val="24"/>
        </w:rPr>
        <w:t>.</w:t>
      </w:r>
    </w:p>
    <w:p w:rsidR="002934E1" w:rsidRPr="005F1629" w:rsidRDefault="002731D7" w:rsidP="00553365">
      <w:pPr>
        <w:pStyle w:val="StylStylStyl11bZarovnatdoblokuTimesNewRomanVlevo1"/>
        <w:spacing w:before="0" w:after="0"/>
        <w:ind w:firstLine="357"/>
        <w:rPr>
          <w:rStyle w:val="Styl11b1"/>
          <w:rFonts w:asciiTheme="minorHAnsi" w:hAnsiTheme="minorHAnsi" w:cs="Arial"/>
          <w:sz w:val="24"/>
          <w:szCs w:val="24"/>
        </w:rPr>
      </w:pPr>
      <w:r w:rsidRPr="005F1629">
        <w:rPr>
          <w:rStyle w:val="Styl11b1"/>
          <w:rFonts w:asciiTheme="minorHAnsi" w:hAnsiTheme="minorHAnsi" w:cs="Arial"/>
          <w:sz w:val="24"/>
          <w:szCs w:val="24"/>
        </w:rPr>
        <w:t xml:space="preserve">OZP </w:t>
      </w:r>
      <w:r w:rsidR="00DE3504" w:rsidRPr="005F1629">
        <w:rPr>
          <w:rStyle w:val="Styl11b1"/>
          <w:rFonts w:asciiTheme="minorHAnsi" w:hAnsiTheme="minorHAnsi" w:cs="Arial"/>
          <w:sz w:val="24"/>
          <w:szCs w:val="24"/>
        </w:rPr>
        <w:t xml:space="preserve">ve svém ZPP </w:t>
      </w:r>
      <w:r w:rsidR="008A3731">
        <w:rPr>
          <w:rStyle w:val="Styl11b1"/>
          <w:rFonts w:asciiTheme="minorHAnsi" w:hAnsiTheme="minorHAnsi" w:cs="Arial"/>
          <w:sz w:val="24"/>
          <w:szCs w:val="24"/>
        </w:rPr>
        <w:t xml:space="preserve">2014 </w:t>
      </w:r>
      <w:r w:rsidRPr="005F1629">
        <w:rPr>
          <w:rStyle w:val="Styl11b1"/>
          <w:rFonts w:asciiTheme="minorHAnsi" w:hAnsiTheme="minorHAnsi" w:cs="Arial"/>
          <w:sz w:val="24"/>
          <w:szCs w:val="24"/>
        </w:rPr>
        <w:t xml:space="preserve">uvádí, že </w:t>
      </w:r>
      <w:r w:rsidRPr="005F1629">
        <w:rPr>
          <w:rStyle w:val="Styl11b1"/>
          <w:rFonts w:asciiTheme="minorHAnsi" w:hAnsiTheme="minorHAnsi" w:cs="Arial"/>
          <w:b/>
          <w:sz w:val="24"/>
          <w:szCs w:val="24"/>
        </w:rPr>
        <w:t xml:space="preserve">stávající </w:t>
      </w:r>
      <w:r w:rsidR="002934E1" w:rsidRPr="005F1629">
        <w:rPr>
          <w:rStyle w:val="Styl11b1"/>
          <w:rFonts w:asciiTheme="minorHAnsi" w:hAnsiTheme="minorHAnsi" w:cs="Arial"/>
          <w:b/>
          <w:sz w:val="24"/>
          <w:szCs w:val="24"/>
        </w:rPr>
        <w:t xml:space="preserve">síť </w:t>
      </w:r>
      <w:r w:rsidR="00570B61" w:rsidRPr="005F1629">
        <w:rPr>
          <w:rStyle w:val="Styl11b1"/>
          <w:rFonts w:asciiTheme="minorHAnsi" w:hAnsiTheme="minorHAnsi" w:cs="Arial"/>
          <w:b/>
          <w:sz w:val="24"/>
          <w:szCs w:val="24"/>
        </w:rPr>
        <w:t>smluvních PZS</w:t>
      </w:r>
      <w:r w:rsidR="00570B61" w:rsidRPr="005F1629">
        <w:rPr>
          <w:rStyle w:val="Styl11b1"/>
          <w:rFonts w:asciiTheme="minorHAnsi" w:hAnsiTheme="minorHAnsi" w:cs="Arial"/>
          <w:sz w:val="24"/>
          <w:szCs w:val="24"/>
        </w:rPr>
        <w:t xml:space="preserve"> </w:t>
      </w:r>
      <w:r w:rsidR="002934E1" w:rsidRPr="005F1629">
        <w:rPr>
          <w:rStyle w:val="Styl11b1"/>
          <w:rFonts w:asciiTheme="minorHAnsi" w:hAnsiTheme="minorHAnsi" w:cs="Arial"/>
          <w:sz w:val="24"/>
          <w:szCs w:val="24"/>
        </w:rPr>
        <w:t xml:space="preserve">je téměř ve všech odbornostech a regionech plně vyhovující pro optimální zajištění časové i </w:t>
      </w:r>
      <w:r w:rsidR="00BD0BB3" w:rsidRPr="005F1629">
        <w:rPr>
          <w:rStyle w:val="Styl11b1"/>
          <w:rFonts w:asciiTheme="minorHAnsi" w:hAnsiTheme="minorHAnsi" w:cs="Arial"/>
          <w:sz w:val="24"/>
          <w:szCs w:val="24"/>
        </w:rPr>
        <w:t xml:space="preserve">místní </w:t>
      </w:r>
      <w:r w:rsidR="002934E1" w:rsidRPr="005F1629">
        <w:rPr>
          <w:rStyle w:val="Styl11b1"/>
          <w:rFonts w:asciiTheme="minorHAnsi" w:hAnsiTheme="minorHAnsi" w:cs="Arial"/>
          <w:sz w:val="24"/>
          <w:szCs w:val="24"/>
        </w:rPr>
        <w:t>dostupnosti všech typů zdravotních služeb pro pojištěnce OZP</w:t>
      </w:r>
      <w:r w:rsidRPr="005F1629">
        <w:rPr>
          <w:rStyle w:val="Styl11b1"/>
          <w:rFonts w:asciiTheme="minorHAnsi" w:hAnsiTheme="minorHAnsi" w:cs="Arial"/>
          <w:sz w:val="24"/>
          <w:szCs w:val="24"/>
        </w:rPr>
        <w:t>. S výjimkou generační obměny</w:t>
      </w:r>
      <w:r w:rsidR="002934E1" w:rsidRPr="005F1629">
        <w:rPr>
          <w:rStyle w:val="Styl11b1"/>
          <w:rFonts w:asciiTheme="minorHAnsi" w:hAnsiTheme="minorHAnsi" w:cs="Arial"/>
          <w:sz w:val="24"/>
          <w:szCs w:val="24"/>
        </w:rPr>
        <w:t xml:space="preserve"> </w:t>
      </w:r>
      <w:r w:rsidRPr="005F1629">
        <w:rPr>
          <w:rStyle w:val="Styl11b1"/>
          <w:rFonts w:asciiTheme="minorHAnsi" w:hAnsiTheme="minorHAnsi" w:cs="Arial"/>
          <w:sz w:val="24"/>
          <w:szCs w:val="24"/>
        </w:rPr>
        <w:t>tudíž OZP v roce 2014 neplánuje rozšiřování ambulantní smluvní sítě</w:t>
      </w:r>
      <w:r w:rsidR="00570B61" w:rsidRPr="005F1629">
        <w:rPr>
          <w:rStyle w:val="Styl11b1"/>
          <w:rFonts w:asciiTheme="minorHAnsi" w:hAnsiTheme="minorHAnsi" w:cs="Arial"/>
          <w:sz w:val="24"/>
          <w:szCs w:val="24"/>
        </w:rPr>
        <w:t>.</w:t>
      </w:r>
      <w:r w:rsidR="00EF1A6E" w:rsidRPr="005F1629">
        <w:rPr>
          <w:rStyle w:val="Styl11b1"/>
          <w:rFonts w:asciiTheme="minorHAnsi" w:hAnsiTheme="minorHAnsi" w:cs="Arial"/>
          <w:sz w:val="24"/>
          <w:szCs w:val="24"/>
        </w:rPr>
        <w:t xml:space="preserve"> Naopak má OZP v plánu eliminovat riziko vyšších výdajů, a proto bude ve výdajově  nadprůměrných regionech prověřovat smluvní síť a </w:t>
      </w:r>
      <w:r w:rsidR="006D4F4F" w:rsidRPr="005F1629">
        <w:rPr>
          <w:rStyle w:val="Styl11b1"/>
          <w:rFonts w:asciiTheme="minorHAnsi" w:hAnsiTheme="minorHAnsi" w:cs="Arial"/>
          <w:sz w:val="24"/>
          <w:szCs w:val="24"/>
        </w:rPr>
        <w:t>ve výjimečných případech</w:t>
      </w:r>
      <w:r w:rsidR="00EF1A6E" w:rsidRPr="005F1629">
        <w:rPr>
          <w:rStyle w:val="Styl11b1"/>
          <w:rFonts w:asciiTheme="minorHAnsi" w:hAnsiTheme="minorHAnsi" w:cs="Arial"/>
          <w:sz w:val="24"/>
          <w:szCs w:val="24"/>
        </w:rPr>
        <w:t xml:space="preserve"> ji</w:t>
      </w:r>
      <w:r w:rsidR="006D4F4F" w:rsidRPr="005F1629">
        <w:rPr>
          <w:rStyle w:val="Styl11b1"/>
          <w:rFonts w:asciiTheme="minorHAnsi" w:hAnsiTheme="minorHAnsi" w:cs="Arial"/>
          <w:sz w:val="24"/>
          <w:szCs w:val="24"/>
        </w:rPr>
        <w:t xml:space="preserve"> redukovat</w:t>
      </w:r>
      <w:r w:rsidR="00EF1A6E" w:rsidRPr="005F1629">
        <w:rPr>
          <w:rStyle w:val="Styl11b1"/>
          <w:rFonts w:asciiTheme="minorHAnsi" w:hAnsiTheme="minorHAnsi" w:cs="Arial"/>
          <w:sz w:val="24"/>
          <w:szCs w:val="24"/>
        </w:rPr>
        <w:t>.</w:t>
      </w:r>
    </w:p>
    <w:p w:rsidR="006B703F" w:rsidRPr="005F1629" w:rsidRDefault="006B703F" w:rsidP="00553365">
      <w:pPr>
        <w:pStyle w:val="StylStylStyl11bZarovnatdoblokuTimesNewRomanVlevo1"/>
        <w:spacing w:before="0" w:after="0"/>
        <w:ind w:firstLine="357"/>
        <w:rPr>
          <w:rStyle w:val="Styl11b1"/>
          <w:rFonts w:asciiTheme="minorHAnsi" w:hAnsiTheme="minorHAnsi" w:cs="Arial"/>
          <w:sz w:val="24"/>
          <w:szCs w:val="24"/>
        </w:rPr>
      </w:pPr>
      <w:r w:rsidRPr="005F1629">
        <w:rPr>
          <w:rStyle w:val="Styl11b1"/>
          <w:rFonts w:asciiTheme="minorHAnsi" w:hAnsiTheme="minorHAnsi" w:cs="Arial"/>
          <w:sz w:val="24"/>
          <w:szCs w:val="24"/>
        </w:rPr>
        <w:t>Tento</w:t>
      </w:r>
      <w:r w:rsidR="00DE3504" w:rsidRPr="005F1629">
        <w:rPr>
          <w:rStyle w:val="Styl11b1"/>
          <w:rFonts w:asciiTheme="minorHAnsi" w:hAnsiTheme="minorHAnsi" w:cs="Arial"/>
          <w:sz w:val="24"/>
          <w:szCs w:val="24"/>
        </w:rPr>
        <w:t xml:space="preserve"> plánovaný vývoj lze vidět i v T</w:t>
      </w:r>
      <w:r w:rsidRPr="005F1629">
        <w:rPr>
          <w:rStyle w:val="Styl11b1"/>
          <w:rFonts w:asciiTheme="minorHAnsi" w:hAnsiTheme="minorHAnsi" w:cs="Arial"/>
          <w:sz w:val="24"/>
          <w:szCs w:val="24"/>
        </w:rPr>
        <w:t xml:space="preserve">abulce č. 1, počet smluvních </w:t>
      </w:r>
      <w:r w:rsidR="008A3731">
        <w:rPr>
          <w:rStyle w:val="Styl11b1"/>
          <w:rFonts w:asciiTheme="minorHAnsi" w:hAnsiTheme="minorHAnsi" w:cs="Arial"/>
          <w:sz w:val="24"/>
          <w:szCs w:val="24"/>
        </w:rPr>
        <w:t>PZS</w:t>
      </w:r>
      <w:r w:rsidRPr="005F1629">
        <w:rPr>
          <w:rStyle w:val="Styl11b1"/>
          <w:rFonts w:asciiTheme="minorHAnsi" w:hAnsiTheme="minorHAnsi" w:cs="Arial"/>
          <w:sz w:val="24"/>
          <w:szCs w:val="24"/>
        </w:rPr>
        <w:t xml:space="preserve"> se v roce 2014 nebude výrazně měnit, dojde pouze k mírnému růstu z důvodu zajištění časové a místní dostupnosti v regionech, kde jsou průkazné signály o dlouhých objednacích</w:t>
      </w:r>
      <w:r w:rsidR="006D4F4F" w:rsidRPr="005F1629">
        <w:rPr>
          <w:rStyle w:val="Styl11b1"/>
          <w:rFonts w:asciiTheme="minorHAnsi" w:hAnsiTheme="minorHAnsi" w:cs="Arial"/>
          <w:sz w:val="24"/>
          <w:szCs w:val="24"/>
        </w:rPr>
        <w:t xml:space="preserve"> dobách či o nedostupnosti sítě, </w:t>
      </w:r>
      <w:r w:rsidR="00DE3504" w:rsidRPr="005F1629">
        <w:rPr>
          <w:rStyle w:val="Styl11b1"/>
          <w:rFonts w:asciiTheme="minorHAnsi" w:hAnsiTheme="minorHAnsi" w:cs="Arial"/>
          <w:sz w:val="24"/>
          <w:szCs w:val="24"/>
        </w:rPr>
        <w:t xml:space="preserve">v následujícím roce </w:t>
      </w:r>
      <w:r w:rsidR="006D4F4F" w:rsidRPr="005F1629">
        <w:rPr>
          <w:rStyle w:val="Styl11b1"/>
          <w:rFonts w:asciiTheme="minorHAnsi" w:hAnsiTheme="minorHAnsi" w:cs="Arial"/>
          <w:sz w:val="24"/>
          <w:szCs w:val="24"/>
        </w:rPr>
        <w:t>bude tedy docházet pouze ke kultivaci stávající sítě smluvních poskytovatelů.</w:t>
      </w:r>
    </w:p>
    <w:p w:rsidR="00EF1A6E" w:rsidRPr="005F1629" w:rsidRDefault="00EF1A6E" w:rsidP="00553365">
      <w:pPr>
        <w:pStyle w:val="StylStylStyl11bZarovnatdoblokuTimesNewRomanVlevo1"/>
        <w:spacing w:before="0"/>
        <w:ind w:firstLine="357"/>
        <w:rPr>
          <w:rStyle w:val="Styl11b1"/>
          <w:rFonts w:asciiTheme="minorHAnsi" w:hAnsiTheme="minorHAnsi" w:cs="Arial"/>
          <w:sz w:val="24"/>
          <w:szCs w:val="24"/>
        </w:rPr>
      </w:pPr>
      <w:r w:rsidRPr="005F1629">
        <w:rPr>
          <w:rStyle w:val="Styl11b1"/>
          <w:rFonts w:asciiTheme="minorHAnsi" w:hAnsiTheme="minorHAnsi" w:cs="Arial"/>
          <w:sz w:val="24"/>
          <w:szCs w:val="24"/>
        </w:rPr>
        <w:t>Jako trvalou prioritu si OZP i nadále stanovila podporu</w:t>
      </w:r>
      <w:r w:rsidR="0028149A" w:rsidRPr="005F1629">
        <w:rPr>
          <w:rStyle w:val="Styl11b1"/>
          <w:rFonts w:asciiTheme="minorHAnsi" w:hAnsiTheme="minorHAnsi" w:cs="Arial"/>
          <w:sz w:val="24"/>
          <w:szCs w:val="24"/>
        </w:rPr>
        <w:t xml:space="preserve"> co možná nejširší sítě PZS primární péče a výjezdových stanovišť zdravotnické záchranné služby pro zajištění okamžité dostupnosti lékaře prvního kontaktu v kterémkoliv místě republiky.</w:t>
      </w:r>
    </w:p>
    <w:p w:rsidR="00E66CBB" w:rsidRPr="005F1629" w:rsidRDefault="00E66CBB" w:rsidP="003D45F8">
      <w:pPr>
        <w:pStyle w:val="StylStylStyl11bZarovnatdoblokuTimesNewRomanVlevo1"/>
        <w:ind w:firstLine="540"/>
        <w:rPr>
          <w:rStyle w:val="Styl11b1"/>
          <w:rFonts w:asciiTheme="minorHAnsi" w:hAnsiTheme="minorHAnsi" w:cs="Arial"/>
          <w:sz w:val="24"/>
          <w:szCs w:val="24"/>
        </w:rPr>
      </w:pPr>
    </w:p>
    <w:p w:rsidR="00C44C07" w:rsidRDefault="00C44C07" w:rsidP="003D45F8">
      <w:pPr>
        <w:pStyle w:val="StylStylStyl11bZarovnatdoblokuTimesNewRomanVlevo1"/>
        <w:ind w:firstLine="540"/>
        <w:rPr>
          <w:rStyle w:val="Styl11b1"/>
          <w:rFonts w:asciiTheme="minorHAnsi" w:hAnsiTheme="minorHAnsi" w:cs="Arial"/>
          <w:sz w:val="24"/>
          <w:szCs w:val="24"/>
        </w:rPr>
      </w:pPr>
    </w:p>
    <w:p w:rsidR="00537B8A" w:rsidRDefault="00537B8A" w:rsidP="003D45F8">
      <w:pPr>
        <w:pStyle w:val="StylStylStyl11bZarovnatdoblokuTimesNewRomanVlevo1"/>
        <w:ind w:firstLine="540"/>
        <w:rPr>
          <w:rStyle w:val="Styl11b1"/>
          <w:rFonts w:asciiTheme="minorHAnsi" w:hAnsiTheme="minorHAnsi" w:cs="Arial"/>
          <w:sz w:val="24"/>
          <w:szCs w:val="24"/>
        </w:rPr>
      </w:pPr>
    </w:p>
    <w:p w:rsidR="00537B8A" w:rsidRPr="005F1629" w:rsidRDefault="00537B8A" w:rsidP="003D45F8">
      <w:pPr>
        <w:pStyle w:val="StylStylStyl11bZarovnatdoblokuTimesNewRomanVlevo1"/>
        <w:ind w:firstLine="540"/>
        <w:rPr>
          <w:rStyle w:val="Styl11b1"/>
          <w:rFonts w:asciiTheme="minorHAnsi" w:hAnsiTheme="minorHAnsi" w:cs="Arial"/>
          <w:sz w:val="24"/>
          <w:szCs w:val="24"/>
        </w:rPr>
      </w:pPr>
    </w:p>
    <w:p w:rsidR="00C44C07" w:rsidRPr="005F1629" w:rsidRDefault="00C44C07" w:rsidP="003D45F8">
      <w:pPr>
        <w:pStyle w:val="StylStylStyl11bZarovnatdoblokuTimesNewRomanVlevo1"/>
        <w:ind w:firstLine="540"/>
        <w:rPr>
          <w:rStyle w:val="Styl11b1"/>
          <w:rFonts w:asciiTheme="minorHAnsi" w:hAnsiTheme="minorHAnsi" w:cs="Arial"/>
          <w:sz w:val="24"/>
          <w:szCs w:val="24"/>
        </w:rPr>
      </w:pPr>
    </w:p>
    <w:p w:rsidR="00E66CBB" w:rsidRPr="005F1629" w:rsidRDefault="00E66CBB" w:rsidP="00E66CBB">
      <w:pPr>
        <w:pStyle w:val="Zkladntext210"/>
        <w:spacing w:before="120"/>
        <w:rPr>
          <w:rFonts w:asciiTheme="minorHAnsi" w:hAnsiTheme="minorHAnsi" w:cs="Arial"/>
          <w:szCs w:val="24"/>
        </w:rPr>
      </w:pPr>
      <w:r w:rsidRPr="005F1629">
        <w:rPr>
          <w:rFonts w:asciiTheme="minorHAnsi" w:hAnsiTheme="minorHAnsi" w:cs="Arial"/>
          <w:szCs w:val="24"/>
        </w:rPr>
        <w:lastRenderedPageBreak/>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E66CBB" w:rsidRPr="005F1629" w:rsidTr="00E75549">
        <w:tc>
          <w:tcPr>
            <w:tcW w:w="534" w:type="dxa"/>
            <w:shd w:val="solid" w:color="000080" w:fill="FFFFFF"/>
          </w:tcPr>
          <w:p w:rsidR="00E66CBB" w:rsidRPr="005F1629" w:rsidRDefault="00E66CBB"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E66CBB" w:rsidRPr="005F1629" w:rsidRDefault="00E66CBB"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E66CBB" w:rsidRPr="005F1629" w:rsidRDefault="00E66CBB"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E66CBB" w:rsidRPr="005F1629" w:rsidRDefault="00E66CBB"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23 619</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22 653</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22 623</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22 543</w:t>
            </w:r>
          </w:p>
        </w:tc>
        <w:tc>
          <w:tcPr>
            <w:tcW w:w="1016" w:type="dxa"/>
            <w:shd w:val="clear" w:color="auto" w:fill="auto"/>
            <w:vAlign w:val="bottom"/>
          </w:tcPr>
          <w:p w:rsidR="00E66CBB" w:rsidRPr="005F1629" w:rsidRDefault="00E66CBB" w:rsidP="00DE0C41">
            <w:pPr>
              <w:jc w:val="right"/>
              <w:rPr>
                <w:rFonts w:asciiTheme="minorHAnsi" w:hAnsiTheme="minorHAnsi" w:cs="Arial"/>
                <w:bCs/>
                <w:iCs/>
                <w:sz w:val="22"/>
                <w:szCs w:val="22"/>
              </w:rPr>
            </w:pPr>
            <w:r w:rsidRPr="005F1629">
              <w:rPr>
                <w:rFonts w:asciiTheme="minorHAnsi" w:hAnsiTheme="minorHAnsi" w:cs="Arial"/>
                <w:bCs/>
                <w:iCs/>
                <w:sz w:val="22"/>
                <w:szCs w:val="22"/>
              </w:rPr>
              <w:t>22 408</w:t>
            </w:r>
          </w:p>
        </w:tc>
        <w:tc>
          <w:tcPr>
            <w:tcW w:w="1016" w:type="dxa"/>
            <w:shd w:val="clear" w:color="auto" w:fill="auto"/>
            <w:vAlign w:val="bottom"/>
          </w:tcPr>
          <w:p w:rsidR="00E66CBB" w:rsidRPr="005F1629" w:rsidRDefault="00E66CBB" w:rsidP="00DE0C41">
            <w:pPr>
              <w:jc w:val="right"/>
              <w:rPr>
                <w:rFonts w:asciiTheme="minorHAnsi" w:hAnsiTheme="minorHAnsi" w:cs="Arial"/>
                <w:bCs/>
                <w:iCs/>
                <w:sz w:val="22"/>
                <w:szCs w:val="22"/>
              </w:rPr>
            </w:pPr>
            <w:r w:rsidRPr="005F1629">
              <w:rPr>
                <w:rFonts w:asciiTheme="minorHAnsi" w:hAnsiTheme="minorHAnsi" w:cs="Arial"/>
                <w:bCs/>
                <w:iCs/>
                <w:sz w:val="22"/>
                <w:szCs w:val="22"/>
              </w:rPr>
              <w:t xml:space="preserve">22 </w:t>
            </w:r>
            <w:r w:rsidR="00D7154F">
              <w:rPr>
                <w:rFonts w:asciiTheme="minorHAnsi" w:hAnsiTheme="minorHAnsi" w:cs="Arial"/>
                <w:bCs/>
                <w:iCs/>
                <w:sz w:val="22"/>
                <w:szCs w:val="22"/>
              </w:rPr>
              <w:t>428</w:t>
            </w: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p>
        </w:tc>
        <w:tc>
          <w:tcPr>
            <w:tcW w:w="1016" w:type="dxa"/>
            <w:shd w:val="clear" w:color="auto" w:fill="auto"/>
            <w:vAlign w:val="bottom"/>
          </w:tcPr>
          <w:p w:rsidR="00E66CBB" w:rsidRPr="005F1629" w:rsidRDefault="00E66CBB" w:rsidP="00DE0C41">
            <w:pPr>
              <w:jc w:val="right"/>
              <w:rPr>
                <w:rFonts w:asciiTheme="minorHAnsi" w:hAnsiTheme="minorHAnsi" w:cs="Arial"/>
                <w:color w:val="000000"/>
                <w:sz w:val="22"/>
                <w:szCs w:val="22"/>
              </w:rPr>
            </w:pPr>
          </w:p>
        </w:tc>
        <w:tc>
          <w:tcPr>
            <w:tcW w:w="1016" w:type="dxa"/>
            <w:shd w:val="clear" w:color="auto" w:fill="auto"/>
            <w:vAlign w:val="bottom"/>
          </w:tcPr>
          <w:p w:rsidR="00E66CBB" w:rsidRPr="005F1629" w:rsidRDefault="00E66CBB" w:rsidP="00DE0C41">
            <w:pPr>
              <w:jc w:val="right"/>
              <w:rPr>
                <w:rFonts w:asciiTheme="minorHAnsi" w:hAnsiTheme="minorHAnsi" w:cs="Arial"/>
                <w:bCs/>
                <w:iCs/>
                <w:sz w:val="22"/>
                <w:szCs w:val="22"/>
              </w:rPr>
            </w:pP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4 390</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4 389</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4 390</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4 378</w:t>
            </w:r>
          </w:p>
        </w:tc>
        <w:tc>
          <w:tcPr>
            <w:tcW w:w="1016" w:type="dxa"/>
            <w:shd w:val="clear" w:color="auto" w:fill="auto"/>
            <w:vAlign w:val="bottom"/>
          </w:tcPr>
          <w:p w:rsidR="00E66CBB" w:rsidRPr="005F1629" w:rsidRDefault="00E66CBB" w:rsidP="00DE0C41">
            <w:pPr>
              <w:jc w:val="right"/>
              <w:rPr>
                <w:rFonts w:asciiTheme="minorHAnsi" w:hAnsiTheme="minorHAnsi" w:cs="Arial"/>
                <w:bCs/>
                <w:iCs/>
                <w:sz w:val="22"/>
                <w:szCs w:val="22"/>
              </w:rPr>
            </w:pPr>
            <w:r w:rsidRPr="005F1629">
              <w:rPr>
                <w:rFonts w:asciiTheme="minorHAnsi" w:hAnsiTheme="minorHAnsi" w:cs="Arial"/>
                <w:bCs/>
                <w:iCs/>
                <w:sz w:val="22"/>
                <w:szCs w:val="22"/>
              </w:rPr>
              <w:t>4 353</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4 358</w:t>
            </w: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2 069</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2 050</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2 039</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2 026</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2 003</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2 005</w:t>
            </w: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5 556</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5 624</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5 658</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5 671</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5 661</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5 665</w:t>
            </w:r>
          </w:p>
        </w:tc>
      </w:tr>
      <w:tr w:rsidR="006D4F4F" w:rsidRPr="005F1629" w:rsidTr="00DE0C41">
        <w:tc>
          <w:tcPr>
            <w:tcW w:w="534" w:type="dxa"/>
            <w:shd w:val="clear" w:color="auto" w:fill="auto"/>
          </w:tcPr>
          <w:p w:rsidR="006D4F4F" w:rsidRPr="005F1629" w:rsidRDefault="006D4F4F" w:rsidP="00E75549">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6D4F4F" w:rsidRPr="005F1629" w:rsidRDefault="006D4F4F" w:rsidP="00E75549">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vAlign w:val="bottom"/>
          </w:tcPr>
          <w:p w:rsidR="006D4F4F" w:rsidRPr="005F1629" w:rsidRDefault="006D4F4F" w:rsidP="00DE0C41">
            <w:pPr>
              <w:jc w:val="right"/>
              <w:rPr>
                <w:rFonts w:asciiTheme="minorHAnsi" w:hAnsiTheme="minorHAnsi" w:cs="Arial"/>
                <w:color w:val="000000"/>
                <w:sz w:val="22"/>
                <w:szCs w:val="22"/>
              </w:rPr>
            </w:pPr>
            <w:r w:rsidRPr="005F1629">
              <w:rPr>
                <w:rFonts w:asciiTheme="minorHAnsi" w:hAnsiTheme="minorHAnsi" w:cs="Arial"/>
                <w:color w:val="000000"/>
                <w:sz w:val="22"/>
                <w:szCs w:val="22"/>
              </w:rPr>
              <w:t>11 604</w:t>
            </w:r>
          </w:p>
        </w:tc>
        <w:tc>
          <w:tcPr>
            <w:tcW w:w="1016" w:type="dxa"/>
            <w:shd w:val="clear" w:color="auto" w:fill="auto"/>
            <w:vAlign w:val="bottom"/>
          </w:tcPr>
          <w:p w:rsidR="006D4F4F" w:rsidRPr="005F1629" w:rsidRDefault="006D4F4F" w:rsidP="00DE0C41">
            <w:pPr>
              <w:jc w:val="right"/>
              <w:rPr>
                <w:rFonts w:asciiTheme="minorHAnsi" w:hAnsiTheme="minorHAnsi" w:cs="Arial"/>
                <w:color w:val="000000"/>
                <w:sz w:val="22"/>
                <w:szCs w:val="22"/>
              </w:rPr>
            </w:pPr>
            <w:r w:rsidRPr="005F1629">
              <w:rPr>
                <w:rFonts w:asciiTheme="minorHAnsi" w:hAnsiTheme="minorHAnsi" w:cs="Arial"/>
                <w:color w:val="000000"/>
                <w:sz w:val="22"/>
                <w:szCs w:val="22"/>
              </w:rPr>
              <w:t>10 590</w:t>
            </w:r>
          </w:p>
        </w:tc>
        <w:tc>
          <w:tcPr>
            <w:tcW w:w="1016" w:type="dxa"/>
            <w:shd w:val="clear" w:color="auto" w:fill="auto"/>
            <w:vAlign w:val="bottom"/>
          </w:tcPr>
          <w:p w:rsidR="006D4F4F" w:rsidRPr="005F1629" w:rsidRDefault="006D4F4F" w:rsidP="00DE0C41">
            <w:pPr>
              <w:jc w:val="right"/>
              <w:rPr>
                <w:rFonts w:asciiTheme="minorHAnsi" w:hAnsiTheme="minorHAnsi" w:cs="Arial"/>
                <w:color w:val="000000"/>
                <w:sz w:val="22"/>
                <w:szCs w:val="22"/>
              </w:rPr>
            </w:pPr>
            <w:r w:rsidRPr="005F1629">
              <w:rPr>
                <w:rFonts w:asciiTheme="minorHAnsi" w:hAnsiTheme="minorHAnsi" w:cs="Arial"/>
                <w:color w:val="000000"/>
                <w:sz w:val="22"/>
                <w:szCs w:val="22"/>
              </w:rPr>
              <w:t>10 536</w:t>
            </w:r>
          </w:p>
        </w:tc>
        <w:tc>
          <w:tcPr>
            <w:tcW w:w="1016" w:type="dxa"/>
            <w:shd w:val="clear" w:color="auto" w:fill="auto"/>
            <w:vAlign w:val="bottom"/>
          </w:tcPr>
          <w:p w:rsidR="006D4F4F" w:rsidRPr="005F1629" w:rsidRDefault="006D4F4F" w:rsidP="00DE0C41">
            <w:pPr>
              <w:jc w:val="right"/>
              <w:rPr>
                <w:rFonts w:asciiTheme="minorHAnsi" w:hAnsiTheme="minorHAnsi" w:cs="Arial"/>
                <w:color w:val="000000"/>
                <w:sz w:val="22"/>
                <w:szCs w:val="22"/>
              </w:rPr>
            </w:pPr>
            <w:r w:rsidRPr="005F1629">
              <w:rPr>
                <w:rFonts w:asciiTheme="minorHAnsi" w:hAnsiTheme="minorHAnsi" w:cs="Arial"/>
                <w:color w:val="000000"/>
                <w:sz w:val="22"/>
                <w:szCs w:val="22"/>
              </w:rPr>
              <w:t>10 468</w:t>
            </w:r>
          </w:p>
        </w:tc>
        <w:tc>
          <w:tcPr>
            <w:tcW w:w="1016" w:type="dxa"/>
            <w:shd w:val="clear" w:color="auto" w:fill="auto"/>
            <w:vAlign w:val="bottom"/>
          </w:tcPr>
          <w:p w:rsidR="006D4F4F" w:rsidRPr="005F1629" w:rsidRDefault="006D4F4F" w:rsidP="00DE0C41">
            <w:pPr>
              <w:jc w:val="right"/>
              <w:rPr>
                <w:rFonts w:asciiTheme="minorHAnsi" w:hAnsiTheme="minorHAnsi" w:cs="Arial"/>
                <w:color w:val="000000"/>
                <w:sz w:val="22"/>
                <w:szCs w:val="22"/>
              </w:rPr>
            </w:pPr>
            <w:r w:rsidRPr="005F1629">
              <w:rPr>
                <w:rFonts w:asciiTheme="minorHAnsi" w:hAnsiTheme="minorHAnsi" w:cs="Arial"/>
                <w:color w:val="000000"/>
                <w:sz w:val="22"/>
                <w:szCs w:val="22"/>
              </w:rPr>
              <w:t>10 391</w:t>
            </w:r>
          </w:p>
        </w:tc>
        <w:tc>
          <w:tcPr>
            <w:tcW w:w="1016" w:type="dxa"/>
            <w:shd w:val="clear" w:color="auto" w:fill="auto"/>
            <w:vAlign w:val="bottom"/>
          </w:tcPr>
          <w:p w:rsidR="006D4F4F" w:rsidRPr="005F1629" w:rsidRDefault="00D7154F" w:rsidP="00DE0C41">
            <w:pPr>
              <w:jc w:val="right"/>
              <w:rPr>
                <w:rFonts w:asciiTheme="minorHAnsi" w:hAnsiTheme="minorHAnsi" w:cs="Arial"/>
                <w:color w:val="000000"/>
                <w:sz w:val="22"/>
                <w:szCs w:val="22"/>
              </w:rPr>
            </w:pPr>
            <w:r>
              <w:rPr>
                <w:rFonts w:asciiTheme="minorHAnsi" w:hAnsiTheme="minorHAnsi" w:cs="Arial"/>
                <w:color w:val="000000"/>
                <w:sz w:val="22"/>
                <w:szCs w:val="22"/>
              </w:rPr>
              <w:t>10 400</w:t>
            </w: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390</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389</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398</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398</w:t>
            </w:r>
          </w:p>
        </w:tc>
        <w:tc>
          <w:tcPr>
            <w:tcW w:w="1016" w:type="dxa"/>
            <w:shd w:val="clear" w:color="auto" w:fill="auto"/>
            <w:vAlign w:val="bottom"/>
          </w:tcPr>
          <w:p w:rsidR="00E66CBB" w:rsidRPr="005F1629" w:rsidRDefault="00E66CBB" w:rsidP="00DE0C41">
            <w:pPr>
              <w:jc w:val="right"/>
              <w:rPr>
                <w:rFonts w:asciiTheme="minorHAnsi" w:hAnsiTheme="minorHAnsi" w:cs="Arial"/>
                <w:iCs/>
                <w:sz w:val="22"/>
                <w:szCs w:val="22"/>
              </w:rPr>
            </w:pPr>
            <w:r w:rsidRPr="005F1629">
              <w:rPr>
                <w:rFonts w:asciiTheme="minorHAnsi" w:hAnsiTheme="minorHAnsi" w:cs="Arial"/>
                <w:iCs/>
                <w:sz w:val="22"/>
                <w:szCs w:val="22"/>
              </w:rPr>
              <w:t>391</w:t>
            </w:r>
          </w:p>
        </w:tc>
        <w:tc>
          <w:tcPr>
            <w:tcW w:w="1016" w:type="dxa"/>
            <w:shd w:val="clear" w:color="auto" w:fill="auto"/>
            <w:vAlign w:val="bottom"/>
          </w:tcPr>
          <w:p w:rsidR="00E66CBB" w:rsidRPr="005F1629" w:rsidRDefault="00E66CBB" w:rsidP="00DE0C41">
            <w:pPr>
              <w:jc w:val="right"/>
              <w:rPr>
                <w:rFonts w:asciiTheme="minorHAnsi" w:hAnsiTheme="minorHAnsi" w:cs="Arial"/>
                <w:iCs/>
                <w:sz w:val="22"/>
                <w:szCs w:val="22"/>
              </w:rPr>
            </w:pPr>
            <w:r w:rsidRPr="005F1629">
              <w:rPr>
                <w:rFonts w:asciiTheme="minorHAnsi" w:hAnsiTheme="minorHAnsi" w:cs="Arial"/>
                <w:iCs/>
                <w:sz w:val="22"/>
                <w:szCs w:val="22"/>
              </w:rPr>
              <w:t>393</w:t>
            </w:r>
          </w:p>
        </w:tc>
      </w:tr>
      <w:tr w:rsidR="00E66CBB" w:rsidRPr="005F1629" w:rsidTr="00DE0C41">
        <w:tc>
          <w:tcPr>
            <w:tcW w:w="534" w:type="dxa"/>
            <w:shd w:val="clear" w:color="auto" w:fill="auto"/>
          </w:tcPr>
          <w:p w:rsidR="00E66CBB" w:rsidRPr="005F1629" w:rsidRDefault="00E66CBB" w:rsidP="00E75549">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E66CBB" w:rsidRPr="005F1629" w:rsidRDefault="00E66CBB" w:rsidP="00E75549">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3 052</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3 098</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3 104</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3 114</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3 142</w:t>
            </w:r>
          </w:p>
        </w:tc>
        <w:tc>
          <w:tcPr>
            <w:tcW w:w="1016" w:type="dxa"/>
            <w:shd w:val="clear" w:color="auto" w:fill="auto"/>
            <w:vAlign w:val="bottom"/>
          </w:tcPr>
          <w:p w:rsidR="00E66CBB" w:rsidRPr="005F1629" w:rsidRDefault="00E66CBB" w:rsidP="00DE0C41">
            <w:pPr>
              <w:jc w:val="right"/>
              <w:rPr>
                <w:rFonts w:asciiTheme="minorHAnsi" w:hAnsiTheme="minorHAnsi" w:cs="Arial"/>
                <w:bCs/>
                <w:sz w:val="22"/>
                <w:szCs w:val="22"/>
              </w:rPr>
            </w:pPr>
            <w:r w:rsidRPr="005F1629">
              <w:rPr>
                <w:rFonts w:asciiTheme="minorHAnsi" w:hAnsiTheme="minorHAnsi" w:cs="Arial"/>
                <w:bCs/>
                <w:sz w:val="22"/>
                <w:szCs w:val="22"/>
              </w:rPr>
              <w:t>3 148</w:t>
            </w:r>
          </w:p>
        </w:tc>
      </w:tr>
      <w:tr w:rsidR="006D4F4F" w:rsidRPr="005F1629" w:rsidTr="00DE0C41">
        <w:tc>
          <w:tcPr>
            <w:tcW w:w="534" w:type="dxa"/>
            <w:shd w:val="clear" w:color="auto" w:fill="auto"/>
          </w:tcPr>
          <w:p w:rsidR="006D4F4F" w:rsidRPr="005F1629" w:rsidRDefault="006D4F4F" w:rsidP="00E75549">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6D4F4F" w:rsidRPr="005F1629" w:rsidRDefault="006D4F4F" w:rsidP="00E75549">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vAlign w:val="bottom"/>
          </w:tcPr>
          <w:p w:rsidR="006D4F4F" w:rsidRPr="005F1629" w:rsidRDefault="006D4F4F" w:rsidP="00DE0C41">
            <w:pPr>
              <w:jc w:val="right"/>
              <w:rPr>
                <w:rFonts w:asciiTheme="minorHAnsi" w:hAnsiTheme="minorHAnsi" w:cs="Arial"/>
                <w:b/>
                <w:bCs/>
                <w:color w:val="000000"/>
                <w:sz w:val="22"/>
                <w:szCs w:val="22"/>
              </w:rPr>
            </w:pPr>
            <w:r w:rsidRPr="005F1629">
              <w:rPr>
                <w:rFonts w:asciiTheme="minorHAnsi" w:hAnsiTheme="minorHAnsi" w:cs="Arial"/>
                <w:b/>
                <w:bCs/>
                <w:color w:val="000000"/>
                <w:sz w:val="22"/>
                <w:szCs w:val="22"/>
              </w:rPr>
              <w:t>27 061</w:t>
            </w:r>
          </w:p>
        </w:tc>
        <w:tc>
          <w:tcPr>
            <w:tcW w:w="1016" w:type="dxa"/>
            <w:shd w:val="clear" w:color="auto" w:fill="auto"/>
            <w:vAlign w:val="bottom"/>
          </w:tcPr>
          <w:p w:rsidR="006D4F4F" w:rsidRPr="005F1629" w:rsidRDefault="006D4F4F" w:rsidP="00DE0C41">
            <w:pPr>
              <w:jc w:val="right"/>
              <w:rPr>
                <w:rFonts w:asciiTheme="minorHAnsi" w:hAnsiTheme="minorHAnsi" w:cs="Arial"/>
                <w:b/>
                <w:bCs/>
                <w:color w:val="000000"/>
                <w:sz w:val="22"/>
                <w:szCs w:val="22"/>
              </w:rPr>
            </w:pPr>
            <w:r w:rsidRPr="005F1629">
              <w:rPr>
                <w:rFonts w:asciiTheme="minorHAnsi" w:hAnsiTheme="minorHAnsi" w:cs="Arial"/>
                <w:b/>
                <w:bCs/>
                <w:color w:val="000000"/>
                <w:sz w:val="22"/>
                <w:szCs w:val="22"/>
              </w:rPr>
              <w:t>26 140</w:t>
            </w:r>
          </w:p>
        </w:tc>
        <w:tc>
          <w:tcPr>
            <w:tcW w:w="1016" w:type="dxa"/>
            <w:shd w:val="clear" w:color="auto" w:fill="auto"/>
            <w:vAlign w:val="bottom"/>
          </w:tcPr>
          <w:p w:rsidR="006D4F4F" w:rsidRPr="005F1629" w:rsidRDefault="006D4F4F" w:rsidP="00DE0C41">
            <w:pPr>
              <w:jc w:val="right"/>
              <w:rPr>
                <w:rFonts w:asciiTheme="minorHAnsi" w:hAnsiTheme="minorHAnsi" w:cs="Arial"/>
                <w:b/>
                <w:bCs/>
                <w:color w:val="000000"/>
                <w:sz w:val="22"/>
                <w:szCs w:val="22"/>
              </w:rPr>
            </w:pPr>
            <w:r w:rsidRPr="005F1629">
              <w:rPr>
                <w:rFonts w:asciiTheme="minorHAnsi" w:hAnsiTheme="minorHAnsi" w:cs="Arial"/>
                <w:b/>
                <w:bCs/>
                <w:color w:val="000000"/>
                <w:sz w:val="22"/>
                <w:szCs w:val="22"/>
              </w:rPr>
              <w:t>26 125</w:t>
            </w:r>
          </w:p>
        </w:tc>
        <w:tc>
          <w:tcPr>
            <w:tcW w:w="1016" w:type="dxa"/>
            <w:shd w:val="clear" w:color="auto" w:fill="auto"/>
            <w:vAlign w:val="bottom"/>
          </w:tcPr>
          <w:p w:rsidR="006D4F4F" w:rsidRPr="005F1629" w:rsidRDefault="006D4F4F" w:rsidP="00DE0C41">
            <w:pPr>
              <w:jc w:val="right"/>
              <w:rPr>
                <w:rFonts w:asciiTheme="minorHAnsi" w:hAnsiTheme="minorHAnsi" w:cs="Arial"/>
                <w:b/>
                <w:bCs/>
                <w:color w:val="000000"/>
                <w:sz w:val="22"/>
                <w:szCs w:val="22"/>
              </w:rPr>
            </w:pPr>
            <w:r w:rsidRPr="005F1629">
              <w:rPr>
                <w:rFonts w:asciiTheme="minorHAnsi" w:hAnsiTheme="minorHAnsi" w:cs="Arial"/>
                <w:b/>
                <w:bCs/>
                <w:color w:val="000000"/>
                <w:sz w:val="22"/>
                <w:szCs w:val="22"/>
              </w:rPr>
              <w:t>26 055</w:t>
            </w:r>
          </w:p>
        </w:tc>
        <w:tc>
          <w:tcPr>
            <w:tcW w:w="1016" w:type="dxa"/>
            <w:shd w:val="clear" w:color="auto" w:fill="auto"/>
            <w:vAlign w:val="bottom"/>
          </w:tcPr>
          <w:p w:rsidR="006D4F4F" w:rsidRPr="005F1629" w:rsidRDefault="006D4F4F" w:rsidP="00DE0C41">
            <w:pPr>
              <w:jc w:val="right"/>
              <w:rPr>
                <w:rFonts w:asciiTheme="minorHAnsi" w:hAnsiTheme="minorHAnsi" w:cs="Arial"/>
                <w:b/>
                <w:bCs/>
                <w:color w:val="000000"/>
                <w:sz w:val="22"/>
                <w:szCs w:val="22"/>
              </w:rPr>
            </w:pPr>
            <w:r w:rsidRPr="005F1629">
              <w:rPr>
                <w:rFonts w:asciiTheme="minorHAnsi" w:hAnsiTheme="minorHAnsi" w:cs="Arial"/>
                <w:b/>
                <w:bCs/>
                <w:color w:val="000000"/>
                <w:sz w:val="22"/>
                <w:szCs w:val="22"/>
              </w:rPr>
              <w:t>25 941</w:t>
            </w:r>
          </w:p>
        </w:tc>
        <w:tc>
          <w:tcPr>
            <w:tcW w:w="1016" w:type="dxa"/>
            <w:shd w:val="clear" w:color="auto" w:fill="auto"/>
            <w:vAlign w:val="bottom"/>
          </w:tcPr>
          <w:p w:rsidR="006D4F4F" w:rsidRPr="005F1629" w:rsidRDefault="00D7154F" w:rsidP="00DE0C41">
            <w:pPr>
              <w:jc w:val="right"/>
              <w:rPr>
                <w:rFonts w:asciiTheme="minorHAnsi" w:hAnsiTheme="minorHAnsi" w:cs="Arial"/>
                <w:b/>
                <w:bCs/>
                <w:color w:val="000000"/>
                <w:sz w:val="22"/>
                <w:szCs w:val="22"/>
              </w:rPr>
            </w:pPr>
            <w:r>
              <w:rPr>
                <w:rFonts w:asciiTheme="minorHAnsi" w:hAnsiTheme="minorHAnsi" w:cs="Arial"/>
                <w:b/>
                <w:bCs/>
                <w:color w:val="000000"/>
                <w:sz w:val="22"/>
                <w:szCs w:val="22"/>
              </w:rPr>
              <w:t>25 969</w:t>
            </w:r>
          </w:p>
        </w:tc>
      </w:tr>
    </w:tbl>
    <w:p w:rsidR="00E66CBB" w:rsidRPr="005F1629" w:rsidRDefault="00E66CBB" w:rsidP="00537B8A">
      <w:pPr>
        <w:pStyle w:val="StylStylStyl11bZarovnatdoblokuTimesNewRomanVlevo1"/>
        <w:rPr>
          <w:rStyle w:val="Styl11b1"/>
          <w:rFonts w:asciiTheme="minorHAnsi" w:hAnsiTheme="minorHAnsi" w:cs="Arial"/>
          <w:sz w:val="24"/>
          <w:szCs w:val="24"/>
        </w:rPr>
      </w:pPr>
    </w:p>
    <w:p w:rsidR="00673577" w:rsidRPr="005F1629" w:rsidRDefault="005861E1" w:rsidP="00553365">
      <w:pPr>
        <w:spacing w:after="240"/>
        <w:ind w:firstLine="357"/>
        <w:jc w:val="both"/>
        <w:rPr>
          <w:rFonts w:asciiTheme="minorHAnsi" w:hAnsiTheme="minorHAnsi" w:cs="Arial"/>
        </w:rPr>
      </w:pPr>
      <w:r w:rsidRPr="005F1629">
        <w:rPr>
          <w:rFonts w:asciiTheme="minorHAnsi" w:hAnsiTheme="minorHAnsi" w:cs="Arial"/>
        </w:rPr>
        <w:t xml:space="preserve">V roce 2014 bude OZP nadále podporovat </w:t>
      </w:r>
      <w:r w:rsidR="00DE3504" w:rsidRPr="005F1629">
        <w:rPr>
          <w:rFonts w:asciiTheme="minorHAnsi" w:hAnsiTheme="minorHAnsi" w:cs="Arial"/>
          <w:b/>
        </w:rPr>
        <w:t>revizní a kontrolní činnost</w:t>
      </w:r>
      <w:r w:rsidR="00DE3504" w:rsidRPr="005F1629">
        <w:rPr>
          <w:rFonts w:asciiTheme="minorHAnsi" w:hAnsiTheme="minorHAnsi" w:cs="Arial"/>
        </w:rPr>
        <w:t xml:space="preserve">, zejména </w:t>
      </w:r>
      <w:r w:rsidRPr="005F1629">
        <w:rPr>
          <w:rFonts w:asciiTheme="minorHAnsi" w:hAnsiTheme="minorHAnsi" w:cs="Arial"/>
        </w:rPr>
        <w:t>automatiz</w:t>
      </w:r>
      <w:r w:rsidR="00673577" w:rsidRPr="005F1629">
        <w:rPr>
          <w:rFonts w:asciiTheme="minorHAnsi" w:hAnsiTheme="minorHAnsi" w:cs="Arial"/>
        </w:rPr>
        <w:t>ované kontroly. Následně všechna</w:t>
      </w:r>
      <w:r w:rsidRPr="005F1629">
        <w:rPr>
          <w:rFonts w:asciiTheme="minorHAnsi" w:hAnsiTheme="minorHAnsi" w:cs="Arial"/>
        </w:rPr>
        <w:t xml:space="preserve"> vyúčtování, ve kterých automatizovaná kontrola identifikuje chybu nebo velmi vysoké náklady</w:t>
      </w:r>
      <w:r w:rsidR="00673577" w:rsidRPr="005F1629">
        <w:rPr>
          <w:rFonts w:asciiTheme="minorHAnsi" w:hAnsiTheme="minorHAnsi" w:cs="Arial"/>
        </w:rPr>
        <w:t xml:space="preserve"> (nad určitý limit), budou předkládán</w:t>
      </w:r>
      <w:r w:rsidR="00373AC2" w:rsidRPr="005F1629">
        <w:rPr>
          <w:rFonts w:asciiTheme="minorHAnsi" w:hAnsiTheme="minorHAnsi" w:cs="Arial"/>
        </w:rPr>
        <w:t>a</w:t>
      </w:r>
      <w:r w:rsidR="00673577" w:rsidRPr="005F1629">
        <w:rPr>
          <w:rFonts w:asciiTheme="minorHAnsi" w:hAnsiTheme="minorHAnsi" w:cs="Arial"/>
        </w:rPr>
        <w:t xml:space="preserve"> k povinné ruční revizi. OZP bude také provádět post-revize k odhalení neoprávněně předepisovaných léčiv a individuální či týmové fyzické revize u PZS, kteří jsou předmětem stížností pojištěnců nebo kteří vykazují známky účelového chování.</w:t>
      </w:r>
    </w:p>
    <w:p w:rsidR="004F4EAE" w:rsidRPr="005F1629" w:rsidRDefault="004F4EAE" w:rsidP="00553365">
      <w:pPr>
        <w:ind w:firstLine="357"/>
        <w:jc w:val="both"/>
        <w:rPr>
          <w:rFonts w:asciiTheme="minorHAnsi" w:hAnsiTheme="minorHAnsi" w:cs="Arial"/>
        </w:rPr>
      </w:pPr>
      <w:r w:rsidRPr="005F1629">
        <w:rPr>
          <w:rFonts w:asciiTheme="minorHAnsi" w:hAnsiTheme="minorHAnsi" w:cs="Arial"/>
        </w:rPr>
        <w:t xml:space="preserve">Plánovaná </w:t>
      </w:r>
      <w:r w:rsidRPr="005F1629">
        <w:rPr>
          <w:rFonts w:asciiTheme="minorHAnsi" w:hAnsiTheme="minorHAnsi" w:cs="Arial"/>
          <w:b/>
        </w:rPr>
        <w:t>struktura a výše nákladů na zdravotní služby</w:t>
      </w:r>
      <w:r w:rsidRPr="005F1629">
        <w:rPr>
          <w:rFonts w:asciiTheme="minorHAnsi" w:hAnsiTheme="minorHAnsi" w:cs="Arial"/>
        </w:rPr>
        <w:t xml:space="preserve"> je určena </w:t>
      </w:r>
      <w:r w:rsidR="005861E1" w:rsidRPr="005F1629">
        <w:rPr>
          <w:rFonts w:asciiTheme="minorHAnsi" w:hAnsiTheme="minorHAnsi" w:cs="Arial"/>
        </w:rPr>
        <w:t>základní</w:t>
      </w:r>
      <w:r w:rsidR="00373AC2" w:rsidRPr="005F1629">
        <w:rPr>
          <w:rFonts w:asciiTheme="minorHAnsi" w:hAnsiTheme="minorHAnsi" w:cs="Arial"/>
        </w:rPr>
        <w:t>mi</w:t>
      </w:r>
      <w:r w:rsidR="005861E1" w:rsidRPr="005F1629">
        <w:rPr>
          <w:rFonts w:asciiTheme="minorHAnsi" w:hAnsiTheme="minorHAnsi" w:cs="Arial"/>
        </w:rPr>
        <w:t xml:space="preserve"> priorit</w:t>
      </w:r>
      <w:r w:rsidR="00373AC2" w:rsidRPr="005F1629">
        <w:rPr>
          <w:rFonts w:asciiTheme="minorHAnsi" w:hAnsiTheme="minorHAnsi" w:cs="Arial"/>
        </w:rPr>
        <w:t>ami</w:t>
      </w:r>
      <w:r w:rsidR="005861E1" w:rsidRPr="005F1629">
        <w:rPr>
          <w:rFonts w:asciiTheme="minorHAnsi" w:hAnsiTheme="minorHAnsi" w:cs="Arial"/>
        </w:rPr>
        <w:t xml:space="preserve"> – udržení</w:t>
      </w:r>
      <w:r w:rsidR="00E477F8" w:rsidRPr="005F1629">
        <w:rPr>
          <w:rFonts w:asciiTheme="minorHAnsi" w:hAnsiTheme="minorHAnsi" w:cs="Arial"/>
        </w:rPr>
        <w:t>m</w:t>
      </w:r>
      <w:r w:rsidR="005861E1" w:rsidRPr="005F1629">
        <w:rPr>
          <w:rFonts w:asciiTheme="minorHAnsi" w:hAnsiTheme="minorHAnsi" w:cs="Arial"/>
        </w:rPr>
        <w:t xml:space="preserve"> vyrovnané bilance ZFZP, </w:t>
      </w:r>
      <w:r w:rsidRPr="005F1629">
        <w:rPr>
          <w:rFonts w:asciiTheme="minorHAnsi" w:hAnsiTheme="minorHAnsi" w:cs="Arial"/>
        </w:rPr>
        <w:t>úhradovou vyhlá</w:t>
      </w:r>
      <w:r w:rsidR="008A3731">
        <w:rPr>
          <w:rFonts w:asciiTheme="minorHAnsi" w:hAnsiTheme="minorHAnsi" w:cs="Arial"/>
        </w:rPr>
        <w:t>škou, uzavřenými dohodami v doho</w:t>
      </w:r>
      <w:r w:rsidRPr="005F1629">
        <w:rPr>
          <w:rFonts w:asciiTheme="minorHAnsi" w:hAnsiTheme="minorHAnsi" w:cs="Arial"/>
        </w:rPr>
        <w:t>dovacím řízení, navýšení</w:t>
      </w:r>
      <w:r w:rsidR="00E477F8" w:rsidRPr="005F1629">
        <w:rPr>
          <w:rFonts w:asciiTheme="minorHAnsi" w:hAnsiTheme="minorHAnsi" w:cs="Arial"/>
        </w:rPr>
        <w:t>m</w:t>
      </w:r>
      <w:r w:rsidRPr="005F1629">
        <w:rPr>
          <w:rFonts w:asciiTheme="minorHAnsi" w:hAnsiTheme="minorHAnsi" w:cs="Arial"/>
        </w:rPr>
        <w:t xml:space="preserve"> plateb za státní pojištěnce a nárůst</w:t>
      </w:r>
      <w:r w:rsidR="00E477F8" w:rsidRPr="005F1629">
        <w:rPr>
          <w:rFonts w:asciiTheme="minorHAnsi" w:hAnsiTheme="minorHAnsi" w:cs="Arial"/>
        </w:rPr>
        <w:t>em</w:t>
      </w:r>
      <w:r w:rsidRPr="005F1629">
        <w:rPr>
          <w:rFonts w:asciiTheme="minorHAnsi" w:hAnsiTheme="minorHAnsi" w:cs="Arial"/>
        </w:rPr>
        <w:t xml:space="preserve"> pojištěnců k 1. 1. 2014.</w:t>
      </w:r>
    </w:p>
    <w:p w:rsidR="003A7605" w:rsidRPr="005F1629" w:rsidRDefault="002934E1" w:rsidP="00553365">
      <w:pPr>
        <w:ind w:firstLine="357"/>
        <w:jc w:val="both"/>
        <w:rPr>
          <w:rFonts w:asciiTheme="minorHAnsi" w:hAnsiTheme="minorHAnsi" w:cs="Arial"/>
        </w:rPr>
      </w:pPr>
      <w:r w:rsidRPr="005F1629">
        <w:rPr>
          <w:rFonts w:asciiTheme="minorHAnsi" w:hAnsiTheme="minorHAnsi" w:cs="Arial"/>
        </w:rPr>
        <w:t xml:space="preserve">OZP plánuje </w:t>
      </w:r>
      <w:r w:rsidRPr="005F1629">
        <w:rPr>
          <w:rFonts w:asciiTheme="minorHAnsi" w:hAnsiTheme="minorHAnsi" w:cs="Arial"/>
          <w:b/>
        </w:rPr>
        <w:t>čerpání nákladů na zdravotní služby</w:t>
      </w:r>
      <w:r w:rsidRPr="005F1629">
        <w:rPr>
          <w:rFonts w:asciiTheme="minorHAnsi" w:hAnsiTheme="minorHAnsi" w:cs="Arial"/>
        </w:rPr>
        <w:t xml:space="preserve"> ve výši 1</w:t>
      </w:r>
      <w:r w:rsidR="00365508" w:rsidRPr="005F1629">
        <w:rPr>
          <w:rFonts w:asciiTheme="minorHAnsi" w:hAnsiTheme="minorHAnsi" w:cs="Arial"/>
        </w:rPr>
        <w:t>4</w:t>
      </w:r>
      <w:r w:rsidR="00DE3504" w:rsidRPr="005F1629">
        <w:rPr>
          <w:rFonts w:asciiTheme="minorHAnsi" w:hAnsiTheme="minorHAnsi" w:cs="Arial"/>
        </w:rPr>
        <w:t> </w:t>
      </w:r>
      <w:r w:rsidR="00365508" w:rsidRPr="005F1629">
        <w:rPr>
          <w:rFonts w:asciiTheme="minorHAnsi" w:hAnsiTheme="minorHAnsi" w:cs="Arial"/>
        </w:rPr>
        <w:t>07</w:t>
      </w:r>
      <w:r w:rsidR="00DE3504" w:rsidRPr="005F1629">
        <w:rPr>
          <w:rFonts w:asciiTheme="minorHAnsi" w:hAnsiTheme="minorHAnsi" w:cs="Arial"/>
        </w:rPr>
        <w:t>6 mil</w:t>
      </w:r>
      <w:r w:rsidR="00365508" w:rsidRPr="005F1629">
        <w:rPr>
          <w:rFonts w:asciiTheme="minorHAnsi" w:hAnsiTheme="minorHAnsi" w:cs="Arial"/>
        </w:rPr>
        <w:t>.</w:t>
      </w:r>
      <w:r w:rsidRPr="005F1629">
        <w:rPr>
          <w:rFonts w:asciiTheme="minorHAnsi" w:hAnsiTheme="minorHAnsi" w:cs="Arial"/>
        </w:rPr>
        <w:t xml:space="preserve"> Kč, což představuje meziroční </w:t>
      </w:r>
      <w:r w:rsidR="00365508" w:rsidRPr="005F1629">
        <w:rPr>
          <w:rFonts w:asciiTheme="minorHAnsi" w:hAnsiTheme="minorHAnsi" w:cs="Arial"/>
        </w:rPr>
        <w:t>nárůst</w:t>
      </w:r>
      <w:r w:rsidRPr="005F1629">
        <w:rPr>
          <w:rFonts w:asciiTheme="minorHAnsi" w:hAnsiTheme="minorHAnsi" w:cs="Arial"/>
        </w:rPr>
        <w:t xml:space="preserve"> </w:t>
      </w:r>
      <w:r w:rsidR="006D4F4F" w:rsidRPr="005F1629">
        <w:rPr>
          <w:rFonts w:asciiTheme="minorHAnsi" w:hAnsiTheme="minorHAnsi" w:cs="Arial"/>
        </w:rPr>
        <w:t>oproti očekávané skutečnosti roku</w:t>
      </w:r>
      <w:r w:rsidR="00472812" w:rsidRPr="005F1629">
        <w:rPr>
          <w:rFonts w:asciiTheme="minorHAnsi" w:hAnsiTheme="minorHAnsi" w:cs="Arial"/>
        </w:rPr>
        <w:t> </w:t>
      </w:r>
      <w:r w:rsidRPr="005F1629">
        <w:rPr>
          <w:rFonts w:asciiTheme="minorHAnsi" w:hAnsiTheme="minorHAnsi" w:cs="Arial"/>
        </w:rPr>
        <w:t>201</w:t>
      </w:r>
      <w:r w:rsidR="00365508" w:rsidRPr="005F1629">
        <w:rPr>
          <w:rFonts w:asciiTheme="minorHAnsi" w:hAnsiTheme="minorHAnsi" w:cs="Arial"/>
        </w:rPr>
        <w:t>3</w:t>
      </w:r>
      <w:r w:rsidRPr="005F1629">
        <w:rPr>
          <w:rFonts w:asciiTheme="minorHAnsi" w:hAnsiTheme="minorHAnsi" w:cs="Arial"/>
        </w:rPr>
        <w:t> o </w:t>
      </w:r>
      <w:r w:rsidR="00365508" w:rsidRPr="005F1629">
        <w:rPr>
          <w:rFonts w:asciiTheme="minorHAnsi" w:hAnsiTheme="minorHAnsi" w:cs="Arial"/>
        </w:rPr>
        <w:t>8</w:t>
      </w:r>
      <w:r w:rsidRPr="005F1629">
        <w:rPr>
          <w:rFonts w:asciiTheme="minorHAnsi" w:hAnsiTheme="minorHAnsi" w:cs="Arial"/>
        </w:rPr>
        <w:t>,</w:t>
      </w:r>
      <w:r w:rsidR="00C37F13" w:rsidRPr="005F1629">
        <w:rPr>
          <w:rFonts w:asciiTheme="minorHAnsi" w:hAnsiTheme="minorHAnsi" w:cs="Arial"/>
        </w:rPr>
        <w:t>59</w:t>
      </w:r>
      <w:r w:rsidRPr="005F1629">
        <w:rPr>
          <w:rFonts w:asciiTheme="minorHAnsi" w:hAnsiTheme="minorHAnsi" w:cs="Arial"/>
        </w:rPr>
        <w:t xml:space="preserve"> %</w:t>
      </w:r>
      <w:r w:rsidR="003A7605" w:rsidRPr="005F1629">
        <w:rPr>
          <w:rFonts w:asciiTheme="minorHAnsi" w:hAnsiTheme="minorHAnsi" w:cs="Arial"/>
        </w:rPr>
        <w:t xml:space="preserve"> (Tabulka č. 2 a 3)</w:t>
      </w:r>
      <w:r w:rsidRPr="005F1629">
        <w:rPr>
          <w:rFonts w:asciiTheme="minorHAnsi" w:hAnsiTheme="minorHAnsi" w:cs="Arial"/>
        </w:rPr>
        <w:t xml:space="preserve">. </w:t>
      </w:r>
      <w:r w:rsidR="003A7605" w:rsidRPr="005F1629">
        <w:rPr>
          <w:rFonts w:asciiTheme="minorHAnsi" w:hAnsiTheme="minorHAnsi" w:cs="Arial"/>
        </w:rPr>
        <w:t xml:space="preserve">Celkové náklady v přepočtu na 1 pojištěnce budou v roce 2014 rovněž výrazně růst (Tabulka č. 4). </w:t>
      </w:r>
      <w:r w:rsidR="003A7605" w:rsidRPr="005F1629">
        <w:rPr>
          <w:rFonts w:asciiTheme="minorHAnsi" w:hAnsiTheme="minorHAnsi" w:cs="Arial"/>
          <w:b/>
        </w:rPr>
        <w:t>Průměrné náklady na zdravotní služby na 1 pojištěnce</w:t>
      </w:r>
      <w:r w:rsidR="003A7605" w:rsidRPr="005F1629">
        <w:rPr>
          <w:rFonts w:asciiTheme="minorHAnsi" w:hAnsiTheme="minorHAnsi" w:cs="Arial"/>
        </w:rPr>
        <w:t xml:space="preserve"> jsou plánovány ve výši 19 308 Kč, což v meziročním porovnání znamená nárůst o 4,99 %. Tento růst je dán zejména růstem výdajů v segmentu lůžkové péče, který vychází z úhradové vyhlášky</w:t>
      </w:r>
      <w:r w:rsidR="00DA2DE9" w:rsidRPr="005F1629">
        <w:rPr>
          <w:rFonts w:asciiTheme="minorHAnsi" w:hAnsiTheme="minorHAnsi" w:cs="Arial"/>
        </w:rPr>
        <w:t xml:space="preserve"> (Graf č. 1</w:t>
      </w:r>
      <w:r w:rsidR="003A7605" w:rsidRPr="005F1629">
        <w:rPr>
          <w:rFonts w:asciiTheme="minorHAnsi" w:hAnsiTheme="minorHAnsi" w:cs="Arial"/>
        </w:rPr>
        <w:t>).</w:t>
      </w:r>
    </w:p>
    <w:p w:rsidR="002934E1" w:rsidRDefault="004F4EAE" w:rsidP="00537B8A">
      <w:pPr>
        <w:spacing w:after="240"/>
        <w:ind w:firstLine="357"/>
        <w:jc w:val="both"/>
        <w:rPr>
          <w:rFonts w:asciiTheme="minorHAnsi" w:hAnsiTheme="minorHAnsi" w:cs="Arial"/>
        </w:rPr>
      </w:pPr>
      <w:r w:rsidRPr="005F1629">
        <w:rPr>
          <w:rFonts w:asciiTheme="minorHAnsi" w:hAnsiTheme="minorHAnsi" w:cs="Arial"/>
        </w:rPr>
        <w:t>Jak vyplývá z </w:t>
      </w:r>
      <w:r w:rsidR="00E477F8" w:rsidRPr="005F1629">
        <w:rPr>
          <w:rFonts w:asciiTheme="minorHAnsi" w:hAnsiTheme="minorHAnsi" w:cs="Arial"/>
        </w:rPr>
        <w:t>T</w:t>
      </w:r>
      <w:r w:rsidRPr="005F1629">
        <w:rPr>
          <w:rFonts w:asciiTheme="minorHAnsi" w:hAnsiTheme="minorHAnsi" w:cs="Arial"/>
        </w:rPr>
        <w:t>abulky č. 2</w:t>
      </w:r>
      <w:r w:rsidR="00C37F13" w:rsidRPr="005F1629">
        <w:rPr>
          <w:rFonts w:asciiTheme="minorHAnsi" w:hAnsiTheme="minorHAnsi" w:cs="Arial"/>
        </w:rPr>
        <w:t xml:space="preserve"> a 3</w:t>
      </w:r>
      <w:r w:rsidRPr="005F1629">
        <w:rPr>
          <w:rFonts w:asciiTheme="minorHAnsi" w:hAnsiTheme="minorHAnsi" w:cs="Arial"/>
        </w:rPr>
        <w:t xml:space="preserve">, </w:t>
      </w:r>
      <w:r w:rsidR="002934E1" w:rsidRPr="005F1629">
        <w:rPr>
          <w:rFonts w:asciiTheme="minorHAnsi" w:hAnsiTheme="minorHAnsi" w:cs="Arial"/>
        </w:rPr>
        <w:t xml:space="preserve">zvýšení objemu finančních prostředků plánuje </w:t>
      </w:r>
      <w:r w:rsidR="003A7605" w:rsidRPr="005F1629">
        <w:rPr>
          <w:rFonts w:asciiTheme="minorHAnsi" w:hAnsiTheme="minorHAnsi" w:cs="Arial"/>
        </w:rPr>
        <w:t xml:space="preserve">OZP </w:t>
      </w:r>
      <w:r w:rsidR="002934E1" w:rsidRPr="005F1629">
        <w:rPr>
          <w:rFonts w:asciiTheme="minorHAnsi" w:hAnsiTheme="minorHAnsi" w:cs="Arial"/>
        </w:rPr>
        <w:t xml:space="preserve">u </w:t>
      </w:r>
      <w:r w:rsidRPr="005F1629">
        <w:rPr>
          <w:rFonts w:asciiTheme="minorHAnsi" w:hAnsiTheme="minorHAnsi" w:cs="Arial"/>
        </w:rPr>
        <w:t>segmentu ambulantní i lůžkové péče</w:t>
      </w:r>
      <w:r w:rsidR="002934E1" w:rsidRPr="005F1629">
        <w:rPr>
          <w:rFonts w:asciiTheme="minorHAnsi" w:hAnsiTheme="minorHAnsi" w:cs="Arial"/>
        </w:rPr>
        <w:t xml:space="preserve">. </w:t>
      </w:r>
      <w:r w:rsidR="00F00860" w:rsidRPr="005F1629">
        <w:rPr>
          <w:rFonts w:asciiTheme="minorHAnsi" w:hAnsiTheme="minorHAnsi" w:cs="Arial"/>
        </w:rPr>
        <w:t>U </w:t>
      </w:r>
      <w:r w:rsidR="00F00860" w:rsidRPr="005F1629">
        <w:rPr>
          <w:rFonts w:asciiTheme="minorHAnsi" w:hAnsiTheme="minorHAnsi" w:cs="Arial"/>
          <w:b/>
        </w:rPr>
        <w:t>ambulantní péče</w:t>
      </w:r>
      <w:r w:rsidR="00F00860" w:rsidRPr="005F1629">
        <w:rPr>
          <w:rFonts w:asciiTheme="minorHAnsi" w:hAnsiTheme="minorHAnsi" w:cs="Arial"/>
        </w:rPr>
        <w:t xml:space="preserve"> </w:t>
      </w:r>
      <w:r w:rsidR="00055685" w:rsidRPr="005F1629">
        <w:rPr>
          <w:rFonts w:asciiTheme="minorHAnsi" w:hAnsiTheme="minorHAnsi" w:cs="Arial"/>
        </w:rPr>
        <w:t>OZP</w:t>
      </w:r>
      <w:r w:rsidR="00C37F13" w:rsidRPr="005F1629">
        <w:rPr>
          <w:rFonts w:asciiTheme="minorHAnsi" w:hAnsiTheme="minorHAnsi" w:cs="Arial"/>
        </w:rPr>
        <w:t xml:space="preserve"> plánuje </w:t>
      </w:r>
      <w:r w:rsidR="005861E1" w:rsidRPr="005F1629">
        <w:rPr>
          <w:rFonts w:asciiTheme="minorHAnsi" w:hAnsiTheme="minorHAnsi" w:cs="Arial"/>
        </w:rPr>
        <w:t xml:space="preserve">mírné </w:t>
      </w:r>
      <w:r w:rsidR="00C37F13" w:rsidRPr="005F1629">
        <w:rPr>
          <w:rFonts w:asciiTheme="minorHAnsi" w:hAnsiTheme="minorHAnsi" w:cs="Arial"/>
        </w:rPr>
        <w:t xml:space="preserve">navýšení </w:t>
      </w:r>
      <w:r w:rsidR="003A7605" w:rsidRPr="005F1629">
        <w:rPr>
          <w:rFonts w:asciiTheme="minorHAnsi" w:hAnsiTheme="minorHAnsi" w:cs="Arial"/>
        </w:rPr>
        <w:t xml:space="preserve">nákladů </w:t>
      </w:r>
      <w:r w:rsidR="00C37F13" w:rsidRPr="005F1629">
        <w:rPr>
          <w:rFonts w:asciiTheme="minorHAnsi" w:hAnsiTheme="minorHAnsi" w:cs="Arial"/>
        </w:rPr>
        <w:t>celkem</w:t>
      </w:r>
      <w:r w:rsidR="00F00860" w:rsidRPr="005F1629">
        <w:rPr>
          <w:rFonts w:asciiTheme="minorHAnsi" w:hAnsiTheme="minorHAnsi" w:cs="Arial"/>
        </w:rPr>
        <w:t xml:space="preserve"> o  </w:t>
      </w:r>
      <w:r w:rsidR="00055685" w:rsidRPr="005F1629">
        <w:rPr>
          <w:rFonts w:asciiTheme="minorHAnsi" w:hAnsiTheme="minorHAnsi" w:cs="Arial"/>
        </w:rPr>
        <w:t>5</w:t>
      </w:r>
      <w:r w:rsidR="00F00860" w:rsidRPr="005F1629">
        <w:rPr>
          <w:rFonts w:asciiTheme="minorHAnsi" w:hAnsiTheme="minorHAnsi" w:cs="Arial"/>
        </w:rPr>
        <w:t>,</w:t>
      </w:r>
      <w:r w:rsidR="00055685" w:rsidRPr="005F1629">
        <w:rPr>
          <w:rFonts w:asciiTheme="minorHAnsi" w:hAnsiTheme="minorHAnsi" w:cs="Arial"/>
        </w:rPr>
        <w:t>6</w:t>
      </w:r>
      <w:r w:rsidR="00C37F13" w:rsidRPr="005F1629">
        <w:rPr>
          <w:rFonts w:asciiTheme="minorHAnsi" w:hAnsiTheme="minorHAnsi" w:cs="Arial"/>
        </w:rPr>
        <w:t>2 %. V</w:t>
      </w:r>
      <w:r w:rsidR="00F00860" w:rsidRPr="005F1629">
        <w:rPr>
          <w:rFonts w:asciiTheme="minorHAnsi" w:hAnsiTheme="minorHAnsi" w:cs="Arial"/>
        </w:rPr>
        <w:t xml:space="preserve"> objemově největším segmentu </w:t>
      </w:r>
      <w:r w:rsidR="00F00860" w:rsidRPr="005F1629">
        <w:rPr>
          <w:rFonts w:asciiTheme="minorHAnsi" w:hAnsiTheme="minorHAnsi" w:cs="Arial"/>
          <w:b/>
        </w:rPr>
        <w:t>lůžkové zdravotní péče</w:t>
      </w:r>
      <w:r w:rsidR="00F00860" w:rsidRPr="005F1629">
        <w:rPr>
          <w:rFonts w:asciiTheme="minorHAnsi" w:hAnsiTheme="minorHAnsi" w:cs="Arial"/>
        </w:rPr>
        <w:t xml:space="preserve"> j</w:t>
      </w:r>
      <w:r w:rsidR="00C37F13" w:rsidRPr="005F1629">
        <w:rPr>
          <w:rFonts w:asciiTheme="minorHAnsi" w:hAnsiTheme="minorHAnsi" w:cs="Arial"/>
        </w:rPr>
        <w:t xml:space="preserve">e předpokládán výraznější nárůst nákladů, zvýšení </w:t>
      </w:r>
      <w:r w:rsidR="00F00860" w:rsidRPr="005F1629">
        <w:rPr>
          <w:rFonts w:asciiTheme="minorHAnsi" w:hAnsiTheme="minorHAnsi" w:cs="Arial"/>
        </w:rPr>
        <w:t>o  </w:t>
      </w:r>
      <w:r w:rsidR="00C37F13" w:rsidRPr="005F1629">
        <w:rPr>
          <w:rFonts w:asciiTheme="minorHAnsi" w:hAnsiTheme="minorHAnsi" w:cs="Arial"/>
        </w:rPr>
        <w:t>12,97</w:t>
      </w:r>
      <w:r w:rsidR="00F00860" w:rsidRPr="005F1629">
        <w:rPr>
          <w:rFonts w:asciiTheme="minorHAnsi" w:hAnsiTheme="minorHAnsi" w:cs="Arial"/>
        </w:rPr>
        <w:t> %</w:t>
      </w:r>
      <w:r w:rsidR="00C37F13" w:rsidRPr="005F1629">
        <w:rPr>
          <w:rFonts w:asciiTheme="minorHAnsi" w:hAnsiTheme="minorHAnsi" w:cs="Arial"/>
        </w:rPr>
        <w:t xml:space="preserve"> oproti očekávané skutečnosti roku 2013</w:t>
      </w:r>
      <w:r w:rsidR="00DA2DE9" w:rsidRPr="005F1629">
        <w:rPr>
          <w:rFonts w:asciiTheme="minorHAnsi" w:hAnsiTheme="minorHAnsi" w:cs="Arial"/>
        </w:rPr>
        <w:t xml:space="preserve"> (Graf č. 2</w:t>
      </w:r>
      <w:r w:rsidR="003A7605" w:rsidRPr="005F1629">
        <w:rPr>
          <w:rFonts w:asciiTheme="minorHAnsi" w:hAnsiTheme="minorHAnsi" w:cs="Arial"/>
        </w:rPr>
        <w:t>)</w:t>
      </w:r>
      <w:r w:rsidR="00F00860" w:rsidRPr="005F1629">
        <w:rPr>
          <w:rFonts w:asciiTheme="minorHAnsi" w:hAnsiTheme="minorHAnsi" w:cs="Arial"/>
        </w:rPr>
        <w:t>.</w:t>
      </w:r>
      <w:r w:rsidR="005861E1" w:rsidRPr="005F1629">
        <w:rPr>
          <w:rFonts w:asciiTheme="minorHAnsi" w:hAnsiTheme="minorHAnsi" w:cs="Arial"/>
        </w:rPr>
        <w:t xml:space="preserve"> </w:t>
      </w:r>
    </w:p>
    <w:p w:rsidR="00537B8A" w:rsidRDefault="00537B8A" w:rsidP="00537B8A">
      <w:pPr>
        <w:spacing w:after="240"/>
        <w:ind w:firstLine="357"/>
        <w:jc w:val="both"/>
        <w:rPr>
          <w:rFonts w:asciiTheme="minorHAnsi" w:hAnsiTheme="minorHAnsi" w:cs="Arial"/>
        </w:rPr>
      </w:pPr>
    </w:p>
    <w:p w:rsidR="00537B8A" w:rsidRDefault="00537B8A" w:rsidP="00537B8A">
      <w:pPr>
        <w:spacing w:after="240"/>
        <w:ind w:firstLine="357"/>
        <w:jc w:val="both"/>
        <w:rPr>
          <w:rFonts w:asciiTheme="minorHAnsi" w:hAnsiTheme="minorHAnsi" w:cs="Arial"/>
        </w:rPr>
      </w:pPr>
    </w:p>
    <w:p w:rsidR="00537B8A" w:rsidRDefault="00537B8A" w:rsidP="00537B8A">
      <w:pPr>
        <w:spacing w:after="240"/>
        <w:ind w:firstLine="357"/>
        <w:jc w:val="both"/>
        <w:rPr>
          <w:rFonts w:asciiTheme="minorHAnsi" w:hAnsiTheme="minorHAnsi" w:cs="Arial"/>
        </w:rPr>
      </w:pPr>
    </w:p>
    <w:p w:rsidR="00537B8A" w:rsidRDefault="00537B8A" w:rsidP="00537B8A">
      <w:pPr>
        <w:spacing w:after="240"/>
        <w:ind w:firstLine="357"/>
        <w:jc w:val="both"/>
        <w:rPr>
          <w:rFonts w:asciiTheme="minorHAnsi" w:hAnsiTheme="minorHAnsi" w:cs="Arial"/>
        </w:rPr>
      </w:pPr>
    </w:p>
    <w:p w:rsidR="00537B8A" w:rsidRPr="005F1629" w:rsidRDefault="00537B8A" w:rsidP="00537B8A">
      <w:pPr>
        <w:spacing w:after="240"/>
        <w:ind w:firstLine="357"/>
        <w:jc w:val="both"/>
        <w:rPr>
          <w:rFonts w:asciiTheme="minorHAnsi" w:hAnsiTheme="minorHAnsi" w:cs="Arial"/>
        </w:rPr>
      </w:pPr>
    </w:p>
    <w:p w:rsidR="00E66CBB" w:rsidRPr="005F1629" w:rsidRDefault="00E66CBB" w:rsidP="00E66CBB">
      <w:pPr>
        <w:jc w:val="both"/>
        <w:rPr>
          <w:rFonts w:asciiTheme="minorHAnsi" w:hAnsiTheme="minorHAnsi" w:cs="Arial"/>
        </w:rPr>
      </w:pPr>
      <w:r w:rsidRPr="005F1629">
        <w:rPr>
          <w:rFonts w:asciiTheme="minorHAnsi" w:hAnsiTheme="minorHAnsi" w:cs="Arial"/>
        </w:rPr>
        <w:lastRenderedPageBreak/>
        <w:t>Tabulka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E66CBB" w:rsidRPr="005F1629" w:rsidTr="00E75549">
        <w:tc>
          <w:tcPr>
            <w:tcW w:w="1951" w:type="dxa"/>
            <w:shd w:val="solid" w:color="000080" w:fill="FFFFFF"/>
          </w:tcPr>
          <w:p w:rsidR="00E66CBB" w:rsidRPr="005F1629" w:rsidRDefault="00E66CBB"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E66CBB" w:rsidRPr="005F1629" w:rsidRDefault="00DA2DE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r w:rsidR="00E66CBB" w:rsidRPr="005F1629">
              <w:rPr>
                <w:rFonts w:asciiTheme="minorHAnsi" w:hAnsiTheme="minorHAnsi" w:cs="Arial"/>
                <w:b/>
                <w:bCs/>
                <w:color w:val="FFFFFF"/>
                <w:sz w:val="22"/>
                <w:szCs w:val="22"/>
              </w:rPr>
              <w:t>)</w:t>
            </w:r>
          </w:p>
        </w:tc>
      </w:tr>
      <w:tr w:rsidR="00E66CBB" w:rsidRPr="005F1629" w:rsidTr="00DE0C41">
        <w:tc>
          <w:tcPr>
            <w:tcW w:w="1951"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4 152</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4 289</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4 294</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4 345</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4 262</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4 501</w:t>
            </w:r>
          </w:p>
        </w:tc>
      </w:tr>
      <w:tr w:rsidR="00E66CBB" w:rsidRPr="005F1629" w:rsidTr="00DE0C41">
        <w:tc>
          <w:tcPr>
            <w:tcW w:w="1951"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5 618</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5 913</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5 947</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5 867</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6 164</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6 963</w:t>
            </w:r>
          </w:p>
        </w:tc>
      </w:tr>
      <w:tr w:rsidR="00E66CBB" w:rsidRPr="005F1629" w:rsidTr="00DE0C41">
        <w:tc>
          <w:tcPr>
            <w:tcW w:w="1951"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2 550</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2 551</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2 477</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2 603</w:t>
            </w:r>
          </w:p>
        </w:tc>
        <w:tc>
          <w:tcPr>
            <w:tcW w:w="1228"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2 536</w:t>
            </w:r>
          </w:p>
        </w:tc>
        <w:tc>
          <w:tcPr>
            <w:tcW w:w="1229"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2 612</w:t>
            </w:r>
          </w:p>
        </w:tc>
      </w:tr>
      <w:tr w:rsidR="00E66CBB" w:rsidRPr="005F1629" w:rsidTr="00DE0C41">
        <w:tc>
          <w:tcPr>
            <w:tcW w:w="1951"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12 320</w:t>
            </w:r>
          </w:p>
        </w:tc>
        <w:tc>
          <w:tcPr>
            <w:tcW w:w="1229"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12 753</w:t>
            </w:r>
          </w:p>
        </w:tc>
        <w:tc>
          <w:tcPr>
            <w:tcW w:w="1228"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12 718</w:t>
            </w:r>
          </w:p>
        </w:tc>
        <w:tc>
          <w:tcPr>
            <w:tcW w:w="1229"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12 815</w:t>
            </w:r>
          </w:p>
        </w:tc>
        <w:tc>
          <w:tcPr>
            <w:tcW w:w="1228"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12 962</w:t>
            </w:r>
          </w:p>
        </w:tc>
        <w:tc>
          <w:tcPr>
            <w:tcW w:w="1229"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14 076</w:t>
            </w:r>
          </w:p>
        </w:tc>
      </w:tr>
    </w:tbl>
    <w:p w:rsidR="00E66CBB" w:rsidRPr="005F1629" w:rsidRDefault="00E66CBB" w:rsidP="00E66CBB">
      <w:pPr>
        <w:jc w:val="both"/>
        <w:rPr>
          <w:rFonts w:asciiTheme="minorHAnsi" w:hAnsiTheme="minorHAnsi" w:cs="Arial"/>
        </w:rPr>
      </w:pPr>
    </w:p>
    <w:p w:rsidR="00466108" w:rsidRPr="005F1629" w:rsidRDefault="00466108" w:rsidP="00E66CBB">
      <w:pPr>
        <w:jc w:val="both"/>
        <w:rPr>
          <w:rFonts w:asciiTheme="minorHAnsi" w:hAnsiTheme="minorHAnsi" w:cs="Arial"/>
        </w:rPr>
      </w:pPr>
    </w:p>
    <w:p w:rsidR="00E66CBB" w:rsidRPr="005F1629" w:rsidRDefault="00E66CBB" w:rsidP="00E66CBB">
      <w:pPr>
        <w:jc w:val="both"/>
        <w:rPr>
          <w:rFonts w:asciiTheme="minorHAnsi" w:hAnsiTheme="minorHAnsi" w:cs="Arial"/>
        </w:rPr>
      </w:pPr>
      <w:r w:rsidRPr="005F1629">
        <w:rPr>
          <w:rFonts w:asciiTheme="minorHAnsi" w:hAnsiTheme="minorHAnsi" w:cs="Arial"/>
        </w:rPr>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E66CBB" w:rsidRPr="005F1629" w:rsidTr="00E75549">
        <w:tc>
          <w:tcPr>
            <w:tcW w:w="153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E66CBB" w:rsidRPr="005F1629" w:rsidTr="00DE0C41">
        <w:tc>
          <w:tcPr>
            <w:tcW w:w="1535"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103,29</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104,23</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101,18</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98,09</w:t>
            </w:r>
          </w:p>
        </w:tc>
        <w:tc>
          <w:tcPr>
            <w:tcW w:w="1647"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105,62</w:t>
            </w:r>
          </w:p>
        </w:tc>
      </w:tr>
      <w:tr w:rsidR="00E66CBB" w:rsidRPr="005F1629" w:rsidTr="00DE0C41">
        <w:tc>
          <w:tcPr>
            <w:tcW w:w="1535"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 xml:space="preserve"> 105,25</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102,56</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100,92</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105,06</w:t>
            </w:r>
          </w:p>
        </w:tc>
        <w:tc>
          <w:tcPr>
            <w:tcW w:w="1647"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112,97</w:t>
            </w:r>
          </w:p>
        </w:tc>
      </w:tr>
      <w:tr w:rsidR="00E66CBB" w:rsidRPr="005F1629" w:rsidTr="00DE0C41">
        <w:tc>
          <w:tcPr>
            <w:tcW w:w="1535"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100,04</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97,10</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105,09</w:t>
            </w:r>
          </w:p>
        </w:tc>
        <w:tc>
          <w:tcPr>
            <w:tcW w:w="153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97,43</w:t>
            </w:r>
          </w:p>
        </w:tc>
        <w:tc>
          <w:tcPr>
            <w:tcW w:w="1647"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103,00</w:t>
            </w:r>
          </w:p>
        </w:tc>
      </w:tr>
      <w:tr w:rsidR="00E66CBB" w:rsidRPr="005F1629" w:rsidTr="00DE0C41">
        <w:tc>
          <w:tcPr>
            <w:tcW w:w="1535"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103,51</w:t>
            </w:r>
          </w:p>
        </w:tc>
        <w:tc>
          <w:tcPr>
            <w:tcW w:w="153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102,34</w:t>
            </w:r>
          </w:p>
        </w:tc>
        <w:tc>
          <w:tcPr>
            <w:tcW w:w="153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100,76</w:t>
            </w:r>
          </w:p>
        </w:tc>
        <w:tc>
          <w:tcPr>
            <w:tcW w:w="153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101,15</w:t>
            </w:r>
          </w:p>
        </w:tc>
        <w:tc>
          <w:tcPr>
            <w:tcW w:w="1647"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108,59</w:t>
            </w:r>
          </w:p>
        </w:tc>
      </w:tr>
    </w:tbl>
    <w:p w:rsidR="00E66CBB" w:rsidRPr="005F1629" w:rsidRDefault="00E66CBB" w:rsidP="00E66CBB">
      <w:pPr>
        <w:jc w:val="both"/>
        <w:rPr>
          <w:rFonts w:asciiTheme="minorHAnsi" w:hAnsiTheme="minorHAnsi" w:cs="Arial"/>
        </w:rPr>
      </w:pPr>
    </w:p>
    <w:p w:rsidR="00E66CBB" w:rsidRPr="005F1629" w:rsidRDefault="00E66CBB" w:rsidP="00E66CBB">
      <w:pPr>
        <w:jc w:val="both"/>
        <w:rPr>
          <w:rFonts w:asciiTheme="minorHAnsi" w:hAnsiTheme="minorHAnsi" w:cs="Arial"/>
        </w:rPr>
      </w:pPr>
      <w:r w:rsidRPr="005F1629">
        <w:rPr>
          <w:rFonts w:asciiTheme="minorHAnsi" w:hAnsiTheme="minorHAnsi" w:cs="Arial"/>
        </w:rPr>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E66CBB" w:rsidRPr="005F1629" w:rsidTr="00E75549">
        <w:tc>
          <w:tcPr>
            <w:tcW w:w="1809" w:type="dxa"/>
            <w:shd w:val="solid" w:color="000080" w:fill="FFFFFF"/>
          </w:tcPr>
          <w:p w:rsidR="00E66CBB" w:rsidRPr="005F1629" w:rsidRDefault="00E66CBB"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66CBB" w:rsidRPr="005F1629" w:rsidRDefault="00E66CBB" w:rsidP="00E75549">
            <w:pPr>
              <w:jc w:val="center"/>
              <w:rPr>
                <w:rFonts w:asciiTheme="minorHAnsi" w:hAnsiTheme="minorHAnsi" w:cs="Arial"/>
                <w:b/>
                <w:bCs/>
                <w:color w:val="FFFFFF"/>
                <w:sz w:val="22"/>
                <w:szCs w:val="22"/>
              </w:rPr>
            </w:pPr>
          </w:p>
        </w:tc>
        <w:tc>
          <w:tcPr>
            <w:tcW w:w="127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66CBB" w:rsidRPr="005F1629" w:rsidRDefault="00E66CBB" w:rsidP="00E75549">
            <w:pPr>
              <w:jc w:val="center"/>
              <w:rPr>
                <w:rFonts w:asciiTheme="minorHAnsi" w:hAnsiTheme="minorHAnsi" w:cs="Arial"/>
                <w:b/>
                <w:bCs/>
                <w:color w:val="FFFFFF"/>
                <w:sz w:val="22"/>
                <w:szCs w:val="22"/>
              </w:rPr>
            </w:pPr>
          </w:p>
        </w:tc>
        <w:tc>
          <w:tcPr>
            <w:tcW w:w="127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66CBB" w:rsidRPr="005F1629" w:rsidRDefault="00E66CBB" w:rsidP="00E75549">
            <w:pPr>
              <w:jc w:val="center"/>
              <w:rPr>
                <w:rFonts w:asciiTheme="minorHAnsi" w:hAnsiTheme="minorHAnsi" w:cs="Arial"/>
                <w:b/>
                <w:bCs/>
                <w:color w:val="FFFFFF"/>
                <w:sz w:val="22"/>
                <w:szCs w:val="22"/>
              </w:rPr>
            </w:pPr>
          </w:p>
        </w:tc>
        <w:tc>
          <w:tcPr>
            <w:tcW w:w="1275"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66CBB" w:rsidRPr="005F1629" w:rsidRDefault="00E66CBB" w:rsidP="00E75549">
            <w:pPr>
              <w:jc w:val="center"/>
              <w:rPr>
                <w:rFonts w:asciiTheme="minorHAnsi" w:hAnsiTheme="minorHAnsi" w:cs="Arial"/>
                <w:b/>
                <w:bCs/>
                <w:color w:val="FFFFFF"/>
                <w:sz w:val="22"/>
                <w:szCs w:val="22"/>
              </w:rPr>
            </w:pPr>
          </w:p>
        </w:tc>
        <w:tc>
          <w:tcPr>
            <w:tcW w:w="127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66CBB" w:rsidRPr="005F1629" w:rsidTr="00DE0C41">
        <w:tc>
          <w:tcPr>
            <w:tcW w:w="1809"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6 115</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6 205</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6 174</w:t>
            </w:r>
          </w:p>
        </w:tc>
        <w:tc>
          <w:tcPr>
            <w:tcW w:w="127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6 209</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6 046</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6 174</w:t>
            </w:r>
          </w:p>
        </w:tc>
      </w:tr>
      <w:tr w:rsidR="00E66CBB" w:rsidRPr="005F1629" w:rsidTr="00DE0C41">
        <w:tc>
          <w:tcPr>
            <w:tcW w:w="1809"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8 273</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8 554</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8 550</w:t>
            </w:r>
          </w:p>
        </w:tc>
        <w:tc>
          <w:tcPr>
            <w:tcW w:w="127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8 385</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8 745</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9 551</w:t>
            </w:r>
          </w:p>
        </w:tc>
      </w:tr>
      <w:tr w:rsidR="00E66CBB" w:rsidRPr="005F1629" w:rsidTr="00DE0C41">
        <w:tc>
          <w:tcPr>
            <w:tcW w:w="1809"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bottom"/>
          </w:tcPr>
          <w:p w:rsidR="00E66CBB" w:rsidRPr="005F1629" w:rsidRDefault="00E66CBB" w:rsidP="00DE0C41">
            <w:pPr>
              <w:tabs>
                <w:tab w:val="left" w:pos="930"/>
              </w:tabs>
              <w:jc w:val="right"/>
              <w:rPr>
                <w:rFonts w:asciiTheme="minorHAnsi" w:hAnsiTheme="minorHAnsi" w:cs="Arial"/>
                <w:sz w:val="22"/>
                <w:szCs w:val="22"/>
              </w:rPr>
            </w:pPr>
            <w:r w:rsidRPr="005F1629">
              <w:rPr>
                <w:rFonts w:asciiTheme="minorHAnsi" w:hAnsiTheme="minorHAnsi" w:cs="Arial"/>
                <w:sz w:val="22"/>
                <w:szCs w:val="22"/>
              </w:rPr>
              <w:t>3 755</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3 690</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3 562</w:t>
            </w:r>
          </w:p>
        </w:tc>
        <w:tc>
          <w:tcPr>
            <w:tcW w:w="1275"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3 722</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3 599</w:t>
            </w:r>
          </w:p>
        </w:tc>
        <w:tc>
          <w:tcPr>
            <w:tcW w:w="1276" w:type="dxa"/>
            <w:shd w:val="clear" w:color="auto" w:fill="auto"/>
            <w:vAlign w:val="bottom"/>
          </w:tcPr>
          <w:p w:rsidR="00E66CBB" w:rsidRPr="005F1629" w:rsidRDefault="00E66CBB" w:rsidP="00DE0C41">
            <w:pPr>
              <w:jc w:val="right"/>
              <w:rPr>
                <w:rFonts w:asciiTheme="minorHAnsi" w:hAnsiTheme="minorHAnsi" w:cs="Arial"/>
                <w:sz w:val="22"/>
                <w:szCs w:val="22"/>
              </w:rPr>
            </w:pPr>
            <w:r w:rsidRPr="005F1629">
              <w:rPr>
                <w:rFonts w:asciiTheme="minorHAnsi" w:hAnsiTheme="minorHAnsi" w:cs="Arial"/>
                <w:sz w:val="22"/>
                <w:szCs w:val="22"/>
              </w:rPr>
              <w:t>3 583</w:t>
            </w:r>
          </w:p>
        </w:tc>
      </w:tr>
      <w:tr w:rsidR="00E66CBB" w:rsidRPr="005F1629" w:rsidTr="00DE0C41">
        <w:tc>
          <w:tcPr>
            <w:tcW w:w="1809" w:type="dxa"/>
            <w:shd w:val="clear" w:color="auto" w:fill="auto"/>
          </w:tcPr>
          <w:p w:rsidR="00E66CBB" w:rsidRPr="005F1629" w:rsidRDefault="00E66CBB"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18 143</w:t>
            </w:r>
          </w:p>
        </w:tc>
        <w:tc>
          <w:tcPr>
            <w:tcW w:w="1276"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18 449</w:t>
            </w:r>
          </w:p>
        </w:tc>
        <w:tc>
          <w:tcPr>
            <w:tcW w:w="1276"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18 286</w:t>
            </w:r>
          </w:p>
        </w:tc>
        <w:tc>
          <w:tcPr>
            <w:tcW w:w="127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18 316</w:t>
            </w:r>
          </w:p>
        </w:tc>
        <w:tc>
          <w:tcPr>
            <w:tcW w:w="1276"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18 390</w:t>
            </w:r>
          </w:p>
        </w:tc>
        <w:tc>
          <w:tcPr>
            <w:tcW w:w="1276"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19 308</w:t>
            </w:r>
          </w:p>
        </w:tc>
      </w:tr>
    </w:tbl>
    <w:p w:rsidR="00537B8A" w:rsidRDefault="00537B8A" w:rsidP="004E5BF1">
      <w:pPr>
        <w:jc w:val="both"/>
        <w:rPr>
          <w:rFonts w:asciiTheme="minorHAnsi" w:hAnsiTheme="minorHAnsi" w:cs="Arial"/>
        </w:rPr>
      </w:pPr>
    </w:p>
    <w:p w:rsidR="00153F86" w:rsidRPr="005F1629" w:rsidRDefault="00DA2DE9" w:rsidP="004E5BF1">
      <w:pPr>
        <w:jc w:val="both"/>
        <w:rPr>
          <w:rFonts w:asciiTheme="minorHAnsi" w:hAnsiTheme="minorHAnsi" w:cs="Arial"/>
        </w:rPr>
      </w:pPr>
      <w:r w:rsidRPr="005F1629">
        <w:rPr>
          <w:rFonts w:asciiTheme="minorHAnsi" w:hAnsiTheme="minorHAnsi" w:cs="Arial"/>
        </w:rPr>
        <w:t>Graf č. 1</w:t>
      </w:r>
      <w:r w:rsidR="003A7605" w:rsidRPr="005F1629">
        <w:rPr>
          <w:rFonts w:asciiTheme="minorHAnsi" w:hAnsiTheme="minorHAnsi" w:cs="Arial"/>
        </w:rPr>
        <w:t>:</w:t>
      </w:r>
    </w:p>
    <w:p w:rsidR="00537B8A" w:rsidRDefault="00466108" w:rsidP="00DA2DE9">
      <w:pPr>
        <w:jc w:val="both"/>
        <w:rPr>
          <w:rFonts w:asciiTheme="minorHAnsi" w:hAnsiTheme="minorHAnsi" w:cs="Arial"/>
          <w:noProof/>
        </w:rPr>
      </w:pPr>
      <w:r w:rsidRPr="005F1629">
        <w:rPr>
          <w:rFonts w:asciiTheme="minorHAnsi" w:hAnsiTheme="minorHAnsi" w:cs="Arial"/>
          <w:noProof/>
        </w:rPr>
        <w:drawing>
          <wp:inline distT="0" distB="0" distL="0" distR="0">
            <wp:extent cx="5796951" cy="2242868"/>
            <wp:effectExtent l="0" t="0" r="13335" b="24130"/>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2DE9" w:rsidRPr="005F1629" w:rsidRDefault="00DA2DE9" w:rsidP="00DA2DE9">
      <w:pPr>
        <w:jc w:val="both"/>
        <w:rPr>
          <w:rFonts w:asciiTheme="minorHAnsi" w:hAnsiTheme="minorHAnsi" w:cs="Arial"/>
          <w:noProof/>
        </w:rPr>
      </w:pPr>
      <w:r w:rsidRPr="005F1629">
        <w:rPr>
          <w:rFonts w:asciiTheme="minorHAnsi" w:hAnsiTheme="minorHAnsi" w:cs="Arial"/>
        </w:rPr>
        <w:lastRenderedPageBreak/>
        <w:t>Graf č. 2:</w:t>
      </w:r>
    </w:p>
    <w:p w:rsidR="00DA2DE9" w:rsidRPr="005F1629" w:rsidRDefault="00466108" w:rsidP="00DA2DE9">
      <w:pPr>
        <w:jc w:val="both"/>
        <w:rPr>
          <w:rFonts w:asciiTheme="minorHAnsi" w:hAnsiTheme="minorHAnsi" w:cs="Arial"/>
        </w:rPr>
      </w:pPr>
      <w:r w:rsidRPr="005F1629">
        <w:rPr>
          <w:rFonts w:asciiTheme="minorHAnsi" w:hAnsiTheme="minorHAnsi" w:cs="Arial"/>
          <w:noProof/>
        </w:rPr>
        <w:drawing>
          <wp:inline distT="0" distB="0" distL="0" distR="0">
            <wp:extent cx="5753819" cy="2760453"/>
            <wp:effectExtent l="0" t="0" r="18415" b="20955"/>
            <wp:docPr id="4"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2DE9" w:rsidRPr="005F1629" w:rsidRDefault="00DA2DE9" w:rsidP="001449BE">
      <w:pPr>
        <w:jc w:val="both"/>
        <w:rPr>
          <w:rFonts w:asciiTheme="minorHAnsi" w:hAnsiTheme="minorHAnsi" w:cs="Arial"/>
        </w:rPr>
      </w:pPr>
    </w:p>
    <w:p w:rsidR="00C44C07" w:rsidRPr="005F1629" w:rsidRDefault="002934E1" w:rsidP="00537B8A">
      <w:pPr>
        <w:spacing w:after="240"/>
        <w:ind w:firstLine="357"/>
        <w:jc w:val="both"/>
        <w:rPr>
          <w:rFonts w:asciiTheme="minorHAnsi" w:hAnsiTheme="minorHAnsi" w:cs="Arial"/>
        </w:rPr>
      </w:pPr>
      <w:r w:rsidRPr="005F1629">
        <w:rPr>
          <w:rFonts w:asciiTheme="minorHAnsi" w:hAnsiTheme="minorHAnsi" w:cs="Arial"/>
          <w:b/>
        </w:rPr>
        <w:t>Objem finančních prostředků (vratek)</w:t>
      </w:r>
      <w:r w:rsidRPr="005F1629">
        <w:rPr>
          <w:rFonts w:asciiTheme="minorHAnsi" w:hAnsiTheme="minorHAnsi" w:cs="Arial"/>
        </w:rPr>
        <w:t xml:space="preserve"> podle § 16b zákon</w:t>
      </w:r>
      <w:r w:rsidR="001115DB" w:rsidRPr="005F1629">
        <w:rPr>
          <w:rFonts w:asciiTheme="minorHAnsi" w:hAnsiTheme="minorHAnsi" w:cs="Arial"/>
        </w:rPr>
        <w:t>a</w:t>
      </w:r>
      <w:r w:rsidR="00553365" w:rsidRPr="005F1629">
        <w:rPr>
          <w:rFonts w:asciiTheme="minorHAnsi" w:hAnsiTheme="minorHAnsi" w:cs="Arial"/>
        </w:rPr>
        <w:t xml:space="preserve"> č. 48/1997 Sb. OZP</w:t>
      </w:r>
      <w:r w:rsidR="00E477F8" w:rsidRPr="005F1629">
        <w:rPr>
          <w:rFonts w:asciiTheme="minorHAnsi" w:hAnsiTheme="minorHAnsi" w:cs="Arial"/>
        </w:rPr>
        <w:t xml:space="preserve"> </w:t>
      </w:r>
      <w:r w:rsidRPr="005F1629">
        <w:rPr>
          <w:rFonts w:asciiTheme="minorHAnsi" w:hAnsiTheme="minorHAnsi" w:cs="Arial"/>
        </w:rPr>
        <w:t xml:space="preserve">plánuje ve výši </w:t>
      </w:r>
      <w:r w:rsidR="00365508" w:rsidRPr="005F1629">
        <w:rPr>
          <w:rFonts w:asciiTheme="minorHAnsi" w:hAnsiTheme="minorHAnsi" w:cs="Arial"/>
        </w:rPr>
        <w:t>20</w:t>
      </w:r>
      <w:r w:rsidRPr="005F1629">
        <w:rPr>
          <w:rFonts w:asciiTheme="minorHAnsi" w:hAnsiTheme="minorHAnsi" w:cs="Arial"/>
        </w:rPr>
        <w:t> 000 tis. Kč pro 1</w:t>
      </w:r>
      <w:r w:rsidR="00472812" w:rsidRPr="005F1629">
        <w:rPr>
          <w:rFonts w:asciiTheme="minorHAnsi" w:hAnsiTheme="minorHAnsi" w:cs="Arial"/>
        </w:rPr>
        <w:t>0</w:t>
      </w:r>
      <w:r w:rsidRPr="005F1629">
        <w:rPr>
          <w:rFonts w:asciiTheme="minorHAnsi" w:hAnsiTheme="minorHAnsi" w:cs="Arial"/>
        </w:rPr>
        <w:t> 500 pojištěnců, kteří v daném období překročí zákonný limi</w:t>
      </w:r>
      <w:r w:rsidR="00673577" w:rsidRPr="005F1629">
        <w:rPr>
          <w:rFonts w:asciiTheme="minorHAnsi" w:hAnsiTheme="minorHAnsi" w:cs="Arial"/>
        </w:rPr>
        <w:t>t 5 000 Kč, resp. 2 500 Kč</w:t>
      </w:r>
      <w:r w:rsidRPr="005F1629">
        <w:rPr>
          <w:rFonts w:asciiTheme="minorHAnsi" w:hAnsiTheme="minorHAnsi" w:cs="Arial"/>
        </w:rPr>
        <w:t>.</w:t>
      </w:r>
      <w:r w:rsidR="00673577" w:rsidRPr="005F1629">
        <w:rPr>
          <w:rFonts w:asciiTheme="minorHAnsi" w:hAnsiTheme="minorHAnsi" w:cs="Arial"/>
        </w:rPr>
        <w:t xml:space="preserve"> V přepočtu na jednoho pojištěnce se tato částka výrazně nezmění</w:t>
      </w:r>
      <w:r w:rsidR="00FF3D89" w:rsidRPr="005F1629">
        <w:rPr>
          <w:rFonts w:asciiTheme="minorHAnsi" w:hAnsiTheme="minorHAnsi" w:cs="Arial"/>
        </w:rPr>
        <w:t xml:space="preserve"> (Tabulka č. 5)</w:t>
      </w:r>
      <w:r w:rsidR="00673577" w:rsidRPr="005F1629">
        <w:rPr>
          <w:rFonts w:asciiTheme="minorHAnsi" w:hAnsiTheme="minorHAnsi" w:cs="Arial"/>
        </w:rPr>
        <w:t>.</w:t>
      </w:r>
    </w:p>
    <w:p w:rsidR="00E66CBB" w:rsidRPr="005F1629" w:rsidRDefault="00E66CBB" w:rsidP="00E66CBB">
      <w:pPr>
        <w:jc w:val="both"/>
        <w:rPr>
          <w:rFonts w:asciiTheme="minorHAnsi" w:hAnsiTheme="minorHAnsi" w:cs="Arial"/>
        </w:rPr>
      </w:pPr>
      <w:r w:rsidRPr="005F1629">
        <w:rPr>
          <w:rFonts w:asciiTheme="minorHAnsi" w:hAnsiTheme="minorHAnsi" w:cs="Arial"/>
        </w:rPr>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E66CBB" w:rsidRPr="005F1629" w:rsidTr="00E75549">
        <w:tc>
          <w:tcPr>
            <w:tcW w:w="2518" w:type="dxa"/>
            <w:shd w:val="solid" w:color="000080" w:fill="FFFFFF"/>
          </w:tcPr>
          <w:p w:rsidR="00E66CBB" w:rsidRPr="005F1629" w:rsidRDefault="00E66CBB"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E66CBB" w:rsidRPr="005F1629"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115" w:type="dxa"/>
            <w:shd w:val="solid" w:color="000080" w:fill="FFFFFF"/>
          </w:tcPr>
          <w:p w:rsidR="00E66CBB" w:rsidRPr="005F1629"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116" w:type="dxa"/>
            <w:shd w:val="solid" w:color="000080" w:fill="FFFFFF"/>
          </w:tcPr>
          <w:p w:rsidR="00E66CBB" w:rsidRPr="005F1629"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115" w:type="dxa"/>
            <w:shd w:val="solid" w:color="000080" w:fill="FFFFFF"/>
          </w:tcPr>
          <w:p w:rsidR="00E66CBB" w:rsidRPr="005F1629"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115" w:type="dxa"/>
            <w:shd w:val="solid" w:color="000080" w:fill="FFFFFF"/>
          </w:tcPr>
          <w:p w:rsidR="00F80F37"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66CBB" w:rsidRPr="005F1629"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116" w:type="dxa"/>
            <w:shd w:val="solid" w:color="000080" w:fill="FFFFFF"/>
          </w:tcPr>
          <w:p w:rsidR="00F80F37" w:rsidRDefault="00E66CBB"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66CBB" w:rsidRPr="005F1629" w:rsidRDefault="00F80F37"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Pr>
                <w:rFonts w:asciiTheme="minorHAnsi" w:hAnsiTheme="minorHAnsi" w:cs="Arial"/>
                <w:b/>
                <w:bCs/>
                <w:color w:val="FFFFFF"/>
                <w:sz w:val="22"/>
                <w:szCs w:val="22"/>
              </w:rPr>
              <w:t>(</w:t>
            </w:r>
            <w:r w:rsidR="00E66CBB" w:rsidRPr="005F1629">
              <w:rPr>
                <w:rFonts w:asciiTheme="minorHAnsi" w:hAnsiTheme="minorHAnsi" w:cs="Arial"/>
                <w:b/>
                <w:bCs/>
                <w:color w:val="FFFFFF"/>
                <w:sz w:val="22"/>
                <w:szCs w:val="22"/>
              </w:rPr>
              <w:t>ZPP)</w:t>
            </w:r>
          </w:p>
        </w:tc>
      </w:tr>
      <w:tr w:rsidR="00E66CBB" w:rsidRPr="005F1629" w:rsidTr="00DE0C41">
        <w:tc>
          <w:tcPr>
            <w:tcW w:w="2518" w:type="dxa"/>
            <w:shd w:val="clear" w:color="auto" w:fill="auto"/>
          </w:tcPr>
          <w:p w:rsidR="00E66CBB" w:rsidRPr="005F1629" w:rsidRDefault="00E66CBB" w:rsidP="00F80F37">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r w:rsidR="00F80F37">
              <w:rPr>
                <w:rFonts w:asciiTheme="minorHAnsi" w:hAnsiTheme="minorHAnsi" w:cs="Arial"/>
                <w:b/>
                <w:sz w:val="22"/>
                <w:szCs w:val="22"/>
              </w:rPr>
              <w:t xml:space="preserve"> </w:t>
            </w:r>
          </w:p>
        </w:tc>
        <w:tc>
          <w:tcPr>
            <w:tcW w:w="1115" w:type="dxa"/>
            <w:shd w:val="clear" w:color="auto" w:fill="auto"/>
            <w:vAlign w:val="bottom"/>
          </w:tcPr>
          <w:p w:rsidR="00E66CBB" w:rsidRPr="005F1629" w:rsidRDefault="00E66CBB"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19 377</w:t>
            </w:r>
          </w:p>
        </w:tc>
        <w:tc>
          <w:tcPr>
            <w:tcW w:w="1115" w:type="dxa"/>
            <w:shd w:val="clear" w:color="auto" w:fill="auto"/>
            <w:vAlign w:val="bottom"/>
          </w:tcPr>
          <w:p w:rsidR="00E66CBB" w:rsidRPr="005F1629" w:rsidRDefault="00E66CBB"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16 189</w:t>
            </w:r>
          </w:p>
        </w:tc>
        <w:tc>
          <w:tcPr>
            <w:tcW w:w="1116"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15 769</w:t>
            </w:r>
          </w:p>
        </w:tc>
        <w:tc>
          <w:tcPr>
            <w:tcW w:w="1115"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15 078</w:t>
            </w:r>
          </w:p>
        </w:tc>
        <w:tc>
          <w:tcPr>
            <w:tcW w:w="1115"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10 000</w:t>
            </w:r>
          </w:p>
        </w:tc>
        <w:tc>
          <w:tcPr>
            <w:tcW w:w="1116"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10 500</w:t>
            </w:r>
          </w:p>
        </w:tc>
      </w:tr>
      <w:tr w:rsidR="00E66CBB" w:rsidRPr="005F1629" w:rsidTr="00DE0C41">
        <w:tc>
          <w:tcPr>
            <w:tcW w:w="2518" w:type="dxa"/>
            <w:shd w:val="clear" w:color="auto" w:fill="auto"/>
          </w:tcPr>
          <w:p w:rsidR="00E66CBB" w:rsidRPr="005F1629" w:rsidRDefault="00E66CBB" w:rsidP="00E75549">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sidR="00F80F37">
              <w:rPr>
                <w:rFonts w:asciiTheme="minorHAnsi" w:hAnsiTheme="minorHAnsi" w:cs="Arial"/>
                <w:b/>
                <w:sz w:val="22"/>
                <w:szCs w:val="22"/>
              </w:rPr>
              <w:t xml:space="preserve"> </w:t>
            </w:r>
            <w:r w:rsidR="001C36AC">
              <w:rPr>
                <w:rFonts w:asciiTheme="minorHAnsi" w:hAnsiTheme="minorHAnsi" w:cs="Arial"/>
                <w:b/>
                <w:bCs/>
                <w:sz w:val="22"/>
                <w:szCs w:val="22"/>
              </w:rPr>
              <w:t>(</w:t>
            </w:r>
            <w:r w:rsidR="00F80F37" w:rsidRPr="00F80F37">
              <w:rPr>
                <w:rFonts w:asciiTheme="minorHAnsi" w:hAnsiTheme="minorHAnsi" w:cs="Arial"/>
                <w:b/>
                <w:bCs/>
                <w:sz w:val="22"/>
                <w:szCs w:val="22"/>
              </w:rPr>
              <w:t>tis. Kč)</w:t>
            </w:r>
          </w:p>
        </w:tc>
        <w:tc>
          <w:tcPr>
            <w:tcW w:w="1115" w:type="dxa"/>
            <w:shd w:val="clear" w:color="auto" w:fill="auto"/>
            <w:vAlign w:val="bottom"/>
          </w:tcPr>
          <w:p w:rsidR="00E66CBB" w:rsidRPr="005F1629" w:rsidRDefault="00E66CBB"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15 854</w:t>
            </w:r>
          </w:p>
        </w:tc>
        <w:tc>
          <w:tcPr>
            <w:tcW w:w="1115" w:type="dxa"/>
            <w:shd w:val="clear" w:color="auto" w:fill="auto"/>
            <w:vAlign w:val="bottom"/>
          </w:tcPr>
          <w:p w:rsidR="00E66CBB" w:rsidRPr="005F1629" w:rsidRDefault="00E66CBB"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28 306</w:t>
            </w:r>
          </w:p>
        </w:tc>
        <w:tc>
          <w:tcPr>
            <w:tcW w:w="1116"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32 777</w:t>
            </w:r>
          </w:p>
        </w:tc>
        <w:tc>
          <w:tcPr>
            <w:tcW w:w="1115"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22 408</w:t>
            </w:r>
          </w:p>
        </w:tc>
        <w:tc>
          <w:tcPr>
            <w:tcW w:w="1115"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18 000</w:t>
            </w:r>
          </w:p>
        </w:tc>
        <w:tc>
          <w:tcPr>
            <w:tcW w:w="1116" w:type="dxa"/>
            <w:shd w:val="clear" w:color="auto" w:fill="auto"/>
            <w:vAlign w:val="bottom"/>
          </w:tcPr>
          <w:p w:rsidR="00E66CBB" w:rsidRPr="005F1629" w:rsidRDefault="00E66CBB" w:rsidP="00DE0C41">
            <w:pPr>
              <w:spacing w:after="120"/>
              <w:jc w:val="right"/>
              <w:rPr>
                <w:rFonts w:asciiTheme="minorHAnsi" w:hAnsiTheme="minorHAnsi" w:cs="Arial"/>
                <w:sz w:val="22"/>
                <w:szCs w:val="22"/>
              </w:rPr>
            </w:pPr>
            <w:r w:rsidRPr="005F1629">
              <w:rPr>
                <w:rFonts w:asciiTheme="minorHAnsi" w:hAnsiTheme="minorHAnsi" w:cs="Arial"/>
                <w:sz w:val="22"/>
                <w:szCs w:val="22"/>
              </w:rPr>
              <w:t>20 000</w:t>
            </w:r>
          </w:p>
        </w:tc>
      </w:tr>
      <w:tr w:rsidR="00E66CBB" w:rsidRPr="005F1629" w:rsidTr="00DE0C41">
        <w:tc>
          <w:tcPr>
            <w:tcW w:w="2518" w:type="dxa"/>
            <w:shd w:val="clear" w:color="auto" w:fill="auto"/>
          </w:tcPr>
          <w:p w:rsidR="00E66CBB" w:rsidRPr="005F1629" w:rsidRDefault="00E66CBB" w:rsidP="00E75549">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sidR="00F80F37">
              <w:rPr>
                <w:rFonts w:asciiTheme="minorHAnsi" w:hAnsiTheme="minorHAnsi" w:cs="Arial"/>
                <w:b/>
                <w:sz w:val="22"/>
                <w:szCs w:val="22"/>
              </w:rPr>
              <w:t xml:space="preserve"> </w:t>
            </w:r>
            <w:r w:rsidR="001C36AC">
              <w:rPr>
                <w:rFonts w:asciiTheme="minorHAnsi" w:hAnsiTheme="minorHAnsi" w:cs="Arial"/>
                <w:b/>
                <w:bCs/>
                <w:sz w:val="22"/>
                <w:szCs w:val="22"/>
              </w:rPr>
              <w:t>(</w:t>
            </w:r>
            <w:r w:rsidR="00F80F37" w:rsidRPr="00F80F37">
              <w:rPr>
                <w:rFonts w:asciiTheme="minorHAnsi" w:hAnsiTheme="minorHAnsi" w:cs="Arial"/>
                <w:b/>
                <w:bCs/>
                <w:sz w:val="22"/>
                <w:szCs w:val="22"/>
              </w:rPr>
              <w:t>tis. Kč)</w:t>
            </w:r>
          </w:p>
        </w:tc>
        <w:tc>
          <w:tcPr>
            <w:tcW w:w="111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0,82</w:t>
            </w:r>
          </w:p>
        </w:tc>
        <w:tc>
          <w:tcPr>
            <w:tcW w:w="111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1,75</w:t>
            </w:r>
          </w:p>
        </w:tc>
        <w:tc>
          <w:tcPr>
            <w:tcW w:w="1116"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2,08</w:t>
            </w:r>
          </w:p>
        </w:tc>
        <w:tc>
          <w:tcPr>
            <w:tcW w:w="111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1,49</w:t>
            </w:r>
          </w:p>
        </w:tc>
        <w:tc>
          <w:tcPr>
            <w:tcW w:w="1115"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1,80</w:t>
            </w:r>
          </w:p>
        </w:tc>
        <w:tc>
          <w:tcPr>
            <w:tcW w:w="1116" w:type="dxa"/>
            <w:shd w:val="clear" w:color="auto" w:fill="auto"/>
            <w:vAlign w:val="bottom"/>
          </w:tcPr>
          <w:p w:rsidR="00E66CBB" w:rsidRPr="005F1629" w:rsidRDefault="00E66CBB" w:rsidP="00DE0C41">
            <w:pPr>
              <w:jc w:val="right"/>
              <w:rPr>
                <w:rFonts w:asciiTheme="minorHAnsi" w:hAnsiTheme="minorHAnsi" w:cs="Arial"/>
                <w:b/>
                <w:sz w:val="22"/>
                <w:szCs w:val="22"/>
              </w:rPr>
            </w:pPr>
            <w:r w:rsidRPr="005F1629">
              <w:rPr>
                <w:rFonts w:asciiTheme="minorHAnsi" w:hAnsiTheme="minorHAnsi" w:cs="Arial"/>
                <w:b/>
                <w:sz w:val="22"/>
                <w:szCs w:val="22"/>
              </w:rPr>
              <w:t>1,90</w:t>
            </w:r>
          </w:p>
        </w:tc>
      </w:tr>
    </w:tbl>
    <w:p w:rsidR="002934E1" w:rsidRPr="005F1629" w:rsidRDefault="002934E1" w:rsidP="003D45F8">
      <w:pPr>
        <w:jc w:val="both"/>
        <w:rPr>
          <w:rFonts w:asciiTheme="minorHAnsi" w:hAnsiTheme="minorHAnsi" w:cs="Arial"/>
        </w:rPr>
      </w:pPr>
    </w:p>
    <w:p w:rsidR="002934E1" w:rsidRPr="005F1629" w:rsidRDefault="002934E1" w:rsidP="00553365">
      <w:pPr>
        <w:ind w:firstLine="357"/>
        <w:jc w:val="both"/>
        <w:rPr>
          <w:rFonts w:asciiTheme="minorHAnsi" w:hAnsiTheme="minorHAnsi" w:cs="Arial"/>
        </w:rPr>
      </w:pPr>
      <w:r w:rsidRPr="005F1629">
        <w:rPr>
          <w:rFonts w:asciiTheme="minorHAnsi" w:hAnsiTheme="minorHAnsi" w:cs="Arial"/>
          <w:b/>
        </w:rPr>
        <w:t xml:space="preserve">Náklady na léčení cizinců, </w:t>
      </w:r>
      <w:r w:rsidRPr="005F1629">
        <w:rPr>
          <w:rFonts w:asciiTheme="minorHAnsi" w:hAnsiTheme="minorHAnsi" w:cs="Arial"/>
        </w:rPr>
        <w:t>kteří si jako výpomocnou zdravotní pojišťovnu zvolí OZP, jsou plánovány</w:t>
      </w:r>
      <w:r w:rsidRPr="005F1629">
        <w:rPr>
          <w:rFonts w:asciiTheme="minorHAnsi" w:hAnsiTheme="minorHAnsi" w:cs="Arial"/>
          <w:b/>
        </w:rPr>
        <w:t xml:space="preserve"> </w:t>
      </w:r>
      <w:r w:rsidRPr="005F1629">
        <w:rPr>
          <w:rFonts w:asciiTheme="minorHAnsi" w:hAnsiTheme="minorHAnsi" w:cs="Arial"/>
        </w:rPr>
        <w:t>ve výši 3</w:t>
      </w:r>
      <w:r w:rsidR="00DE16C3" w:rsidRPr="005F1629">
        <w:rPr>
          <w:rFonts w:asciiTheme="minorHAnsi" w:hAnsiTheme="minorHAnsi" w:cs="Arial"/>
        </w:rPr>
        <w:t>1</w:t>
      </w:r>
      <w:r w:rsidRPr="005F1629">
        <w:rPr>
          <w:rFonts w:asciiTheme="minorHAnsi" w:hAnsiTheme="minorHAnsi" w:cs="Arial"/>
        </w:rPr>
        <w:t> </w:t>
      </w:r>
      <w:r w:rsidR="00DE16C3" w:rsidRPr="005F1629">
        <w:rPr>
          <w:rFonts w:asciiTheme="minorHAnsi" w:hAnsiTheme="minorHAnsi" w:cs="Arial"/>
        </w:rPr>
        <w:t>5</w:t>
      </w:r>
      <w:r w:rsidR="004B5140" w:rsidRPr="005F1629">
        <w:rPr>
          <w:rFonts w:asciiTheme="minorHAnsi" w:hAnsiTheme="minorHAnsi" w:cs="Arial"/>
        </w:rPr>
        <w:t>00 tis. Kč. Oproti očekávané skutečnosti předchozího roku se jedná o nárůst o 1,6</w:t>
      </w:r>
      <w:r w:rsidR="00FF3D89" w:rsidRPr="005F1629">
        <w:rPr>
          <w:rFonts w:asciiTheme="minorHAnsi" w:hAnsiTheme="minorHAnsi" w:cs="Arial"/>
        </w:rPr>
        <w:t>1</w:t>
      </w:r>
      <w:r w:rsidR="004B5140" w:rsidRPr="005F1629">
        <w:rPr>
          <w:rFonts w:asciiTheme="minorHAnsi" w:hAnsiTheme="minorHAnsi" w:cs="Arial"/>
        </w:rPr>
        <w:t xml:space="preserve"> %</w:t>
      </w:r>
      <w:r w:rsidRPr="005F1629">
        <w:rPr>
          <w:rFonts w:asciiTheme="minorHAnsi" w:hAnsiTheme="minorHAnsi" w:cs="Arial"/>
        </w:rPr>
        <w:t xml:space="preserve">. Při plánovaném </w:t>
      </w:r>
      <w:r w:rsidR="001D6186" w:rsidRPr="005F1629">
        <w:rPr>
          <w:rFonts w:asciiTheme="minorHAnsi" w:hAnsiTheme="minorHAnsi" w:cs="Arial"/>
        </w:rPr>
        <w:t xml:space="preserve">zvýšení počtu </w:t>
      </w:r>
      <w:r w:rsidRPr="005F1629">
        <w:rPr>
          <w:rFonts w:asciiTheme="minorHAnsi" w:hAnsiTheme="minorHAnsi" w:cs="Arial"/>
        </w:rPr>
        <w:t xml:space="preserve">ošetřených cizinců </w:t>
      </w:r>
      <w:r w:rsidR="001D6186" w:rsidRPr="005F1629">
        <w:rPr>
          <w:rFonts w:asciiTheme="minorHAnsi" w:hAnsiTheme="minorHAnsi" w:cs="Arial"/>
        </w:rPr>
        <w:t>o</w:t>
      </w:r>
      <w:r w:rsidRPr="005F1629">
        <w:rPr>
          <w:rFonts w:asciiTheme="minorHAnsi" w:hAnsiTheme="minorHAnsi" w:cs="Arial"/>
        </w:rPr>
        <w:t xml:space="preserve">proti </w:t>
      </w:r>
      <w:r w:rsidR="001D6186" w:rsidRPr="005F1629">
        <w:rPr>
          <w:rFonts w:asciiTheme="minorHAnsi" w:hAnsiTheme="minorHAnsi" w:cs="Arial"/>
        </w:rPr>
        <w:t>očekávané skutečnosti roku</w:t>
      </w:r>
      <w:r w:rsidRPr="005F1629">
        <w:rPr>
          <w:rFonts w:asciiTheme="minorHAnsi" w:hAnsiTheme="minorHAnsi" w:cs="Arial"/>
        </w:rPr>
        <w:t xml:space="preserve"> 201</w:t>
      </w:r>
      <w:r w:rsidR="00DE16C3" w:rsidRPr="005F1629">
        <w:rPr>
          <w:rFonts w:asciiTheme="minorHAnsi" w:hAnsiTheme="minorHAnsi" w:cs="Arial"/>
        </w:rPr>
        <w:t>3</w:t>
      </w:r>
      <w:r w:rsidRPr="005F1629">
        <w:rPr>
          <w:rFonts w:asciiTheme="minorHAnsi" w:hAnsiTheme="minorHAnsi" w:cs="Arial"/>
        </w:rPr>
        <w:t xml:space="preserve"> je průměrný náklad na jednoho ošetřeného cizince ve výši 1</w:t>
      </w:r>
      <w:r w:rsidR="00DE16C3" w:rsidRPr="005F1629">
        <w:rPr>
          <w:rFonts w:asciiTheme="minorHAnsi" w:hAnsiTheme="minorHAnsi" w:cs="Arial"/>
        </w:rPr>
        <w:t>5</w:t>
      </w:r>
      <w:r w:rsidRPr="005F1629">
        <w:rPr>
          <w:rFonts w:asciiTheme="minorHAnsi" w:hAnsiTheme="minorHAnsi" w:cs="Arial"/>
        </w:rPr>
        <w:t> </w:t>
      </w:r>
      <w:r w:rsidR="00A118C6" w:rsidRPr="005F1629">
        <w:rPr>
          <w:rFonts w:asciiTheme="minorHAnsi" w:hAnsiTheme="minorHAnsi" w:cs="Arial"/>
        </w:rPr>
        <w:t>594</w:t>
      </w:r>
      <w:r w:rsidRPr="005F1629">
        <w:rPr>
          <w:rFonts w:asciiTheme="minorHAnsi" w:hAnsiTheme="minorHAnsi" w:cs="Arial"/>
        </w:rPr>
        <w:t xml:space="preserve"> Kč s meziročním nárůstem </w:t>
      </w:r>
      <w:r w:rsidR="00DE16C3" w:rsidRPr="005F1629">
        <w:rPr>
          <w:rFonts w:asciiTheme="minorHAnsi" w:hAnsiTheme="minorHAnsi" w:cs="Arial"/>
        </w:rPr>
        <w:t>0</w:t>
      </w:r>
      <w:r w:rsidRPr="005F1629">
        <w:rPr>
          <w:rFonts w:asciiTheme="minorHAnsi" w:hAnsiTheme="minorHAnsi" w:cs="Arial"/>
        </w:rPr>
        <w:t>,</w:t>
      </w:r>
      <w:r w:rsidR="00DE16C3" w:rsidRPr="005F1629">
        <w:rPr>
          <w:rFonts w:asciiTheme="minorHAnsi" w:hAnsiTheme="minorHAnsi" w:cs="Arial"/>
        </w:rPr>
        <w:t>6</w:t>
      </w:r>
      <w:r w:rsidR="00FF3D89" w:rsidRPr="005F1629">
        <w:rPr>
          <w:rFonts w:asciiTheme="minorHAnsi" w:hAnsiTheme="minorHAnsi" w:cs="Arial"/>
        </w:rPr>
        <w:t>1</w:t>
      </w:r>
      <w:r w:rsidR="001D6186" w:rsidRPr="005F1629">
        <w:rPr>
          <w:rFonts w:asciiTheme="minorHAnsi" w:hAnsiTheme="minorHAnsi" w:cs="Arial"/>
        </w:rPr>
        <w:t xml:space="preserve"> %. Rostoucí trend v nákladech na 1 ošetřeného cizince lze </w:t>
      </w:r>
      <w:r w:rsidR="00F85F51" w:rsidRPr="005F1629">
        <w:rPr>
          <w:rFonts w:asciiTheme="minorHAnsi" w:hAnsiTheme="minorHAnsi" w:cs="Arial"/>
        </w:rPr>
        <w:t xml:space="preserve">také </w:t>
      </w:r>
      <w:r w:rsidR="001D6186" w:rsidRPr="005F1629">
        <w:rPr>
          <w:rFonts w:asciiTheme="minorHAnsi" w:hAnsiTheme="minorHAnsi" w:cs="Arial"/>
        </w:rPr>
        <w:t>pozorov</w:t>
      </w:r>
      <w:r w:rsidR="003A7605" w:rsidRPr="005F1629">
        <w:rPr>
          <w:rFonts w:asciiTheme="minorHAnsi" w:hAnsiTheme="minorHAnsi" w:cs="Arial"/>
        </w:rPr>
        <w:t>at v posledních třech letech (Tabulka</w:t>
      </w:r>
      <w:r w:rsidR="001D6186" w:rsidRPr="005F1629">
        <w:rPr>
          <w:rFonts w:asciiTheme="minorHAnsi" w:hAnsiTheme="minorHAnsi" w:cs="Arial"/>
        </w:rPr>
        <w:t xml:space="preserve"> č. 6</w:t>
      </w:r>
      <w:r w:rsidR="003A7605" w:rsidRPr="005F1629">
        <w:rPr>
          <w:rFonts w:asciiTheme="minorHAnsi" w:hAnsiTheme="minorHAnsi" w:cs="Arial"/>
        </w:rPr>
        <w:t>)</w:t>
      </w:r>
      <w:r w:rsidR="001D6186" w:rsidRPr="005F1629">
        <w:rPr>
          <w:rFonts w:asciiTheme="minorHAnsi" w:hAnsiTheme="minorHAnsi" w:cs="Arial"/>
        </w:rPr>
        <w:t>.</w:t>
      </w:r>
    </w:p>
    <w:p w:rsidR="002934E1" w:rsidRPr="005F1629" w:rsidRDefault="002934E1" w:rsidP="00553365">
      <w:pPr>
        <w:ind w:left="-12" w:firstLine="357"/>
        <w:jc w:val="both"/>
        <w:rPr>
          <w:rFonts w:asciiTheme="minorHAnsi" w:hAnsiTheme="minorHAnsi" w:cs="Arial"/>
        </w:rPr>
      </w:pPr>
      <w:r w:rsidRPr="005F1629">
        <w:rPr>
          <w:rFonts w:asciiTheme="minorHAnsi" w:hAnsiTheme="minorHAnsi" w:cs="Arial"/>
        </w:rPr>
        <w:t>Na ZFZP je plánováno přijmout od zahraničních pojišťoven za léčení cizinců (včetně plateb vypořádaných tzv. paušálem) 3</w:t>
      </w:r>
      <w:r w:rsidR="001F0A28" w:rsidRPr="005F1629">
        <w:rPr>
          <w:rFonts w:asciiTheme="minorHAnsi" w:hAnsiTheme="minorHAnsi" w:cs="Arial"/>
        </w:rPr>
        <w:t>1</w:t>
      </w:r>
      <w:r w:rsidRPr="005F1629">
        <w:rPr>
          <w:rFonts w:asciiTheme="minorHAnsi" w:hAnsiTheme="minorHAnsi" w:cs="Arial"/>
        </w:rPr>
        <w:t xml:space="preserve"> </w:t>
      </w:r>
      <w:r w:rsidR="001F0A28" w:rsidRPr="005F1629">
        <w:rPr>
          <w:rFonts w:asciiTheme="minorHAnsi" w:hAnsiTheme="minorHAnsi" w:cs="Arial"/>
        </w:rPr>
        <w:t>5</w:t>
      </w:r>
      <w:r w:rsidRPr="005F1629">
        <w:rPr>
          <w:rFonts w:asciiTheme="minorHAnsi" w:hAnsiTheme="minorHAnsi" w:cs="Arial"/>
        </w:rPr>
        <w:t xml:space="preserve">00 tis. Kč a z prostředků ZFZP uhradit za léčení cizinců </w:t>
      </w:r>
      <w:r w:rsidR="001115DB" w:rsidRPr="005F1629">
        <w:rPr>
          <w:rFonts w:asciiTheme="minorHAnsi" w:hAnsiTheme="minorHAnsi" w:cs="Arial"/>
        </w:rPr>
        <w:t>PZS</w:t>
      </w:r>
      <w:r w:rsidRPr="005F1629">
        <w:rPr>
          <w:rFonts w:asciiTheme="minorHAnsi" w:hAnsiTheme="minorHAnsi" w:cs="Arial"/>
        </w:rPr>
        <w:t xml:space="preserve"> 3</w:t>
      </w:r>
      <w:r w:rsidR="001F0A28" w:rsidRPr="005F1629">
        <w:rPr>
          <w:rFonts w:asciiTheme="minorHAnsi" w:hAnsiTheme="minorHAnsi" w:cs="Arial"/>
        </w:rPr>
        <w:t>1</w:t>
      </w:r>
      <w:r w:rsidRPr="005F1629">
        <w:rPr>
          <w:rFonts w:asciiTheme="minorHAnsi" w:hAnsiTheme="minorHAnsi" w:cs="Arial"/>
        </w:rPr>
        <w:t xml:space="preserve"> </w:t>
      </w:r>
      <w:r w:rsidR="001F0A28" w:rsidRPr="005F1629">
        <w:rPr>
          <w:rFonts w:asciiTheme="minorHAnsi" w:hAnsiTheme="minorHAnsi" w:cs="Arial"/>
        </w:rPr>
        <w:t>5</w:t>
      </w:r>
      <w:r w:rsidRPr="005F1629">
        <w:rPr>
          <w:rFonts w:asciiTheme="minorHAnsi" w:hAnsiTheme="minorHAnsi" w:cs="Arial"/>
        </w:rPr>
        <w:t>00 tis. Kč, což znamená nulový rozdíl mezi těmito pohledávkami a závazky.</w:t>
      </w:r>
    </w:p>
    <w:p w:rsidR="00E75549" w:rsidRDefault="00E75549" w:rsidP="002934E1">
      <w:pPr>
        <w:ind w:left="-12" w:firstLine="720"/>
        <w:jc w:val="both"/>
        <w:rPr>
          <w:rFonts w:asciiTheme="minorHAnsi" w:hAnsiTheme="minorHAnsi" w:cs="Arial"/>
        </w:rPr>
      </w:pPr>
    </w:p>
    <w:p w:rsidR="00537B8A" w:rsidRDefault="00537B8A" w:rsidP="002934E1">
      <w:pPr>
        <w:ind w:left="-12" w:firstLine="720"/>
        <w:jc w:val="both"/>
        <w:rPr>
          <w:rFonts w:asciiTheme="minorHAnsi" w:hAnsiTheme="minorHAnsi" w:cs="Arial"/>
        </w:rPr>
      </w:pPr>
    </w:p>
    <w:p w:rsidR="00537B8A" w:rsidRPr="005F1629" w:rsidRDefault="00537B8A" w:rsidP="002934E1">
      <w:pPr>
        <w:ind w:left="-12" w:firstLine="720"/>
        <w:jc w:val="both"/>
        <w:rPr>
          <w:rFonts w:asciiTheme="minorHAnsi" w:hAnsiTheme="minorHAnsi" w:cs="Arial"/>
        </w:rPr>
      </w:pPr>
    </w:p>
    <w:p w:rsidR="00E75549" w:rsidRPr="005F1629" w:rsidRDefault="00E75549" w:rsidP="00E75549">
      <w:pPr>
        <w:pStyle w:val="Zkladntext"/>
        <w:spacing w:after="0" w:line="280" w:lineRule="atLeast"/>
        <w:jc w:val="both"/>
        <w:rPr>
          <w:rFonts w:asciiTheme="minorHAnsi" w:hAnsiTheme="minorHAnsi" w:cs="Arial"/>
          <w:sz w:val="24"/>
        </w:rPr>
      </w:pPr>
      <w:r w:rsidRPr="005F1629">
        <w:rPr>
          <w:rFonts w:asciiTheme="minorHAnsi" w:hAnsiTheme="minorHAnsi" w:cs="Arial"/>
          <w:sz w:val="24"/>
        </w:rPr>
        <w:t>Tabulka č. 6: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E75549" w:rsidRPr="005F1629" w:rsidTr="00E75549">
        <w:tc>
          <w:tcPr>
            <w:tcW w:w="1951"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210"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210"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210"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F80F37">
            <w:pPr>
              <w:pStyle w:val="Zkladntext"/>
              <w:spacing w:after="0" w:line="280" w:lineRule="atLeast"/>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F80F37"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E75549" w:rsidRPr="005F1629">
              <w:rPr>
                <w:rFonts w:asciiTheme="minorHAnsi" w:hAnsiTheme="minorHAnsi" w:cs="Arial"/>
                <w:b/>
                <w:bCs/>
                <w:color w:val="FFFFFF"/>
                <w:sz w:val="22"/>
                <w:szCs w:val="22"/>
              </w:rPr>
              <w:t>(ZPP)</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 xml:space="preserve">Náklady na léčení </w:t>
            </w:r>
            <w:r w:rsidRPr="00F80F37">
              <w:rPr>
                <w:rFonts w:asciiTheme="minorHAnsi" w:hAnsiTheme="minorHAnsi" w:cs="Arial"/>
                <w:b/>
                <w:sz w:val="22"/>
                <w:szCs w:val="22"/>
              </w:rPr>
              <w:t>cizinců</w:t>
            </w:r>
            <w:r w:rsidR="00F80F37" w:rsidRPr="00F80F37">
              <w:rPr>
                <w:rFonts w:asciiTheme="minorHAnsi" w:hAnsiTheme="minorHAnsi" w:cs="Arial"/>
                <w:b/>
                <w:sz w:val="22"/>
                <w:szCs w:val="22"/>
              </w:rPr>
              <w:t xml:space="preserve"> </w:t>
            </w:r>
            <w:r w:rsidR="00F80F37" w:rsidRPr="00F80F37">
              <w:rPr>
                <w:rFonts w:asciiTheme="minorHAnsi" w:hAnsiTheme="minorHAnsi" w:cs="Arial"/>
                <w:b/>
                <w:bCs/>
                <w:sz w:val="22"/>
                <w:szCs w:val="22"/>
              </w:rPr>
              <w:t>(tis. Kč)</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26 180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25 481</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29 382</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29 301</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31 000</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31 500</w:t>
            </w:r>
          </w:p>
        </w:tc>
      </w:tr>
      <w:tr w:rsidR="00E75549" w:rsidRPr="005F1629" w:rsidTr="00DE0C41">
        <w:tc>
          <w:tcPr>
            <w:tcW w:w="1951" w:type="dxa"/>
            <w:shd w:val="clear" w:color="auto" w:fill="auto"/>
          </w:tcPr>
          <w:p w:rsidR="00E75549" w:rsidRPr="005F1629" w:rsidRDefault="00E75549" w:rsidP="00F80F37">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Počet ošetřených cizinců</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2 725</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2 746</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2 279</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2 122</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2 000</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2 020</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sidR="00F80F37">
              <w:rPr>
                <w:rFonts w:asciiTheme="minorHAnsi" w:hAnsiTheme="minorHAnsi" w:cs="Arial"/>
                <w:b/>
                <w:sz w:val="22"/>
                <w:szCs w:val="22"/>
              </w:rPr>
              <w:t xml:space="preserve"> </w:t>
            </w:r>
            <w:r w:rsidR="00F80F37" w:rsidRPr="00F80F37">
              <w:rPr>
                <w:rFonts w:asciiTheme="minorHAnsi" w:hAnsiTheme="minorHAnsi" w:cs="Arial"/>
                <w:b/>
                <w:bCs/>
                <w:sz w:val="22"/>
                <w:szCs w:val="22"/>
              </w:rPr>
              <w:t>(tis. Kč)</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 xml:space="preserve"> 9</w:t>
            </w:r>
            <w:r w:rsidR="00A118C6" w:rsidRPr="005F1629">
              <w:rPr>
                <w:rFonts w:asciiTheme="minorHAnsi" w:hAnsiTheme="minorHAnsi" w:cs="Arial"/>
                <w:sz w:val="22"/>
                <w:szCs w:val="22"/>
              </w:rPr>
              <w:t>,</w:t>
            </w:r>
            <w:r w:rsidRPr="005F1629">
              <w:rPr>
                <w:rFonts w:asciiTheme="minorHAnsi" w:hAnsiTheme="minorHAnsi" w:cs="Arial"/>
                <w:sz w:val="22"/>
                <w:szCs w:val="22"/>
              </w:rPr>
              <w:t>6</w:t>
            </w:r>
            <w:r w:rsidR="00A118C6" w:rsidRPr="005F1629">
              <w:rPr>
                <w:rFonts w:asciiTheme="minorHAnsi" w:hAnsiTheme="minorHAnsi" w:cs="Arial"/>
                <w:sz w:val="22"/>
                <w:szCs w:val="22"/>
              </w:rPr>
              <w:t>1</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9</w:t>
            </w:r>
            <w:r w:rsidR="00A118C6" w:rsidRPr="005F1629">
              <w:rPr>
                <w:rFonts w:asciiTheme="minorHAnsi" w:hAnsiTheme="minorHAnsi" w:cs="Arial"/>
                <w:sz w:val="22"/>
                <w:szCs w:val="22"/>
              </w:rPr>
              <w:t>,28</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12</w:t>
            </w:r>
            <w:r w:rsidR="00A118C6" w:rsidRPr="005F1629">
              <w:rPr>
                <w:rFonts w:asciiTheme="minorHAnsi" w:hAnsiTheme="minorHAnsi" w:cs="Arial"/>
                <w:sz w:val="22"/>
                <w:szCs w:val="22"/>
              </w:rPr>
              <w:t>,89</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13</w:t>
            </w:r>
            <w:r w:rsidR="00A118C6" w:rsidRPr="005F1629">
              <w:rPr>
                <w:rFonts w:asciiTheme="minorHAnsi" w:hAnsiTheme="minorHAnsi" w:cs="Arial"/>
                <w:sz w:val="22"/>
                <w:szCs w:val="22"/>
              </w:rPr>
              <w:t>,</w:t>
            </w:r>
            <w:r w:rsidRPr="005F1629">
              <w:rPr>
                <w:rFonts w:asciiTheme="minorHAnsi" w:hAnsiTheme="minorHAnsi" w:cs="Arial"/>
                <w:sz w:val="22"/>
                <w:szCs w:val="22"/>
              </w:rPr>
              <w:t>8</w:t>
            </w:r>
            <w:r w:rsidR="00A118C6" w:rsidRPr="005F1629">
              <w:rPr>
                <w:rFonts w:asciiTheme="minorHAnsi" w:hAnsiTheme="minorHAnsi" w:cs="Arial"/>
                <w:sz w:val="22"/>
                <w:szCs w:val="22"/>
              </w:rPr>
              <w:t>1</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15</w:t>
            </w:r>
            <w:r w:rsidR="00A118C6" w:rsidRPr="005F1629">
              <w:rPr>
                <w:rFonts w:asciiTheme="minorHAnsi" w:hAnsiTheme="minorHAnsi" w:cs="Arial"/>
                <w:sz w:val="22"/>
                <w:szCs w:val="22"/>
              </w:rPr>
              <w:t>,50</w:t>
            </w:r>
          </w:p>
        </w:tc>
        <w:tc>
          <w:tcPr>
            <w:tcW w:w="1210"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15</w:t>
            </w:r>
            <w:r w:rsidR="00A118C6" w:rsidRPr="005F1629">
              <w:rPr>
                <w:rFonts w:asciiTheme="minorHAnsi" w:hAnsiTheme="minorHAnsi" w:cs="Arial"/>
                <w:sz w:val="22"/>
                <w:szCs w:val="22"/>
              </w:rPr>
              <w:t>,</w:t>
            </w:r>
            <w:r w:rsidRPr="005F1629">
              <w:rPr>
                <w:rFonts w:asciiTheme="minorHAnsi" w:hAnsiTheme="minorHAnsi" w:cs="Arial"/>
                <w:sz w:val="22"/>
                <w:szCs w:val="22"/>
              </w:rPr>
              <w:t>59</w:t>
            </w:r>
          </w:p>
        </w:tc>
      </w:tr>
    </w:tbl>
    <w:p w:rsidR="00E75549" w:rsidRPr="005F1629" w:rsidRDefault="00E75549" w:rsidP="002934E1">
      <w:pPr>
        <w:ind w:left="-12" w:firstLine="720"/>
        <w:jc w:val="both"/>
        <w:rPr>
          <w:rFonts w:asciiTheme="minorHAnsi" w:hAnsiTheme="minorHAnsi" w:cs="Arial"/>
        </w:rPr>
      </w:pPr>
    </w:p>
    <w:p w:rsidR="002934E1" w:rsidRPr="005F1629" w:rsidRDefault="00BB4563" w:rsidP="00B8004F">
      <w:pPr>
        <w:ind w:left="-12" w:firstLine="357"/>
        <w:jc w:val="both"/>
        <w:rPr>
          <w:rStyle w:val="Styl11b1"/>
          <w:rFonts w:asciiTheme="minorHAnsi" w:hAnsiTheme="minorHAnsi" w:cs="Arial"/>
          <w:sz w:val="24"/>
          <w:szCs w:val="24"/>
        </w:rPr>
      </w:pPr>
      <w:r w:rsidRPr="005F1629">
        <w:rPr>
          <w:rFonts w:asciiTheme="minorHAnsi" w:hAnsiTheme="minorHAnsi" w:cs="Arial"/>
          <w:b/>
          <w:bCs/>
        </w:rPr>
        <w:t>Náklady na preventivní péči</w:t>
      </w:r>
      <w:r w:rsidRPr="005F1629">
        <w:rPr>
          <w:rFonts w:asciiTheme="minorHAnsi" w:hAnsiTheme="minorHAnsi" w:cs="Arial"/>
        </w:rPr>
        <w:t xml:space="preserve"> čerpané z Fprev plánuje OZP ve výši </w:t>
      </w:r>
      <w:r w:rsidR="002934E1" w:rsidRPr="005F1629">
        <w:rPr>
          <w:rFonts w:asciiTheme="minorHAnsi" w:hAnsiTheme="minorHAnsi" w:cs="Arial"/>
        </w:rPr>
        <w:t>6</w:t>
      </w:r>
      <w:r w:rsidR="00DE16C3" w:rsidRPr="005F1629">
        <w:rPr>
          <w:rFonts w:asciiTheme="minorHAnsi" w:hAnsiTheme="minorHAnsi" w:cs="Arial"/>
        </w:rPr>
        <w:t>4</w:t>
      </w:r>
      <w:r w:rsidR="002934E1" w:rsidRPr="005F1629">
        <w:rPr>
          <w:rFonts w:asciiTheme="minorHAnsi" w:hAnsiTheme="minorHAnsi" w:cs="Arial"/>
        </w:rPr>
        <w:t> </w:t>
      </w:r>
      <w:r w:rsidR="00DE16C3" w:rsidRPr="005F1629">
        <w:rPr>
          <w:rFonts w:asciiTheme="minorHAnsi" w:hAnsiTheme="minorHAnsi" w:cs="Arial"/>
        </w:rPr>
        <w:t>5</w:t>
      </w:r>
      <w:r w:rsidR="002934E1" w:rsidRPr="005F1629">
        <w:rPr>
          <w:rFonts w:asciiTheme="minorHAnsi" w:hAnsiTheme="minorHAnsi" w:cs="Arial"/>
        </w:rPr>
        <w:t>00 tis. Kč, tj. meziroční zvýšení nákladů o </w:t>
      </w:r>
      <w:r w:rsidR="00DE16C3" w:rsidRPr="005F1629">
        <w:rPr>
          <w:rFonts w:asciiTheme="minorHAnsi" w:hAnsiTheme="minorHAnsi" w:cs="Arial"/>
        </w:rPr>
        <w:t>5</w:t>
      </w:r>
      <w:r w:rsidR="002934E1" w:rsidRPr="005F1629">
        <w:rPr>
          <w:rFonts w:asciiTheme="minorHAnsi" w:hAnsiTheme="minorHAnsi" w:cs="Arial"/>
        </w:rPr>
        <w:t>,</w:t>
      </w:r>
      <w:r w:rsidR="00DE16C3" w:rsidRPr="005F1629">
        <w:rPr>
          <w:rFonts w:asciiTheme="minorHAnsi" w:hAnsiTheme="minorHAnsi" w:cs="Arial"/>
        </w:rPr>
        <w:t>7</w:t>
      </w:r>
      <w:r w:rsidR="00FF3D89" w:rsidRPr="005F1629">
        <w:rPr>
          <w:rFonts w:asciiTheme="minorHAnsi" w:hAnsiTheme="minorHAnsi" w:cs="Arial"/>
        </w:rPr>
        <w:t>4</w:t>
      </w:r>
      <w:r w:rsidR="002E078B" w:rsidRPr="005F1629">
        <w:rPr>
          <w:rFonts w:asciiTheme="minorHAnsi" w:hAnsiTheme="minorHAnsi" w:cs="Arial"/>
        </w:rPr>
        <w:t xml:space="preserve"> %, v absolutním vyjádření</w:t>
      </w:r>
      <w:r w:rsidR="002934E1" w:rsidRPr="005F1629">
        <w:rPr>
          <w:rFonts w:asciiTheme="minorHAnsi" w:hAnsiTheme="minorHAnsi" w:cs="Arial"/>
        </w:rPr>
        <w:t xml:space="preserve"> </w:t>
      </w:r>
      <w:r w:rsidR="002E078B" w:rsidRPr="005F1629">
        <w:rPr>
          <w:rFonts w:asciiTheme="minorHAnsi" w:hAnsiTheme="minorHAnsi" w:cs="Arial"/>
        </w:rPr>
        <w:t>o 3 500 tis. Kč</w:t>
      </w:r>
      <w:r w:rsidR="002934E1" w:rsidRPr="005F1629">
        <w:rPr>
          <w:rFonts w:asciiTheme="minorHAnsi" w:hAnsiTheme="minorHAnsi" w:cs="Arial"/>
        </w:rPr>
        <w:t xml:space="preserve">. </w:t>
      </w:r>
      <w:r w:rsidR="00F85F51" w:rsidRPr="005F1629">
        <w:rPr>
          <w:rStyle w:val="Styl11b1"/>
          <w:rFonts w:asciiTheme="minorHAnsi" w:hAnsiTheme="minorHAnsi" w:cs="Arial"/>
          <w:sz w:val="24"/>
          <w:szCs w:val="24"/>
        </w:rPr>
        <w:t>Tento naplánovaný mírný růst vychází ze střednědobé strategie OZP na roky 2013 – 2016.</w:t>
      </w:r>
    </w:p>
    <w:p w:rsidR="00E75549" w:rsidRPr="005F1629" w:rsidRDefault="00FF3D89" w:rsidP="00B8004F">
      <w:pPr>
        <w:ind w:firstLine="357"/>
        <w:jc w:val="both"/>
        <w:rPr>
          <w:rFonts w:asciiTheme="minorHAnsi" w:hAnsiTheme="minorHAnsi" w:cs="Arial"/>
        </w:rPr>
      </w:pPr>
      <w:r w:rsidRPr="005F1629">
        <w:rPr>
          <w:rFonts w:asciiTheme="minorHAnsi" w:hAnsiTheme="minorHAnsi" w:cs="Arial"/>
        </w:rPr>
        <w:t>Program prevence pro r. 2014 je členěn do tří základních skupin. První skupina zahrnuje zdravotně preventivní programy. Do druhé skupiny jsou zařazeny ozdravné pobyty. Do třetí skupiny jsou zařazeny ostatní činnosti se zaměřením na informační činnost</w:t>
      </w:r>
      <w:r w:rsidR="008A3731">
        <w:rPr>
          <w:rFonts w:asciiTheme="minorHAnsi" w:hAnsiTheme="minorHAnsi" w:cs="Arial"/>
        </w:rPr>
        <w:t xml:space="preserve"> (Tabulka č. 7)</w:t>
      </w:r>
      <w:r w:rsidRPr="005F1629">
        <w:rPr>
          <w:rFonts w:asciiTheme="minorHAnsi" w:hAnsiTheme="minorHAnsi" w:cs="Arial"/>
        </w:rPr>
        <w:t>.</w:t>
      </w:r>
    </w:p>
    <w:p w:rsidR="00553365" w:rsidRPr="005F1629" w:rsidRDefault="00553365" w:rsidP="00FF3D89">
      <w:pPr>
        <w:ind w:firstLine="720"/>
        <w:jc w:val="both"/>
        <w:rPr>
          <w:rStyle w:val="Styl11b1"/>
          <w:rFonts w:asciiTheme="minorHAnsi" w:hAnsiTheme="minorHAnsi" w:cs="Arial"/>
          <w:sz w:val="24"/>
          <w:szCs w:val="24"/>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7: Náklady na preventivní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E75549" w:rsidRPr="005F1629" w:rsidTr="00E75549">
        <w:tc>
          <w:tcPr>
            <w:tcW w:w="2660"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185 377</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69 335</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47 080</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69 089</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51 000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57 000</w:t>
            </w:r>
          </w:p>
        </w:tc>
      </w:tr>
      <w:tr w:rsidR="00E75549" w:rsidRPr="005F1629" w:rsidTr="00DE0C41">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6 379</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6 170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6 165</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6 173</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6 500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6 500</w:t>
            </w:r>
          </w:p>
        </w:tc>
      </w:tr>
      <w:tr w:rsidR="00E75549" w:rsidRPr="005F1629" w:rsidTr="00DE0C41">
        <w:tc>
          <w:tcPr>
            <w:tcW w:w="2660" w:type="dxa"/>
            <w:tcBorders>
              <w:top w:val="nil"/>
              <w:left w:val="single" w:sz="8" w:space="0" w:color="auto"/>
              <w:bottom w:val="single" w:sz="4"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3 029</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2 306</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2 603</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3 401</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3 500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1 000</w:t>
            </w:r>
          </w:p>
        </w:tc>
      </w:tr>
      <w:tr w:rsidR="00E75549" w:rsidRPr="005F1629" w:rsidTr="00DE0C41">
        <w:tc>
          <w:tcPr>
            <w:tcW w:w="2660" w:type="dxa"/>
            <w:tcBorders>
              <w:top w:val="single" w:sz="4" w:space="0" w:color="auto"/>
              <w:left w:val="single" w:sz="4" w:space="0" w:color="auto"/>
              <w:bottom w:val="single" w:sz="4" w:space="0" w:color="auto"/>
              <w:right w:val="single" w:sz="4"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Celkové náklady na preventivní zdravotní péči</w:t>
            </w:r>
          </w:p>
        </w:tc>
        <w:tc>
          <w:tcPr>
            <w:tcW w:w="1091" w:type="dxa"/>
            <w:tcBorders>
              <w:left w:val="single" w:sz="4" w:space="0" w:color="auto"/>
            </w:tcBorders>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194 785</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77 811</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55 848</w:t>
            </w:r>
          </w:p>
        </w:tc>
        <w:tc>
          <w:tcPr>
            <w:tcW w:w="1091"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78 663</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61 000</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64 500</w:t>
            </w:r>
          </w:p>
        </w:tc>
      </w:tr>
    </w:tbl>
    <w:p w:rsidR="00E75549" w:rsidRPr="005F1629" w:rsidRDefault="00E75549" w:rsidP="00BB4563">
      <w:pPr>
        <w:ind w:left="-12" w:firstLine="720"/>
        <w:jc w:val="both"/>
        <w:rPr>
          <w:rStyle w:val="Styl11b1"/>
          <w:rFonts w:asciiTheme="minorHAnsi" w:hAnsiTheme="minorHAnsi" w:cs="Arial"/>
          <w:sz w:val="24"/>
          <w:szCs w:val="24"/>
        </w:rPr>
      </w:pPr>
    </w:p>
    <w:p w:rsidR="004B7948" w:rsidRPr="005F1629" w:rsidRDefault="002934E1" w:rsidP="00537B8A">
      <w:pPr>
        <w:spacing w:after="240"/>
        <w:ind w:firstLine="357"/>
        <w:jc w:val="both"/>
        <w:rPr>
          <w:rStyle w:val="Styl11b1"/>
          <w:rFonts w:asciiTheme="minorHAnsi" w:hAnsiTheme="minorHAnsi" w:cs="Arial"/>
          <w:sz w:val="24"/>
          <w:szCs w:val="24"/>
        </w:rPr>
      </w:pPr>
      <w:r w:rsidRPr="005F1629">
        <w:rPr>
          <w:rFonts w:asciiTheme="minorHAnsi" w:hAnsiTheme="minorHAnsi" w:cs="Arial"/>
        </w:rPr>
        <w:t xml:space="preserve">Plánované čerpání finančních prostředků Fprev zaměřuje OZP zejména na </w:t>
      </w:r>
      <w:r w:rsidRPr="005F1629">
        <w:rPr>
          <w:rStyle w:val="Styl11b1"/>
          <w:rFonts w:asciiTheme="minorHAnsi" w:hAnsiTheme="minorHAnsi" w:cs="Arial"/>
          <w:sz w:val="24"/>
          <w:szCs w:val="24"/>
        </w:rPr>
        <w:t>odhalování časných stádií onemocnění,</w:t>
      </w:r>
      <w:r w:rsidRPr="005F1629">
        <w:rPr>
          <w:rFonts w:asciiTheme="minorHAnsi" w:hAnsiTheme="minorHAnsi" w:cs="Arial"/>
        </w:rPr>
        <w:t xml:space="preserve"> prevenci civilizačních chorob </w:t>
      </w:r>
      <w:r w:rsidRPr="005F1629">
        <w:rPr>
          <w:rStyle w:val="Styl11b1"/>
          <w:rFonts w:asciiTheme="minorHAnsi" w:hAnsiTheme="minorHAnsi" w:cs="Arial"/>
          <w:sz w:val="24"/>
          <w:szCs w:val="24"/>
        </w:rPr>
        <w:t>s rozšířením o prevenci zhoubných následků kouření</w:t>
      </w:r>
      <w:r w:rsidRPr="005F1629">
        <w:rPr>
          <w:rFonts w:asciiTheme="minorHAnsi" w:hAnsiTheme="minorHAnsi" w:cs="Arial"/>
        </w:rPr>
        <w:t xml:space="preserve">, na úhradu očkovacích látek </w:t>
      </w:r>
      <w:r w:rsidRPr="005F1629">
        <w:rPr>
          <w:rStyle w:val="Styl11b1"/>
          <w:rFonts w:asciiTheme="minorHAnsi" w:hAnsiTheme="minorHAnsi" w:cs="Arial"/>
          <w:sz w:val="24"/>
          <w:szCs w:val="24"/>
        </w:rPr>
        <w:t>nehrazených z prostředků veřejného zdravotního pojištění, na úhradu modernějších kumulovaných alternativních způsobů vakcinace, na programy realizované ve spolupráci se zaměstnavateli</w:t>
      </w:r>
      <w:r w:rsidRPr="005F1629">
        <w:rPr>
          <w:rFonts w:asciiTheme="minorHAnsi" w:hAnsiTheme="minorHAnsi" w:cs="Arial"/>
        </w:rPr>
        <w:t xml:space="preserve">. </w:t>
      </w:r>
      <w:r w:rsidR="00A10E5F" w:rsidRPr="005F1629">
        <w:rPr>
          <w:rFonts w:asciiTheme="minorHAnsi" w:hAnsiTheme="minorHAnsi" w:cs="Arial"/>
        </w:rPr>
        <w:t>N</w:t>
      </w:r>
      <w:r w:rsidR="00A10E5F" w:rsidRPr="005F1629">
        <w:rPr>
          <w:rStyle w:val="Styl11b1"/>
          <w:rFonts w:asciiTheme="minorHAnsi" w:hAnsiTheme="minorHAnsi" w:cs="Arial"/>
          <w:sz w:val="24"/>
          <w:szCs w:val="24"/>
        </w:rPr>
        <w:t>ový způsob nabídky příspěvkových preventivních benefitů, které na jedné straně motivují pojištěnce k určitému modelu chování a na druhé straně mu umožňují čerpání širšího spektra výhod</w:t>
      </w:r>
      <w:r w:rsidR="00E477F8" w:rsidRPr="005F1629">
        <w:rPr>
          <w:rStyle w:val="Styl11b1"/>
          <w:rFonts w:asciiTheme="minorHAnsi" w:hAnsiTheme="minorHAnsi" w:cs="Arial"/>
          <w:sz w:val="24"/>
          <w:szCs w:val="24"/>
        </w:rPr>
        <w:t>,</w:t>
      </w:r>
      <w:r w:rsidR="00A10E5F" w:rsidRPr="005F1629">
        <w:rPr>
          <w:rStyle w:val="Styl11b1"/>
          <w:rFonts w:asciiTheme="minorHAnsi" w:hAnsiTheme="minorHAnsi" w:cs="Arial"/>
          <w:sz w:val="24"/>
          <w:szCs w:val="24"/>
        </w:rPr>
        <w:t xml:space="preserve"> je založen na využívání online zdravotního deníku </w:t>
      </w:r>
      <w:r w:rsidR="00A10E5F" w:rsidRPr="005F1629">
        <w:rPr>
          <w:rStyle w:val="Styl11b1"/>
          <w:rFonts w:asciiTheme="minorHAnsi" w:hAnsiTheme="minorHAnsi" w:cs="Arial"/>
          <w:sz w:val="24"/>
          <w:szCs w:val="24"/>
          <w:u w:val="single"/>
        </w:rPr>
        <w:t>VITAKARTA</w:t>
      </w:r>
      <w:r w:rsidR="00A10E5F" w:rsidRPr="005F1629">
        <w:rPr>
          <w:rStyle w:val="Styl11b1"/>
          <w:rFonts w:asciiTheme="minorHAnsi" w:hAnsiTheme="minorHAnsi" w:cs="Arial"/>
          <w:sz w:val="24"/>
          <w:szCs w:val="24"/>
        </w:rPr>
        <w:t>.</w:t>
      </w:r>
    </w:p>
    <w:p w:rsidR="002934E1" w:rsidRPr="005F1629" w:rsidRDefault="002934E1" w:rsidP="00B8004F">
      <w:pPr>
        <w:ind w:firstLine="357"/>
        <w:jc w:val="both"/>
        <w:rPr>
          <w:rStyle w:val="Styl11b1"/>
          <w:rFonts w:asciiTheme="minorHAnsi" w:hAnsiTheme="minorHAnsi" w:cs="Arial"/>
          <w:sz w:val="24"/>
          <w:szCs w:val="24"/>
        </w:rPr>
      </w:pPr>
      <w:r w:rsidRPr="005F1629">
        <w:rPr>
          <w:rStyle w:val="Styl11b1"/>
          <w:rFonts w:asciiTheme="minorHAnsi" w:hAnsiTheme="minorHAnsi" w:cs="Arial"/>
          <w:sz w:val="24"/>
          <w:szCs w:val="24"/>
        </w:rPr>
        <w:t>V r. 201</w:t>
      </w:r>
      <w:r w:rsidR="00E677DE" w:rsidRPr="005F1629">
        <w:rPr>
          <w:rStyle w:val="Styl11b1"/>
          <w:rFonts w:asciiTheme="minorHAnsi" w:hAnsiTheme="minorHAnsi" w:cs="Arial"/>
          <w:sz w:val="24"/>
          <w:szCs w:val="24"/>
        </w:rPr>
        <w:t>4</w:t>
      </w:r>
      <w:r w:rsidRPr="005F1629">
        <w:rPr>
          <w:rStyle w:val="Styl11b1"/>
          <w:rFonts w:asciiTheme="minorHAnsi" w:hAnsiTheme="minorHAnsi" w:cs="Arial"/>
          <w:sz w:val="24"/>
          <w:szCs w:val="24"/>
        </w:rPr>
        <w:t xml:space="preserve"> bude OZP pokračovat v klimatických </w:t>
      </w:r>
      <w:r w:rsidRPr="005F1629">
        <w:rPr>
          <w:rStyle w:val="Styl11b1"/>
          <w:rFonts w:asciiTheme="minorHAnsi" w:hAnsiTheme="minorHAnsi" w:cs="Arial"/>
          <w:sz w:val="24"/>
          <w:szCs w:val="24"/>
          <w:u w:val="single"/>
        </w:rPr>
        <w:t>ozdravných pobytech pro děti ve věku 7 - 15 let s vysokou nemocností</w:t>
      </w:r>
      <w:r w:rsidRPr="005F1629">
        <w:rPr>
          <w:rStyle w:val="Styl11b1"/>
          <w:rFonts w:asciiTheme="minorHAnsi" w:hAnsiTheme="minorHAnsi" w:cs="Arial"/>
          <w:sz w:val="24"/>
          <w:szCs w:val="24"/>
        </w:rPr>
        <w:t xml:space="preserve"> na podkladě snížené obranyschopnosti, pro alergiky, ekzematiky a děti s onemocněním pohybového aparátu. Jedná se o aktivity spojené s finanční spoluúčastí rodičů nemocných dětí. Na tyto </w:t>
      </w:r>
      <w:r w:rsidR="00F85F51" w:rsidRPr="005F1629">
        <w:rPr>
          <w:rStyle w:val="Styl11b1"/>
          <w:rFonts w:asciiTheme="minorHAnsi" w:hAnsiTheme="minorHAnsi" w:cs="Arial"/>
          <w:sz w:val="24"/>
          <w:szCs w:val="24"/>
        </w:rPr>
        <w:t>aktivity plánuje OZP v roce 2014</w:t>
      </w:r>
      <w:r w:rsidRPr="005F1629">
        <w:rPr>
          <w:rStyle w:val="Styl11b1"/>
          <w:rFonts w:asciiTheme="minorHAnsi" w:hAnsiTheme="minorHAnsi" w:cs="Arial"/>
          <w:sz w:val="24"/>
          <w:szCs w:val="24"/>
        </w:rPr>
        <w:t xml:space="preserve"> vynaložit celkem 6 </w:t>
      </w:r>
      <w:r w:rsidR="00F85F51" w:rsidRPr="005F1629">
        <w:rPr>
          <w:rStyle w:val="Styl11b1"/>
          <w:rFonts w:asciiTheme="minorHAnsi" w:hAnsiTheme="minorHAnsi" w:cs="Arial"/>
          <w:sz w:val="24"/>
          <w:szCs w:val="24"/>
        </w:rPr>
        <w:t>500 tis. Kč, tedy stejnou částku jako v roce 2013.</w:t>
      </w:r>
    </w:p>
    <w:p w:rsidR="00055685" w:rsidRPr="005F1629" w:rsidRDefault="00055685" w:rsidP="00B8004F">
      <w:pPr>
        <w:spacing w:after="240"/>
        <w:ind w:firstLine="357"/>
        <w:jc w:val="both"/>
        <w:rPr>
          <w:rStyle w:val="Styl11b1"/>
          <w:rFonts w:asciiTheme="minorHAnsi" w:hAnsiTheme="minorHAnsi" w:cs="Arial"/>
          <w:sz w:val="24"/>
          <w:szCs w:val="24"/>
        </w:rPr>
      </w:pPr>
      <w:r w:rsidRPr="005F1629">
        <w:rPr>
          <w:rStyle w:val="Styl11b1"/>
          <w:rFonts w:asciiTheme="minorHAnsi" w:hAnsiTheme="minorHAnsi" w:cs="Arial"/>
          <w:sz w:val="24"/>
          <w:szCs w:val="24"/>
        </w:rPr>
        <w:lastRenderedPageBreak/>
        <w:t>Mezi ostatní činnost je zařazeno</w:t>
      </w:r>
      <w:r w:rsidRPr="005F1629">
        <w:rPr>
          <w:rFonts w:asciiTheme="minorHAnsi" w:hAnsiTheme="minorHAnsi" w:cs="Arial"/>
        </w:rPr>
        <w:t xml:space="preserve"> </w:t>
      </w:r>
      <w:r w:rsidRPr="005F1629">
        <w:rPr>
          <w:rStyle w:val="Styl11b1"/>
          <w:rFonts w:asciiTheme="minorHAnsi" w:hAnsiTheme="minorHAnsi" w:cs="Arial"/>
          <w:sz w:val="24"/>
          <w:szCs w:val="24"/>
        </w:rPr>
        <w:t xml:space="preserve">řízení pohybu pacientů v síti PZS. </w:t>
      </w:r>
      <w:r w:rsidRPr="005F1629">
        <w:rPr>
          <w:rStyle w:val="Styl11b1"/>
          <w:rFonts w:asciiTheme="minorHAnsi" w:hAnsiTheme="minorHAnsi" w:cs="Arial"/>
          <w:sz w:val="24"/>
          <w:szCs w:val="24"/>
          <w:u w:val="single"/>
        </w:rPr>
        <w:t>Asistenční služba OZ</w:t>
      </w:r>
      <w:r w:rsidRPr="005F1629">
        <w:rPr>
          <w:rStyle w:val="Styl11b1"/>
          <w:rFonts w:asciiTheme="minorHAnsi" w:hAnsiTheme="minorHAnsi" w:cs="Arial"/>
          <w:sz w:val="24"/>
          <w:szCs w:val="24"/>
        </w:rPr>
        <w:t>P nabízí škálu činností směřujících k usnadnění orientace a ke zvýšení standardu poskytování klientského servisu.</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Ministerstvo zdravotnictví vytváří vlastní </w:t>
      </w:r>
      <w:r w:rsidRPr="005F1629">
        <w:rPr>
          <w:rFonts w:asciiTheme="minorHAnsi" w:hAnsiTheme="minorHAnsi" w:cs="Arial"/>
          <w:b/>
        </w:rPr>
        <w:t>modelaci příjmů z pojistného</w:t>
      </w:r>
      <w:r w:rsidRPr="005F1629">
        <w:rPr>
          <w:rFonts w:asciiTheme="minorHAnsi" w:hAnsiTheme="minorHAnsi" w:cs="Arial"/>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583109" w:rsidRPr="005F1629" w:rsidRDefault="00583109" w:rsidP="00B8004F">
      <w:pPr>
        <w:spacing w:after="240"/>
        <w:ind w:firstLine="357"/>
        <w:jc w:val="both"/>
        <w:rPr>
          <w:rFonts w:asciiTheme="minorHAnsi" w:hAnsiTheme="minorHAnsi" w:cs="Arial"/>
        </w:rPr>
      </w:pPr>
      <w:r w:rsidRPr="005F1629">
        <w:rPr>
          <w:rFonts w:asciiTheme="minorHAnsi" w:hAnsiTheme="minorHAnsi" w:cs="Arial"/>
        </w:rPr>
        <w:t>OZP plánuje na straně příjmů pro rok 2014 objem prostředků z pojistného po přerozdělení ve výši 14,46 mld. Kč. Lze konstatovat, že tento odhad je ve shodě s výše popsanou modelací Ministerstva zdravotnictví, které pro OZP předpokládá v roce 2014 příjmy ve výši 14,32 mld. Kč.</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V oblasti zdravotní politiky Ministerstvo zdravotnictví hodnotí především </w:t>
      </w:r>
      <w:r w:rsidRPr="005F1629">
        <w:rPr>
          <w:rFonts w:asciiTheme="minorHAnsi" w:hAnsiTheme="minorHAnsi" w:cs="Arial"/>
          <w:b/>
        </w:rPr>
        <w:t>soulad s modelacemi dopadů úhradové vyhlášky na rok 2014</w:t>
      </w:r>
      <w:r w:rsidRPr="005F1629">
        <w:rPr>
          <w:rFonts w:asciiTheme="minorHAnsi" w:hAnsiTheme="minorHAnsi" w:cs="Arial"/>
        </w:rPr>
        <w:t>. Úhradová vyhláška je na smluvní vztahy aplikována pouze v případě, kdy nedojde</w:t>
      </w:r>
      <w:r w:rsidR="005111C5">
        <w:rPr>
          <w:rFonts w:asciiTheme="minorHAnsi" w:hAnsiTheme="minorHAnsi" w:cs="Arial"/>
        </w:rPr>
        <w:t xml:space="preserve"> k dohodě na úhradovém dodatku. P</w:t>
      </w:r>
      <w:r w:rsidRPr="005F1629">
        <w:rPr>
          <w:rFonts w:asciiTheme="minorHAnsi" w:hAnsiTheme="minorHAnsi" w:cs="Arial"/>
        </w:rPr>
        <w:t>ro hypotetický případ, kdy k dohodám nedojde, a kdy by celý systém fungoval právě podle úhradové vyhlášky, je nutné dohlédnout na konstrukci zdravotně pojistného plánu v takové podobě, aby úhrady podle úhradové vyhlášky umožňoval.</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Ministerstvo hodnotí jednotlivé plánované položky dle segmentů uvedených v příloze </w:t>
      </w:r>
      <w:r w:rsidR="002B448D">
        <w:rPr>
          <w:rFonts w:asciiTheme="minorHAnsi" w:hAnsiTheme="minorHAnsi" w:cs="Arial"/>
        </w:rPr>
        <w:t xml:space="preserve">ZPP </w:t>
      </w:r>
      <w:r w:rsidRPr="005F1629">
        <w:rPr>
          <w:rFonts w:asciiTheme="minorHAnsi" w:hAnsiTheme="minorHAnsi" w:cs="Arial"/>
        </w:rPr>
        <w:t xml:space="preserve">v tabulce č. 12 tím způsobem, že umožňuje zdravotní pojišťovně odchylku směrem nahoru, tedy plánování vyšších nákladů na daný segment, než jaké předpokládá modelace na základě úhradové vyhlášky. V opačném směru je tolerována odchylka do výše 10 </w:t>
      </w:r>
      <w:r w:rsidRPr="00AF782B">
        <w:rPr>
          <w:rFonts w:asciiTheme="minorHAnsi" w:hAnsiTheme="minorHAnsi" w:cs="Arial"/>
        </w:rPr>
        <w:t>%</w:t>
      </w:r>
      <w:r w:rsidRPr="005F1629">
        <w:rPr>
          <w:rFonts w:asciiTheme="minorHAnsi" w:hAnsiTheme="minorHAnsi" w:cs="Arial"/>
        </w:rPr>
        <w:t xml:space="preserve"> z důvodu skutečnosti, že výsledky výpočtů zdravotní pojišťovny a ministerstva jsou modelací, nikoli přesným odhadem.</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V případě OZP lze konstatovat, že struktura nákladů dle segmentů v příloze </w:t>
      </w:r>
      <w:r w:rsidR="002B448D">
        <w:rPr>
          <w:rFonts w:asciiTheme="minorHAnsi" w:hAnsiTheme="minorHAnsi" w:cs="Arial"/>
        </w:rPr>
        <w:t xml:space="preserve">ZPP </w:t>
      </w:r>
      <w:r w:rsidRPr="005F1629">
        <w:rPr>
          <w:rFonts w:asciiTheme="minorHAnsi" w:hAnsiTheme="minorHAnsi" w:cs="Arial"/>
        </w:rPr>
        <w:t>v tabulce č. 12 je ve všech položkách v souladu s modelací Ministerstva zdravotnictví.</w:t>
      </w:r>
    </w:p>
    <w:p w:rsidR="00055685" w:rsidRPr="005F1629" w:rsidRDefault="00055685" w:rsidP="002934E1">
      <w:pPr>
        <w:ind w:firstLine="540"/>
        <w:jc w:val="both"/>
        <w:rPr>
          <w:rStyle w:val="Styl11b1"/>
          <w:rFonts w:asciiTheme="minorHAnsi" w:hAnsiTheme="minorHAnsi" w:cs="Arial"/>
          <w:sz w:val="24"/>
          <w:szCs w:val="24"/>
        </w:rPr>
      </w:pPr>
    </w:p>
    <w:p w:rsidR="004B7948" w:rsidRPr="005F1629" w:rsidRDefault="004B7948" w:rsidP="004B7948">
      <w:pPr>
        <w:spacing w:after="240"/>
        <w:jc w:val="both"/>
        <w:rPr>
          <w:rFonts w:asciiTheme="minorHAnsi" w:hAnsiTheme="minorHAnsi" w:cs="Arial"/>
          <w:b/>
          <w:sz w:val="28"/>
          <w:szCs w:val="28"/>
          <w:u w:val="single"/>
        </w:rPr>
      </w:pPr>
      <w:r w:rsidRPr="005F1629">
        <w:rPr>
          <w:rFonts w:asciiTheme="minorHAnsi" w:hAnsiTheme="minorHAnsi" w:cs="Arial"/>
          <w:b/>
          <w:sz w:val="28"/>
          <w:szCs w:val="28"/>
          <w:u w:val="single"/>
        </w:rPr>
        <w:t>Závěr</w:t>
      </w:r>
    </w:p>
    <w:p w:rsidR="00945D34" w:rsidRPr="005F1629" w:rsidRDefault="004B7948" w:rsidP="00945D34">
      <w:pPr>
        <w:ind w:firstLine="360"/>
        <w:jc w:val="both"/>
        <w:rPr>
          <w:rFonts w:asciiTheme="minorHAnsi" w:hAnsiTheme="minorHAnsi" w:cs="Arial"/>
          <w:b/>
        </w:rPr>
      </w:pPr>
      <w:r w:rsidRPr="005F1629">
        <w:rPr>
          <w:rFonts w:asciiTheme="minorHAnsi" w:hAnsiTheme="minorHAnsi" w:cs="Arial"/>
          <w:b/>
        </w:rPr>
        <w:t xml:space="preserve">Z obdržených podkladů lze soudit, že návrh ZPP 2014 Oborové zdravotní pojišťovny zaměstnanců bank, pojišťoven a stavebnictví je v souladu s právními předpisy a veřejným zájmem. </w:t>
      </w:r>
      <w:r w:rsidR="00945D34" w:rsidRPr="005F1629">
        <w:rPr>
          <w:rFonts w:asciiTheme="minorHAnsi" w:hAnsiTheme="minorHAnsi" w:cs="Arial"/>
          <w:b/>
        </w:rPr>
        <w:t>Ministerstvo zdravotnictví a Ministerstvo financí doporučují vládě ČR předložit tento návrh Poslanecké sněmovně Parlamentu České republiky k projednání s návrhem na jeho schválení.</w:t>
      </w:r>
    </w:p>
    <w:p w:rsidR="00483C75" w:rsidRPr="00AF7181" w:rsidRDefault="00FF3D89" w:rsidP="00AF7181">
      <w:pPr>
        <w:jc w:val="both"/>
        <w:rPr>
          <w:rFonts w:asciiTheme="minorHAnsi" w:hAnsiTheme="minorHAnsi" w:cs="Arial"/>
          <w:b/>
          <w:sz w:val="28"/>
          <w:szCs w:val="28"/>
          <w:u w:val="single"/>
        </w:rPr>
      </w:pPr>
      <w:r w:rsidRPr="005F1629">
        <w:rPr>
          <w:rFonts w:asciiTheme="minorHAnsi" w:hAnsiTheme="minorHAnsi" w:cs="Arial"/>
          <w:sz w:val="28"/>
          <w:szCs w:val="28"/>
          <w:u w:val="single"/>
        </w:rPr>
        <w:br w:type="page"/>
      </w:r>
      <w:r w:rsidR="00483C75" w:rsidRPr="00AF7181">
        <w:rPr>
          <w:rFonts w:asciiTheme="minorHAnsi" w:hAnsiTheme="minorHAnsi" w:cs="Arial"/>
          <w:b/>
          <w:sz w:val="28"/>
          <w:szCs w:val="28"/>
          <w:u w:val="single"/>
        </w:rPr>
        <w:lastRenderedPageBreak/>
        <w:t>209 – Zaměstnanecká pojišťovna Škoda (ZPŠ)</w:t>
      </w:r>
    </w:p>
    <w:p w:rsidR="00483C75" w:rsidRPr="005F1629" w:rsidRDefault="00483C75" w:rsidP="00483C75">
      <w:pPr>
        <w:tabs>
          <w:tab w:val="left" w:pos="3360"/>
        </w:tabs>
        <w:jc w:val="both"/>
        <w:rPr>
          <w:rFonts w:asciiTheme="minorHAnsi" w:hAnsiTheme="minorHAnsi" w:cs="Arial"/>
          <w:b/>
          <w:i/>
          <w:sz w:val="28"/>
          <w:szCs w:val="28"/>
        </w:rPr>
      </w:pPr>
    </w:p>
    <w:p w:rsidR="004B7948" w:rsidRPr="005F1629" w:rsidRDefault="004B7948" w:rsidP="004B7948">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4B7948" w:rsidRPr="005F1629" w:rsidRDefault="004B7948" w:rsidP="004B7948">
      <w:pPr>
        <w:ind w:left="360" w:hanging="360"/>
        <w:jc w:val="both"/>
        <w:rPr>
          <w:rFonts w:asciiTheme="minorHAnsi" w:hAnsiTheme="minorHAnsi" w:cs="Arial"/>
          <w:b/>
          <w:sz w:val="28"/>
          <w:szCs w:val="28"/>
          <w:u w:val="single"/>
        </w:rPr>
      </w:pPr>
      <w:r w:rsidRPr="005F1629">
        <w:rPr>
          <w:rFonts w:asciiTheme="minorHAnsi" w:hAnsiTheme="minorHAnsi" w:cs="Arial"/>
          <w:i/>
          <w:sz w:val="20"/>
          <w:szCs w:val="20"/>
        </w:rPr>
        <w:t xml:space="preserve">(použité číselné údaje jsou obsaženy v příloze, v tabulkách č. 1, 1a),1b,) 1c), případně v ZPP 2014) </w:t>
      </w:r>
    </w:p>
    <w:p w:rsidR="004B7948" w:rsidRPr="005F1629" w:rsidRDefault="004B7948" w:rsidP="0095701D">
      <w:pPr>
        <w:jc w:val="both"/>
        <w:rPr>
          <w:rFonts w:asciiTheme="minorHAnsi" w:hAnsiTheme="minorHAnsi" w:cs="Arial"/>
          <w:b/>
          <w:sz w:val="28"/>
          <w:szCs w:val="28"/>
          <w:u w:val="single"/>
        </w:rPr>
      </w:pPr>
    </w:p>
    <w:p w:rsidR="004B7948" w:rsidRPr="005F1629" w:rsidRDefault="004B7948" w:rsidP="00B8004F">
      <w:pPr>
        <w:ind w:firstLine="357"/>
        <w:jc w:val="both"/>
        <w:rPr>
          <w:rFonts w:asciiTheme="minorHAnsi" w:hAnsiTheme="minorHAnsi"/>
        </w:rPr>
      </w:pPr>
      <w:r w:rsidRPr="005F1629">
        <w:rPr>
          <w:rFonts w:asciiTheme="minorHAnsi" w:hAnsiTheme="minorHAnsi"/>
        </w:rPr>
        <w:t>ZPŠ je stabilizovanou zdravotní pojišťovnou regionálního charakteru, uplatňující svůj vliv v systému v.</w:t>
      </w:r>
      <w:r w:rsidR="00EE71F1">
        <w:rPr>
          <w:rFonts w:asciiTheme="minorHAnsi" w:hAnsiTheme="minorHAnsi"/>
        </w:rPr>
        <w:t xml:space="preserve"> </w:t>
      </w:r>
      <w:r w:rsidRPr="005F1629">
        <w:rPr>
          <w:rFonts w:asciiTheme="minorHAnsi" w:hAnsiTheme="minorHAnsi"/>
        </w:rPr>
        <w:t>z.</w:t>
      </w:r>
      <w:r w:rsidR="00EE71F1">
        <w:rPr>
          <w:rFonts w:asciiTheme="minorHAnsi" w:hAnsiTheme="minorHAnsi"/>
        </w:rPr>
        <w:t xml:space="preserve"> </w:t>
      </w:r>
      <w:r w:rsidRPr="005F1629">
        <w:rPr>
          <w:rFonts w:asciiTheme="minorHAnsi" w:hAnsiTheme="minorHAnsi"/>
        </w:rPr>
        <w:t>p. v závislosti na působení silné mateřské firmy ŠKODA AUTO a.s. Aktuální organizační řád včetně organizační struktury byl schválen Správní radou ZPŠ dne 22.</w:t>
      </w:r>
      <w:r w:rsidR="001F46B5" w:rsidRPr="005F1629">
        <w:rPr>
          <w:rFonts w:asciiTheme="minorHAnsi" w:hAnsiTheme="minorHAnsi"/>
        </w:rPr>
        <w:t xml:space="preserve"> </w:t>
      </w:r>
      <w:r w:rsidRPr="005F1629">
        <w:rPr>
          <w:rFonts w:asciiTheme="minorHAnsi" w:hAnsiTheme="minorHAnsi"/>
        </w:rPr>
        <w:t>3.</w:t>
      </w:r>
      <w:r w:rsidR="001F46B5" w:rsidRPr="005F1629">
        <w:rPr>
          <w:rFonts w:asciiTheme="minorHAnsi" w:hAnsiTheme="minorHAnsi"/>
        </w:rPr>
        <w:t xml:space="preserve"> </w:t>
      </w:r>
      <w:r w:rsidRPr="005F1629">
        <w:rPr>
          <w:rFonts w:asciiTheme="minorHAnsi" w:hAnsiTheme="minorHAnsi"/>
        </w:rPr>
        <w:t>2012 s platností od 1.</w:t>
      </w:r>
      <w:r w:rsidR="001F46B5" w:rsidRPr="005F1629">
        <w:rPr>
          <w:rFonts w:asciiTheme="minorHAnsi" w:hAnsiTheme="minorHAnsi"/>
        </w:rPr>
        <w:t xml:space="preserve"> </w:t>
      </w:r>
      <w:r w:rsidRPr="005F1629">
        <w:rPr>
          <w:rFonts w:asciiTheme="minorHAnsi" w:hAnsiTheme="minorHAnsi"/>
        </w:rPr>
        <w:t>7.</w:t>
      </w:r>
      <w:r w:rsidR="001F46B5" w:rsidRPr="005F1629">
        <w:rPr>
          <w:rFonts w:asciiTheme="minorHAnsi" w:hAnsiTheme="minorHAnsi"/>
        </w:rPr>
        <w:t xml:space="preserve"> </w:t>
      </w:r>
      <w:r w:rsidRPr="005F1629">
        <w:rPr>
          <w:rFonts w:asciiTheme="minorHAnsi" w:hAnsiTheme="minorHAnsi"/>
        </w:rPr>
        <w:t xml:space="preserve">2012, v roce 2014 ZPŠ nepředpokládá zásadní úpravy </w:t>
      </w:r>
      <w:r w:rsidRPr="005F1629">
        <w:rPr>
          <w:rFonts w:asciiTheme="minorHAnsi" w:hAnsiTheme="minorHAnsi"/>
          <w:b/>
        </w:rPr>
        <w:t>organizační struktury</w:t>
      </w:r>
      <w:r w:rsidRPr="005F1629">
        <w:rPr>
          <w:rFonts w:asciiTheme="minorHAnsi" w:hAnsiTheme="minorHAnsi"/>
        </w:rPr>
        <w:t>.</w:t>
      </w:r>
    </w:p>
    <w:p w:rsidR="004B7948" w:rsidRPr="005F1629" w:rsidRDefault="004B7948" w:rsidP="00B8004F">
      <w:pPr>
        <w:ind w:firstLine="357"/>
        <w:jc w:val="both"/>
        <w:rPr>
          <w:rFonts w:asciiTheme="minorHAnsi" w:hAnsiTheme="minorHAnsi"/>
          <w:color w:val="FF0000"/>
        </w:rPr>
      </w:pPr>
    </w:p>
    <w:p w:rsidR="004B7948" w:rsidRPr="005F1629" w:rsidRDefault="004B7948" w:rsidP="001F46B5">
      <w:pPr>
        <w:ind w:firstLine="357"/>
        <w:jc w:val="both"/>
        <w:rPr>
          <w:rFonts w:asciiTheme="minorHAnsi" w:hAnsiTheme="minorHAnsi"/>
        </w:rPr>
      </w:pPr>
      <w:r w:rsidRPr="005F1629">
        <w:rPr>
          <w:rFonts w:asciiTheme="minorHAnsi" w:hAnsiTheme="minorHAnsi"/>
        </w:rPr>
        <w:t>Zdravotně pojistný plán na rok 2014 vychází z očekávané skutečnosti roku 2013, která je součástí tabulkové přílohy plánu. Na tvorbu ZPP 2014 mají vliv realizované i plánované legislativní změny týkající se příjmové i výdajové oblasti. Vývoj příjmů ZPŠ zaznamenal v roce 2013 výraznější růst než celý systém v.</w:t>
      </w:r>
      <w:r w:rsidR="00EE71F1">
        <w:rPr>
          <w:rFonts w:asciiTheme="minorHAnsi" w:hAnsiTheme="minorHAnsi"/>
        </w:rPr>
        <w:t xml:space="preserve"> </w:t>
      </w:r>
      <w:r w:rsidRPr="005F1629">
        <w:rPr>
          <w:rFonts w:asciiTheme="minorHAnsi" w:hAnsiTheme="minorHAnsi"/>
        </w:rPr>
        <w:t>z.</w:t>
      </w:r>
      <w:r w:rsidR="00EE71F1">
        <w:rPr>
          <w:rFonts w:asciiTheme="minorHAnsi" w:hAnsiTheme="minorHAnsi"/>
        </w:rPr>
        <w:t xml:space="preserve"> </w:t>
      </w:r>
      <w:r w:rsidRPr="005F1629">
        <w:rPr>
          <w:rFonts w:asciiTheme="minorHAnsi" w:hAnsiTheme="minorHAnsi"/>
        </w:rPr>
        <w:t xml:space="preserve">p. Lze předpokládat, že v roce 2014 nebude oblast příjmů ZPŠ významně ohrožena. Zdravotně pojistný plán na rok 2014 je sestaven v souladu s dlouhodobou strategií pojišťovny jako </w:t>
      </w:r>
      <w:r w:rsidRPr="005F1629">
        <w:rPr>
          <w:rFonts w:asciiTheme="minorHAnsi" w:hAnsiTheme="minorHAnsi"/>
          <w:b/>
        </w:rPr>
        <w:t>vyrovnaný</w:t>
      </w:r>
      <w:r w:rsidRPr="005F1629">
        <w:rPr>
          <w:rFonts w:asciiTheme="minorHAnsi" w:hAnsiTheme="minorHAnsi"/>
        </w:rPr>
        <w:t xml:space="preserve"> při předpokládaném naplnění všech fondů definovaných příslušnými právními normami a se záměrem udržet do budoucna vyrovnanou bilanci hospodaření s prostředky v.</w:t>
      </w:r>
      <w:r w:rsidR="00EE71F1">
        <w:rPr>
          <w:rFonts w:asciiTheme="minorHAnsi" w:hAnsiTheme="minorHAnsi"/>
        </w:rPr>
        <w:t xml:space="preserve"> </w:t>
      </w:r>
      <w:r w:rsidRPr="005F1629">
        <w:rPr>
          <w:rFonts w:asciiTheme="minorHAnsi" w:hAnsiTheme="minorHAnsi"/>
        </w:rPr>
        <w:t>z.</w:t>
      </w:r>
      <w:r w:rsidR="00EE71F1">
        <w:rPr>
          <w:rFonts w:asciiTheme="minorHAnsi" w:hAnsiTheme="minorHAnsi"/>
        </w:rPr>
        <w:t xml:space="preserve"> </w:t>
      </w:r>
      <w:r w:rsidRPr="005F1629">
        <w:rPr>
          <w:rFonts w:asciiTheme="minorHAnsi" w:hAnsiTheme="minorHAnsi"/>
        </w:rPr>
        <w:t xml:space="preserve">p. </w:t>
      </w:r>
    </w:p>
    <w:p w:rsidR="004B7948" w:rsidRPr="005F1629" w:rsidRDefault="004B7948" w:rsidP="00B8004F">
      <w:pPr>
        <w:ind w:firstLine="357"/>
        <w:jc w:val="both"/>
        <w:rPr>
          <w:rFonts w:asciiTheme="minorHAnsi" w:hAnsiTheme="minorHAnsi"/>
          <w:color w:val="FF0000"/>
        </w:rPr>
      </w:pPr>
    </w:p>
    <w:p w:rsidR="004B7948" w:rsidRPr="005F1629" w:rsidRDefault="004B7948" w:rsidP="00B8004F">
      <w:pPr>
        <w:ind w:firstLine="357"/>
        <w:jc w:val="both"/>
        <w:rPr>
          <w:rFonts w:asciiTheme="minorHAnsi" w:hAnsiTheme="minorHAnsi" w:cs="Arial"/>
        </w:rPr>
      </w:pPr>
      <w:r w:rsidRPr="005F1629">
        <w:rPr>
          <w:rFonts w:asciiTheme="minorHAnsi" w:hAnsiTheme="minorHAnsi" w:cs="Arial"/>
          <w:b/>
        </w:rPr>
        <w:t>Plánovaný průměrný počet</w:t>
      </w:r>
      <w:r w:rsidRPr="005F1629">
        <w:rPr>
          <w:rFonts w:asciiTheme="minorHAnsi" w:hAnsiTheme="minorHAnsi" w:cs="Arial"/>
          <w:color w:val="FF0000"/>
        </w:rPr>
        <w:t xml:space="preserve"> </w:t>
      </w:r>
      <w:r w:rsidRPr="005F1629">
        <w:rPr>
          <w:rFonts w:asciiTheme="minorHAnsi" w:hAnsiTheme="minorHAnsi" w:cs="Arial"/>
          <w:b/>
        </w:rPr>
        <w:t xml:space="preserve">139 570 pojištěnců </w:t>
      </w:r>
      <w:r w:rsidRPr="005F1629">
        <w:rPr>
          <w:rFonts w:asciiTheme="minorHAnsi" w:hAnsiTheme="minorHAnsi" w:cs="Arial"/>
        </w:rPr>
        <w:t>v roce 2014</w:t>
      </w:r>
      <w:r w:rsidRPr="005F1629">
        <w:rPr>
          <w:rFonts w:asciiTheme="minorHAnsi" w:hAnsiTheme="minorHAnsi" w:cs="Arial"/>
          <w:color w:val="FF0000"/>
        </w:rPr>
        <w:t xml:space="preserve"> </w:t>
      </w:r>
      <w:r w:rsidRPr="005F1629">
        <w:rPr>
          <w:rFonts w:asciiTheme="minorHAnsi" w:hAnsiTheme="minorHAnsi" w:cs="Arial"/>
        </w:rPr>
        <w:t>meziročně vzroste o 1,4 % (tj. o 1 901 pojištěnců).</w:t>
      </w:r>
      <w:r w:rsidRPr="005F1629">
        <w:rPr>
          <w:rFonts w:asciiTheme="minorHAnsi" w:hAnsiTheme="minorHAnsi" w:cs="Arial"/>
          <w:color w:val="FF0000"/>
        </w:rPr>
        <w:t xml:space="preserve"> </w:t>
      </w:r>
      <w:r w:rsidRPr="005F1629">
        <w:rPr>
          <w:rFonts w:asciiTheme="minorHAnsi" w:hAnsiTheme="minorHAnsi" w:cs="Arial"/>
        </w:rPr>
        <w:t>Z toho plánovaný počet státem hrazených pojištěnců stoupne o</w:t>
      </w:r>
      <w:r w:rsidRPr="005F1629">
        <w:rPr>
          <w:rFonts w:asciiTheme="minorHAnsi" w:hAnsiTheme="minorHAnsi" w:cs="Arial"/>
          <w:color w:val="FF0000"/>
        </w:rPr>
        <w:t xml:space="preserve"> </w:t>
      </w:r>
      <w:r w:rsidRPr="005F1629">
        <w:rPr>
          <w:rFonts w:asciiTheme="minorHAnsi" w:hAnsiTheme="minorHAnsi" w:cs="Arial"/>
        </w:rPr>
        <w:t>1,2 %</w:t>
      </w:r>
      <w:r w:rsidRPr="005F1629">
        <w:rPr>
          <w:rFonts w:asciiTheme="minorHAnsi" w:hAnsiTheme="minorHAnsi" w:cs="Arial"/>
          <w:color w:val="FF0000"/>
        </w:rPr>
        <w:t xml:space="preserve"> </w:t>
      </w:r>
      <w:r w:rsidRPr="005F1629">
        <w:rPr>
          <w:rFonts w:asciiTheme="minorHAnsi" w:hAnsiTheme="minorHAnsi" w:cs="Arial"/>
        </w:rPr>
        <w:t>(tj. o 944 pojištěnců)</w:t>
      </w:r>
      <w:r w:rsidRPr="005F1629">
        <w:rPr>
          <w:rFonts w:asciiTheme="minorHAnsi" w:hAnsiTheme="minorHAnsi" w:cs="Arial"/>
          <w:color w:val="FF0000"/>
        </w:rPr>
        <w:t xml:space="preserve"> </w:t>
      </w:r>
      <w:r w:rsidRPr="005F1629">
        <w:rPr>
          <w:rFonts w:asciiTheme="minorHAnsi" w:hAnsiTheme="minorHAnsi" w:cs="Arial"/>
        </w:rPr>
        <w:t>a ZPŠ předpokládá, že jejich podíl přesáhne 58,1 %.</w:t>
      </w:r>
      <w:r w:rsidRPr="005F1629">
        <w:rPr>
          <w:rFonts w:asciiTheme="minorHAnsi" w:hAnsiTheme="minorHAnsi" w:cs="Arial"/>
          <w:color w:val="FF0000"/>
        </w:rPr>
        <w:t xml:space="preserve"> </w:t>
      </w:r>
      <w:r w:rsidRPr="005F1629">
        <w:rPr>
          <w:rFonts w:asciiTheme="minorHAnsi" w:hAnsiTheme="minorHAnsi" w:cs="Arial"/>
        </w:rPr>
        <w:t>Plánovaný absolutní počet pojištěnců k 31. 12. 2014</w:t>
      </w:r>
      <w:r w:rsidRPr="005F1629">
        <w:rPr>
          <w:rFonts w:asciiTheme="minorHAnsi" w:hAnsiTheme="minorHAnsi" w:cs="Arial"/>
          <w:color w:val="FF0000"/>
        </w:rPr>
        <w:t xml:space="preserve"> </w:t>
      </w:r>
      <w:r w:rsidRPr="005F1629">
        <w:rPr>
          <w:rFonts w:asciiTheme="minorHAnsi" w:hAnsiTheme="minorHAnsi" w:cs="Arial"/>
        </w:rPr>
        <w:t>činí 140 000 pojištěnců s meziročním nárůstem o 1,6 % (tj. o 2 240 pojištěnců).</w:t>
      </w:r>
      <w:r w:rsidRPr="005F1629">
        <w:rPr>
          <w:rFonts w:asciiTheme="minorHAnsi" w:hAnsiTheme="minorHAnsi" w:cs="Arial"/>
          <w:color w:val="FF0000"/>
        </w:rPr>
        <w:t xml:space="preserve"> </w:t>
      </w:r>
      <w:r w:rsidRPr="005F1629">
        <w:rPr>
          <w:rFonts w:asciiTheme="minorHAnsi" w:hAnsiTheme="minorHAnsi" w:cs="Arial"/>
        </w:rPr>
        <w:t>Na jednoho zaměstnance připadá v průměru</w:t>
      </w:r>
      <w:r w:rsidRPr="005F1629">
        <w:rPr>
          <w:rFonts w:asciiTheme="minorHAnsi" w:hAnsiTheme="minorHAnsi" w:cs="Arial"/>
          <w:color w:val="FF0000"/>
        </w:rPr>
        <w:t xml:space="preserve"> </w:t>
      </w:r>
      <w:r w:rsidRPr="005F1629">
        <w:rPr>
          <w:rFonts w:asciiTheme="minorHAnsi" w:hAnsiTheme="minorHAnsi" w:cs="Arial"/>
        </w:rPr>
        <w:t>1 702 pojištěnců, což je meziročně více o 23 pojištěnců.</w:t>
      </w:r>
    </w:p>
    <w:p w:rsidR="004B7948" w:rsidRPr="005F1629" w:rsidRDefault="004B7948" w:rsidP="004B7948">
      <w:pPr>
        <w:rPr>
          <w:rFonts w:asciiTheme="minorHAnsi" w:hAnsiTheme="minorHAnsi" w:cs="Arial"/>
          <w:b/>
          <w:i/>
          <w:color w:val="FF0000"/>
          <w:u w:val="single"/>
        </w:rPr>
      </w:pPr>
    </w:p>
    <w:p w:rsidR="004B7948" w:rsidRPr="005F1629" w:rsidRDefault="00553365" w:rsidP="00553365">
      <w:pPr>
        <w:rPr>
          <w:rFonts w:asciiTheme="minorHAnsi" w:hAnsiTheme="minorHAnsi" w:cs="Arial"/>
          <w:b/>
          <w:i/>
          <w:u w:val="single"/>
        </w:rPr>
      </w:pPr>
      <w:r w:rsidRPr="005F1629">
        <w:rPr>
          <w:rFonts w:asciiTheme="minorHAnsi" w:hAnsiTheme="minorHAnsi" w:cs="Arial"/>
          <w:b/>
          <w:i/>
          <w:u w:val="single"/>
        </w:rPr>
        <w:t>Plánované ukazatele</w:t>
      </w:r>
      <w:r w:rsidR="004B7948" w:rsidRPr="005F1629">
        <w:rPr>
          <w:rFonts w:asciiTheme="minorHAnsi" w:hAnsiTheme="minorHAnsi" w:cs="Arial"/>
          <w:b/>
          <w:i/>
          <w:u w:val="single"/>
        </w:rPr>
        <w:t xml:space="preserve"> na rok 2014 </w:t>
      </w:r>
    </w:p>
    <w:p w:rsidR="004B7948" w:rsidRPr="005F1629" w:rsidRDefault="004B7948" w:rsidP="00553365">
      <w:pPr>
        <w:rPr>
          <w:rFonts w:asciiTheme="minorHAnsi" w:hAnsiTheme="minorHAnsi" w:cs="Arial"/>
          <w:b/>
          <w:i/>
          <w:u w:val="single"/>
        </w:rPr>
      </w:pPr>
    </w:p>
    <w:p w:rsidR="004B7948"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Příjmy celkem včetně zdaňovaných</w:t>
      </w:r>
      <w:r w:rsidRPr="005F1629">
        <w:rPr>
          <w:rFonts w:asciiTheme="minorHAnsi" w:hAnsiTheme="minorHAnsi" w:cs="Arial"/>
          <w:sz w:val="24"/>
          <w:szCs w:val="24"/>
        </w:rPr>
        <w:t xml:space="preserve"> jsou odhadovány ve výši 3 035 777 tis. Kč s meziročním nárůstem o 3,3 %. Tyto plánované příjmy pokrývají plánované výdaje celkem včetně zdaňovaných z 97,7 %. </w:t>
      </w:r>
      <w:r w:rsidRPr="005F1629">
        <w:rPr>
          <w:rFonts w:asciiTheme="minorHAnsi" w:hAnsiTheme="minorHAnsi" w:cs="Arial"/>
          <w:b/>
          <w:sz w:val="24"/>
          <w:szCs w:val="24"/>
        </w:rPr>
        <w:t xml:space="preserve">Příjmy z pojistného po přerozdělování </w:t>
      </w:r>
      <w:r w:rsidRPr="005F1629">
        <w:rPr>
          <w:rFonts w:asciiTheme="minorHAnsi" w:hAnsiTheme="minorHAnsi" w:cs="Arial"/>
          <w:sz w:val="24"/>
          <w:szCs w:val="24"/>
        </w:rPr>
        <w:t>jsou plánovány ve výši</w:t>
      </w:r>
      <w:r w:rsidRPr="005F1629">
        <w:rPr>
          <w:rFonts w:asciiTheme="minorHAnsi" w:hAnsiTheme="minorHAnsi" w:cs="Arial"/>
          <w:b/>
          <w:sz w:val="24"/>
          <w:szCs w:val="24"/>
        </w:rPr>
        <w:t xml:space="preserve"> </w:t>
      </w:r>
      <w:r w:rsidRPr="005F1629">
        <w:rPr>
          <w:rFonts w:asciiTheme="minorHAnsi" w:hAnsiTheme="minorHAnsi" w:cs="Arial"/>
          <w:sz w:val="24"/>
          <w:szCs w:val="24"/>
        </w:rPr>
        <w:t>3 015 000 tis.</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Kč s meziročním nárůstem o 3,5 %,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v tom </w:t>
      </w:r>
      <w:r w:rsidRPr="005F1629">
        <w:rPr>
          <w:rFonts w:asciiTheme="minorHAnsi" w:hAnsiTheme="minorHAnsi" w:cs="Arial"/>
          <w:b/>
          <w:sz w:val="24"/>
          <w:szCs w:val="24"/>
        </w:rPr>
        <w:t>příjmy z vlastního výběru pojistného</w:t>
      </w:r>
      <w:r w:rsidRPr="005F1629">
        <w:rPr>
          <w:rFonts w:asciiTheme="minorHAnsi" w:hAnsiTheme="minorHAnsi" w:cs="Arial"/>
          <w:sz w:val="24"/>
          <w:szCs w:val="24"/>
        </w:rPr>
        <w:t xml:space="preserve"> činí 2 933 000 tis. Kč</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s meziročním nárůstem o 2,2 % a peněžní prostředky</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plynoucí ZPŠ z přerozdělování v systému v. z. p. jsou odhadovány ve výši</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82 000 tis. Kč s meziročním nárůstem o 100 %.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Odhad této meziroční změny je ovlivněn zejména zvýšením platby státu při očekávaném zvýšení počtu pojištěnců ZPŠ, za které je plátcem pojistného stát. </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Průměrný příjem pojistného po přerozdělování na jednoho pojištěnce činí</w:t>
      </w:r>
      <w:r w:rsidRPr="005F1629">
        <w:rPr>
          <w:rFonts w:asciiTheme="minorHAnsi" w:hAnsiTheme="minorHAnsi" w:cs="Arial"/>
          <w:b/>
          <w:color w:val="FF0000"/>
          <w:sz w:val="24"/>
          <w:szCs w:val="24"/>
        </w:rPr>
        <w:t xml:space="preserve">  </w:t>
      </w:r>
      <w:r w:rsidRPr="005F1629">
        <w:rPr>
          <w:rFonts w:asciiTheme="minorHAnsi" w:hAnsiTheme="minorHAnsi" w:cs="Arial"/>
          <w:sz w:val="24"/>
          <w:szCs w:val="24"/>
        </w:rPr>
        <w:t>21 602 Kč s meziročním nárůstem o 2,1 %.</w:t>
      </w:r>
    </w:p>
    <w:p w:rsidR="004B7948"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Výdaje celkem včetně zdaňovaných</w:t>
      </w:r>
      <w:r w:rsidRPr="005F1629">
        <w:rPr>
          <w:rFonts w:asciiTheme="minorHAnsi" w:hAnsiTheme="minorHAnsi" w:cs="Arial"/>
          <w:sz w:val="24"/>
          <w:szCs w:val="24"/>
        </w:rPr>
        <w:t xml:space="preserve"> se plánují v částce 3 108 079 tis. Kč s  meziročním nárůstem o</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4,5 %.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Z toho největší podíl 95,6 % tvoří</w:t>
      </w:r>
      <w:r w:rsidRPr="005F1629">
        <w:rPr>
          <w:rFonts w:asciiTheme="minorHAnsi" w:hAnsiTheme="minorHAnsi" w:cs="Arial"/>
          <w:b/>
          <w:color w:val="FF0000"/>
          <w:sz w:val="24"/>
          <w:szCs w:val="24"/>
        </w:rPr>
        <w:t xml:space="preserve"> </w:t>
      </w:r>
      <w:r w:rsidRPr="005F1629">
        <w:rPr>
          <w:rFonts w:asciiTheme="minorHAnsi" w:hAnsiTheme="minorHAnsi" w:cs="Arial"/>
          <w:b/>
          <w:sz w:val="24"/>
          <w:szCs w:val="24"/>
        </w:rPr>
        <w:t>výdaje na zdravotní služby hrazené</w:t>
      </w:r>
      <w:r w:rsidRPr="005F1629">
        <w:rPr>
          <w:rFonts w:asciiTheme="minorHAnsi" w:hAnsiTheme="minorHAnsi" w:cs="Arial"/>
          <w:sz w:val="24"/>
          <w:szCs w:val="24"/>
        </w:rPr>
        <w:t xml:space="preserve"> </w:t>
      </w:r>
      <w:r w:rsidRPr="005F1629">
        <w:rPr>
          <w:rFonts w:asciiTheme="minorHAnsi" w:hAnsiTheme="minorHAnsi" w:cs="Arial"/>
          <w:b/>
          <w:sz w:val="24"/>
          <w:szCs w:val="24"/>
        </w:rPr>
        <w:t>ze ZFZP</w:t>
      </w:r>
      <w:r w:rsidRPr="005F1629">
        <w:rPr>
          <w:rFonts w:asciiTheme="minorHAnsi" w:hAnsiTheme="minorHAnsi" w:cs="Arial"/>
          <w:sz w:val="24"/>
          <w:szCs w:val="24"/>
        </w:rPr>
        <w:t xml:space="preserve"> ve výši 2 970 000 tis. Kč s  meziročním nárůstem o</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4,2 %,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kterým se naplňují záměry smluvní politiky ZPŠ pro rok 2014. (</w:t>
      </w:r>
      <w:r w:rsidRPr="005F1629">
        <w:rPr>
          <w:rFonts w:asciiTheme="minorHAnsi" w:hAnsiTheme="minorHAnsi" w:cs="Arial"/>
          <w:b/>
          <w:sz w:val="24"/>
          <w:szCs w:val="24"/>
        </w:rPr>
        <w:t>Výdaje na zdravotní služby na 1 pojištěnce ze ZFZP</w:t>
      </w:r>
      <w:r w:rsidRPr="005F1629">
        <w:rPr>
          <w:rFonts w:asciiTheme="minorHAnsi" w:hAnsiTheme="minorHAnsi" w:cs="Arial"/>
          <w:sz w:val="24"/>
          <w:szCs w:val="24"/>
        </w:rPr>
        <w:t xml:space="preserve"> činí 21 280 Kč s meziročním nárůstem o 2,8 %). </w:t>
      </w:r>
      <w:r w:rsidRPr="005F1629">
        <w:rPr>
          <w:rFonts w:asciiTheme="minorHAnsi" w:hAnsiTheme="minorHAnsi" w:cs="Arial"/>
          <w:b/>
          <w:sz w:val="24"/>
          <w:szCs w:val="24"/>
        </w:rPr>
        <w:t xml:space="preserve">Výdaje na zdravotní služby hrazené z Fprev </w:t>
      </w:r>
      <w:r w:rsidRPr="005F1629">
        <w:rPr>
          <w:rFonts w:asciiTheme="minorHAnsi" w:hAnsiTheme="minorHAnsi" w:cs="Arial"/>
          <w:sz w:val="24"/>
          <w:szCs w:val="24"/>
        </w:rPr>
        <w:t>ve výši 27 000 tis. Kč vykazují  meziroční</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nárůst</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o 26,2 %.</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lastRenderedPageBreak/>
        <w:t>Výdaje  PF</w:t>
      </w:r>
      <w:r w:rsidRPr="005F1629">
        <w:rPr>
          <w:rFonts w:asciiTheme="minorHAnsi" w:hAnsiTheme="minorHAnsi" w:cs="Arial"/>
          <w:sz w:val="24"/>
          <w:szCs w:val="24"/>
        </w:rPr>
        <w:t xml:space="preserve"> se plánují ve výši</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103 887 tis. Kč s meziročním nárůstem o 5,8 %. Z toho však výdaje na běžné provozní činnosti 93 830 tis. Kč rostou o 5,3 %.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V roce 2014 bude zčásti použito k pokrytí provozních nákladů rezerv z minulých let.</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Příděl ze ZFZP do PF</w:t>
      </w:r>
      <w:r w:rsidRPr="005F1629">
        <w:rPr>
          <w:rFonts w:asciiTheme="minorHAnsi" w:hAnsiTheme="minorHAnsi" w:cs="Arial"/>
          <w:b/>
          <w:sz w:val="24"/>
          <w:szCs w:val="24"/>
        </w:rPr>
        <w:t xml:space="preserve"> </w:t>
      </w:r>
      <w:r w:rsidRPr="005F1629">
        <w:rPr>
          <w:rFonts w:asciiTheme="minorHAnsi" w:hAnsiTheme="minorHAnsi" w:cs="Arial"/>
          <w:sz w:val="24"/>
          <w:szCs w:val="24"/>
        </w:rPr>
        <w:t>je plánován</w:t>
      </w:r>
      <w:r w:rsidRPr="005F1629">
        <w:rPr>
          <w:rFonts w:asciiTheme="minorHAnsi" w:hAnsiTheme="minorHAnsi" w:cs="Arial"/>
          <w:b/>
          <w:sz w:val="24"/>
          <w:szCs w:val="24"/>
        </w:rPr>
        <w:t xml:space="preserve"> </w:t>
      </w:r>
      <w:r w:rsidRPr="005F1629">
        <w:rPr>
          <w:rFonts w:asciiTheme="minorHAnsi" w:hAnsiTheme="minorHAnsi" w:cs="Arial"/>
          <w:sz w:val="24"/>
          <w:szCs w:val="24"/>
        </w:rPr>
        <w:t>ve výši plného využití</w:t>
      </w:r>
      <w:r w:rsidRPr="005F1629">
        <w:rPr>
          <w:rFonts w:asciiTheme="minorHAnsi" w:hAnsiTheme="minorHAnsi" w:cs="Arial"/>
          <w:b/>
          <w:sz w:val="24"/>
          <w:szCs w:val="24"/>
        </w:rPr>
        <w:t xml:space="preserve"> maximálního limitu nákladů na činnost zdravotní pojišťovny</w:t>
      </w:r>
      <w:r w:rsidRPr="005F1629">
        <w:rPr>
          <w:rFonts w:asciiTheme="minorHAnsi" w:hAnsiTheme="minorHAnsi" w:cs="Arial"/>
          <w:b/>
          <w:color w:val="FF0000"/>
          <w:sz w:val="24"/>
          <w:szCs w:val="24"/>
        </w:rPr>
        <w:t xml:space="preserve"> </w:t>
      </w:r>
      <w:r w:rsidRPr="005F1629">
        <w:rPr>
          <w:rFonts w:asciiTheme="minorHAnsi" w:hAnsiTheme="minorHAnsi" w:cs="Arial"/>
          <w:b/>
          <w:sz w:val="24"/>
          <w:szCs w:val="24"/>
        </w:rPr>
        <w:t>3,41 %.</w:t>
      </w:r>
      <w:r w:rsidRPr="005F1629">
        <w:rPr>
          <w:rFonts w:asciiTheme="minorHAnsi" w:hAnsiTheme="minorHAnsi" w:cs="Arial"/>
          <w:sz w:val="24"/>
          <w:szCs w:val="24"/>
        </w:rPr>
        <w:t xml:space="preserve"> Plán skutečného přídělu ze ZFZP tak činí</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102 914 tis. Kč s meziročním zvýšením o 3,5 %. Limit převodu z PF do SF je dodržen. </w:t>
      </w:r>
    </w:p>
    <w:p w:rsidR="00553365"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i/>
          <w:sz w:val="24"/>
          <w:szCs w:val="24"/>
        </w:rPr>
        <w:t>S</w:t>
      </w:r>
      <w:r w:rsidRPr="005F1629">
        <w:rPr>
          <w:rFonts w:asciiTheme="minorHAnsi" w:hAnsiTheme="minorHAnsi" w:cs="Arial"/>
          <w:b/>
          <w:sz w:val="24"/>
          <w:szCs w:val="24"/>
        </w:rPr>
        <w:t xml:space="preserve">aldo plánovaných příjmů a výdajů celkem včetně zdaňovaných </w:t>
      </w:r>
      <w:r w:rsidRPr="005F1629">
        <w:rPr>
          <w:rFonts w:asciiTheme="minorHAnsi" w:hAnsiTheme="minorHAnsi" w:cs="Arial"/>
          <w:sz w:val="24"/>
          <w:szCs w:val="24"/>
        </w:rPr>
        <w:t>je záporné ve výši – 72 302 tis. Kč s meziročním nárůstem o 98,9 %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proti očekávanému zápornému saldu v roce 2013 ve výši – 36 345 tis. Kč. Toto saldo bude ZPŠ krýt snížením konečného zůstatku na BÚ ZFZP. </w:t>
      </w:r>
      <w:r w:rsidRPr="005F1629">
        <w:rPr>
          <w:rFonts w:asciiTheme="minorHAnsi" w:hAnsiTheme="minorHAnsi" w:cs="Arial"/>
          <w:b/>
          <w:sz w:val="24"/>
          <w:szCs w:val="24"/>
        </w:rPr>
        <w:t>Saldo plánovaných příjmů z pojistného po přerozdělování a výdajů ZFZP na zdravotní služby</w:t>
      </w:r>
      <w:r w:rsidRPr="005F1629">
        <w:rPr>
          <w:rFonts w:asciiTheme="minorHAnsi" w:hAnsiTheme="minorHAnsi" w:cs="Arial"/>
          <w:sz w:val="24"/>
          <w:szCs w:val="24"/>
        </w:rPr>
        <w:t xml:space="preserve"> vykazuje</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kladnou hodnotu 45 000 tis. Kč, v přepočtu na 1 pojištěnce ve výši 322 Kč se meziročně snižuje o 128 Kč (tj. o 28,4 %).</w:t>
      </w:r>
    </w:p>
    <w:p w:rsidR="004B7948"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Stav pohledávek celkem</w:t>
      </w:r>
      <w:r w:rsidRPr="005F1629">
        <w:rPr>
          <w:rFonts w:asciiTheme="minorHAnsi" w:hAnsiTheme="minorHAnsi" w:cs="Arial"/>
          <w:sz w:val="24"/>
          <w:szCs w:val="24"/>
        </w:rPr>
        <w:t xml:space="preserve"> k  31. 12. 2014 je odhadován ve výši 454 500 tis. Kč s meziročním nárůstem o 1,7 %.</w:t>
      </w:r>
      <w:r w:rsidRPr="005F1629">
        <w:rPr>
          <w:rFonts w:asciiTheme="minorHAnsi" w:hAnsiTheme="minorHAnsi" w:cs="Arial"/>
          <w:color w:val="FF0000"/>
          <w:sz w:val="24"/>
          <w:szCs w:val="24"/>
        </w:rPr>
        <w:t xml:space="preserve"> </w:t>
      </w:r>
      <w:r w:rsidRPr="005F1629">
        <w:rPr>
          <w:rFonts w:asciiTheme="minorHAnsi" w:hAnsiTheme="minorHAnsi" w:cs="Arial"/>
          <w:b/>
          <w:sz w:val="24"/>
          <w:szCs w:val="24"/>
        </w:rPr>
        <w:t>Z toho u pohledávek po lhůtě splatnosti za plátci pojistného</w:t>
      </w:r>
      <w:r w:rsidRPr="005F1629">
        <w:rPr>
          <w:rFonts w:asciiTheme="minorHAnsi" w:hAnsiTheme="minorHAnsi" w:cs="Arial"/>
          <w:sz w:val="24"/>
          <w:szCs w:val="24"/>
        </w:rPr>
        <w:t xml:space="preserve"> ZPŠ odhaduje zvýšení o 1,7 % na 175 000 tis. Kč.</w:t>
      </w:r>
      <w:r w:rsidRPr="005F1629">
        <w:rPr>
          <w:rFonts w:asciiTheme="minorHAnsi" w:hAnsiTheme="minorHAnsi" w:cs="Arial"/>
          <w:color w:val="FF0000"/>
          <w:sz w:val="24"/>
          <w:szCs w:val="24"/>
        </w:rPr>
        <w:t xml:space="preserve"> </w:t>
      </w:r>
      <w:r w:rsidRPr="005F1629">
        <w:rPr>
          <w:rFonts w:asciiTheme="minorHAnsi" w:hAnsiTheme="minorHAnsi" w:cs="Arial"/>
          <w:b/>
          <w:sz w:val="24"/>
          <w:szCs w:val="24"/>
        </w:rPr>
        <w:t>Dohadné položky aktivní</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k 31. 12. 2014 ve výši 10 000 tis. Kč se meziročně nezmění. </w:t>
      </w:r>
      <w:r w:rsidRPr="005F1629">
        <w:rPr>
          <w:rFonts w:asciiTheme="minorHAnsi" w:hAnsiTheme="minorHAnsi" w:cs="Arial"/>
          <w:b/>
          <w:sz w:val="24"/>
          <w:szCs w:val="24"/>
        </w:rPr>
        <w:t>Stav opravných položek</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 pohledávkám dosáhne částky 244 160 tis. Kč s meziročním nárůstem o</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16,7 %.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Odpis pohledáv</w:t>
      </w:r>
      <w:r w:rsidR="00E276B6">
        <w:rPr>
          <w:rFonts w:asciiTheme="minorHAnsi" w:hAnsiTheme="minorHAnsi" w:cs="Arial"/>
          <w:sz w:val="24"/>
          <w:szCs w:val="24"/>
        </w:rPr>
        <w:t>e</w:t>
      </w:r>
      <w:r w:rsidRPr="005F1629">
        <w:rPr>
          <w:rFonts w:asciiTheme="minorHAnsi" w:hAnsiTheme="minorHAnsi" w:cs="Arial"/>
          <w:sz w:val="24"/>
          <w:szCs w:val="24"/>
        </w:rPr>
        <w:t>k ze ZFZP je plánován ve výši 9 000 tis. Kč.</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Stav závazků celkem</w:t>
      </w:r>
      <w:r w:rsidRPr="005F1629">
        <w:rPr>
          <w:rFonts w:asciiTheme="minorHAnsi" w:hAnsiTheme="minorHAnsi" w:cs="Arial"/>
          <w:sz w:val="24"/>
          <w:szCs w:val="24"/>
        </w:rPr>
        <w:t xml:space="preserve"> k 31. 12. 2014 je odhadován ve výši 310 000 tis. Kč s meziročním nárůstem o 7,1 %, v tom </w:t>
      </w:r>
      <w:r w:rsidRPr="005F1629">
        <w:rPr>
          <w:rFonts w:asciiTheme="minorHAnsi" w:hAnsiTheme="minorHAnsi" w:cs="Arial"/>
          <w:b/>
          <w:sz w:val="24"/>
          <w:szCs w:val="24"/>
        </w:rPr>
        <w:t>závazky ve lhůtě splatnosti</w:t>
      </w:r>
      <w:r w:rsidRPr="005F1629">
        <w:rPr>
          <w:rFonts w:asciiTheme="minorHAnsi" w:hAnsiTheme="minorHAnsi" w:cs="Arial"/>
          <w:sz w:val="24"/>
          <w:szCs w:val="24"/>
        </w:rPr>
        <w:t xml:space="preserve"> vůči poskytovatelům zdravotních služeb představují</w:t>
      </w:r>
      <w:r w:rsidRPr="005F1629">
        <w:rPr>
          <w:rFonts w:asciiTheme="minorHAnsi" w:hAnsiTheme="minorHAnsi"/>
          <w:sz w:val="24"/>
          <w:szCs w:val="24"/>
        </w:rPr>
        <w:t xml:space="preserve"> </w:t>
      </w:r>
      <w:r w:rsidRPr="005F1629">
        <w:rPr>
          <w:rFonts w:asciiTheme="minorHAnsi" w:hAnsiTheme="minorHAnsi" w:cs="Arial"/>
          <w:sz w:val="24"/>
          <w:szCs w:val="24"/>
        </w:rPr>
        <w:t>300 000 tis. Kč (tj. meziroční nárůst o 7,1 %) a ostatní závazky 10 000 tis. Kč (nárůst o 5,3 %).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ZPŠ</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nepočítá na konci roku 2014 se vznikem</w:t>
      </w:r>
      <w:r w:rsidRPr="005F1629">
        <w:rPr>
          <w:rFonts w:asciiTheme="minorHAnsi" w:hAnsiTheme="minorHAnsi" w:cs="Arial"/>
          <w:b/>
          <w:sz w:val="24"/>
          <w:szCs w:val="24"/>
        </w:rPr>
        <w:t xml:space="preserve"> závazků po lhůtě splatnosti vůči poskytovatelům zdravotních služeb</w:t>
      </w:r>
      <w:r w:rsidRPr="005F1629">
        <w:rPr>
          <w:rFonts w:asciiTheme="minorHAnsi" w:hAnsiTheme="minorHAnsi" w:cs="Arial"/>
          <w:sz w:val="24"/>
          <w:szCs w:val="24"/>
        </w:rPr>
        <w:t xml:space="preserve">. </w:t>
      </w:r>
      <w:r w:rsidRPr="005F1629">
        <w:rPr>
          <w:rFonts w:asciiTheme="minorHAnsi" w:hAnsiTheme="minorHAnsi" w:cs="Arial"/>
          <w:b/>
          <w:sz w:val="24"/>
          <w:szCs w:val="24"/>
        </w:rPr>
        <w:t>Dohadné položky pasivní</w:t>
      </w:r>
      <w:r w:rsidRPr="005F1629">
        <w:rPr>
          <w:rFonts w:asciiTheme="minorHAnsi" w:hAnsiTheme="minorHAnsi" w:cs="Arial"/>
          <w:b/>
          <w:color w:val="FF0000"/>
          <w:sz w:val="24"/>
          <w:szCs w:val="24"/>
        </w:rPr>
        <w:t xml:space="preserve"> </w:t>
      </w:r>
      <w:r w:rsidRPr="005F1629">
        <w:rPr>
          <w:rFonts w:asciiTheme="minorHAnsi" w:hAnsiTheme="minorHAnsi" w:cs="Arial"/>
          <w:sz w:val="24"/>
          <w:szCs w:val="24"/>
        </w:rPr>
        <w:t xml:space="preserve">ve výši 65 000 tis. Kč se meziročně zvýší o 8,3 %. </w:t>
      </w:r>
    </w:p>
    <w:p w:rsidR="004B7948"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 xml:space="preserve">Stav peněžních prostředků na všech BÚ fondů </w:t>
      </w:r>
      <w:r w:rsidRPr="005F1629">
        <w:rPr>
          <w:rFonts w:asciiTheme="minorHAnsi" w:hAnsiTheme="minorHAnsi" w:cs="Arial"/>
          <w:sz w:val="24"/>
          <w:szCs w:val="24"/>
        </w:rPr>
        <w:t xml:space="preserve">k  31. 12. 2014 je odhadován ve výši 426 315 tis. Kč s meziročním poklesem o 14,5 % (tj. o 72 233 tis. Kč).  Zůstatek na BÚ ZFZP k 31. 12. 2014 ve výši 210 303 tis. Kč se meziročně snižuje o 23,6 % očekávaného zůstatku na konci roku 2013 (snížení o 65 020 tis. Kč). Limit RF bude naplněn peněžním zůstatkem k 31. 12. 2014 ve výši 43 457 tis. Kč. </w:t>
      </w:r>
    </w:p>
    <w:p w:rsidR="004B7948" w:rsidRPr="005F1629" w:rsidRDefault="004B7948" w:rsidP="00553365">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sz w:val="24"/>
          <w:szCs w:val="24"/>
        </w:rPr>
        <w:t xml:space="preserve">ZPŠ není zatížena splátkami úvěrů ani návratné finanční výpomoci a neplánuje jejich přijetí ani v roce 2014. </w:t>
      </w:r>
    </w:p>
    <w:p w:rsidR="004B7948"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 xml:space="preserve">Ostatní zdaňovaná činnost </w:t>
      </w:r>
      <w:r w:rsidRPr="005F1629">
        <w:rPr>
          <w:rFonts w:asciiTheme="minorHAnsi" w:hAnsiTheme="minorHAnsi" w:cs="Arial"/>
          <w:sz w:val="24"/>
          <w:szCs w:val="24"/>
        </w:rPr>
        <w:t xml:space="preserve">představuje pronájem volné budovy ZPŠ a zprostředkování komerčního pojištění na léčebné výlohy při cestách do zahraničí. Její výnosy jsou plánovány ve výši 1 171 tis. Kč (tj. meziroční nárůst o 2,3 %) a náklady ve výši 960 tis. Kč (tj. meziroční nárůst o 1,1 %). Odhadovaný hospodářský výsledek před zdaněním 211 tis. Kč tak meziročně stoupá o 8,2 %. </w:t>
      </w:r>
    </w:p>
    <w:p w:rsidR="004B7948" w:rsidRPr="005F1629" w:rsidRDefault="004B7948" w:rsidP="00553365">
      <w:pPr>
        <w:pStyle w:val="Odstavecseseznamem"/>
        <w:numPr>
          <w:ilvl w:val="0"/>
          <w:numId w:val="26"/>
        </w:numPr>
        <w:suppressAutoHyphens/>
        <w:spacing w:after="0" w:line="240" w:lineRule="auto"/>
        <w:ind w:left="330" w:hanging="330"/>
        <w:contextualSpacing w:val="0"/>
        <w:jc w:val="both"/>
        <w:rPr>
          <w:rFonts w:asciiTheme="minorHAnsi" w:hAnsiTheme="minorHAnsi" w:cs="Arial"/>
          <w:b/>
          <w:sz w:val="24"/>
          <w:szCs w:val="24"/>
        </w:rPr>
      </w:pPr>
      <w:r w:rsidRPr="005F1629">
        <w:rPr>
          <w:rFonts w:asciiTheme="minorHAnsi" w:hAnsiTheme="minorHAnsi" w:cs="Arial"/>
          <w:b/>
          <w:sz w:val="24"/>
          <w:szCs w:val="24"/>
        </w:rPr>
        <w:t>Specifické informace</w:t>
      </w:r>
    </w:p>
    <w:p w:rsidR="004B7948" w:rsidRPr="005F1629" w:rsidRDefault="004B7948" w:rsidP="00553365">
      <w:pPr>
        <w:pStyle w:val="Odstavecseseznamem"/>
        <w:spacing w:line="240" w:lineRule="auto"/>
        <w:ind w:left="378"/>
        <w:jc w:val="both"/>
        <w:rPr>
          <w:rFonts w:asciiTheme="minorHAnsi" w:hAnsiTheme="minorHAnsi" w:cs="Arial"/>
          <w:sz w:val="24"/>
          <w:szCs w:val="24"/>
        </w:rPr>
      </w:pPr>
      <w:r w:rsidRPr="005F1629">
        <w:rPr>
          <w:rFonts w:asciiTheme="minorHAnsi" w:hAnsiTheme="minorHAnsi" w:cs="Arial"/>
          <w:sz w:val="24"/>
          <w:szCs w:val="24"/>
        </w:rPr>
        <w:t xml:space="preserve">Založení dceřiné společnosti, nadačního fondu nebo jiné účasti v cizí společnosti ZPŠ dosud nerealizovala a ani neplánuje rozšíření své činnosti tímto směrem. </w:t>
      </w:r>
    </w:p>
    <w:p w:rsidR="004B7948" w:rsidRPr="005F1629" w:rsidRDefault="00553365" w:rsidP="00553365">
      <w:pPr>
        <w:pStyle w:val="Odstavecseseznamem"/>
        <w:spacing w:line="240" w:lineRule="auto"/>
        <w:ind w:left="378"/>
        <w:jc w:val="both"/>
        <w:rPr>
          <w:rFonts w:asciiTheme="minorHAnsi" w:hAnsiTheme="minorHAnsi" w:cs="Arial"/>
          <w:sz w:val="24"/>
          <w:szCs w:val="24"/>
        </w:rPr>
      </w:pPr>
      <w:r w:rsidRPr="005F1629">
        <w:rPr>
          <w:rFonts w:asciiTheme="minorHAnsi" w:hAnsiTheme="minorHAnsi" w:cs="Arial"/>
          <w:sz w:val="24"/>
          <w:szCs w:val="24"/>
        </w:rPr>
        <w:t xml:space="preserve">ZPŠ nevytváří specifické fondy, </w:t>
      </w:r>
      <w:r w:rsidR="004B7948" w:rsidRPr="005F1629">
        <w:rPr>
          <w:rFonts w:asciiTheme="minorHAnsi" w:hAnsiTheme="minorHAnsi" w:cs="Arial"/>
          <w:sz w:val="24"/>
          <w:szCs w:val="24"/>
        </w:rPr>
        <w:t>nevlastní cenné papíry ani není jejich nákup plánován.</w:t>
      </w:r>
    </w:p>
    <w:p w:rsidR="004B7948" w:rsidRDefault="004B7948" w:rsidP="00553365">
      <w:pPr>
        <w:pStyle w:val="Odstavecseseznamem"/>
        <w:spacing w:line="240" w:lineRule="auto"/>
        <w:ind w:left="378"/>
        <w:jc w:val="both"/>
        <w:rPr>
          <w:rFonts w:asciiTheme="minorHAnsi" w:hAnsiTheme="minorHAnsi" w:cs="Arial"/>
          <w:sz w:val="24"/>
          <w:szCs w:val="24"/>
        </w:rPr>
      </w:pPr>
      <w:r w:rsidRPr="005F1629">
        <w:rPr>
          <w:rFonts w:asciiTheme="minorHAnsi" w:hAnsiTheme="minorHAnsi" w:cs="Arial"/>
          <w:sz w:val="24"/>
          <w:szCs w:val="24"/>
        </w:rPr>
        <w:t>Jedním ze základních cílů ZPŠ je rozvoj moderních komunikačních technologií. Od podzimu 2012 je zprovozněn projekt „Karta mého srdce“, jehož základem je individuální účet pojištěnce. Tento portál ZPŠ dále rozšiřuje o modul komunikace se záchrannou službou. ZPŠ jako první zdravotní pojišťovna nastartovala komunikaci s centrálním úložištěm elektronických receptů.</w:t>
      </w:r>
    </w:p>
    <w:p w:rsidR="00537B8A" w:rsidRPr="005F1629" w:rsidRDefault="00537B8A" w:rsidP="00553365">
      <w:pPr>
        <w:pStyle w:val="Odstavecseseznamem"/>
        <w:spacing w:line="240" w:lineRule="auto"/>
        <w:ind w:left="378"/>
        <w:jc w:val="both"/>
        <w:rPr>
          <w:rFonts w:asciiTheme="minorHAnsi" w:hAnsiTheme="minorHAnsi" w:cs="Arial"/>
          <w:sz w:val="24"/>
          <w:szCs w:val="24"/>
        </w:rPr>
      </w:pPr>
    </w:p>
    <w:p w:rsidR="0095701D" w:rsidRPr="005F1629" w:rsidRDefault="00DA2DE9" w:rsidP="0095701D">
      <w:pPr>
        <w:jc w:val="both"/>
        <w:rPr>
          <w:rFonts w:asciiTheme="minorHAnsi" w:hAnsiTheme="minorHAnsi" w:cs="Arial"/>
          <w:b/>
          <w:sz w:val="28"/>
          <w:szCs w:val="28"/>
          <w:u w:val="single"/>
        </w:rPr>
      </w:pPr>
      <w:r w:rsidRPr="005F1629">
        <w:rPr>
          <w:rFonts w:asciiTheme="minorHAnsi" w:hAnsiTheme="minorHAnsi" w:cs="Arial"/>
          <w:b/>
          <w:sz w:val="28"/>
          <w:szCs w:val="28"/>
          <w:u w:val="single"/>
        </w:rPr>
        <w:lastRenderedPageBreak/>
        <w:t xml:space="preserve">Hodnocení </w:t>
      </w:r>
      <w:r w:rsidR="004B7948" w:rsidRPr="005F1629">
        <w:rPr>
          <w:rFonts w:asciiTheme="minorHAnsi" w:hAnsiTheme="minorHAnsi" w:cs="Arial"/>
          <w:b/>
          <w:sz w:val="28"/>
          <w:szCs w:val="28"/>
          <w:u w:val="single"/>
        </w:rPr>
        <w:t>zdravotní</w:t>
      </w:r>
    </w:p>
    <w:p w:rsidR="0095701D" w:rsidRPr="005F1629" w:rsidRDefault="0095701D" w:rsidP="00FF3D89">
      <w:pPr>
        <w:jc w:val="both"/>
        <w:rPr>
          <w:rFonts w:asciiTheme="minorHAnsi" w:hAnsiTheme="minorHAnsi" w:cs="Arial"/>
          <w:i/>
          <w:sz w:val="20"/>
          <w:szCs w:val="20"/>
        </w:rPr>
      </w:pPr>
      <w:r w:rsidRPr="005F1629">
        <w:rPr>
          <w:rFonts w:asciiTheme="minorHAnsi" w:hAnsiTheme="minorHAnsi" w:cs="Arial"/>
          <w:i/>
          <w:sz w:val="20"/>
          <w:szCs w:val="20"/>
        </w:rPr>
        <w:t>(použité číselné údaje jsou obsaženy v příloze, v tabulkách č. 4, 4a), 4b), 4c), příp. ve ZPP 201</w:t>
      </w:r>
      <w:r w:rsidR="003D45F8" w:rsidRPr="005F1629">
        <w:rPr>
          <w:rFonts w:asciiTheme="minorHAnsi" w:hAnsiTheme="minorHAnsi" w:cs="Arial"/>
          <w:i/>
          <w:sz w:val="20"/>
          <w:szCs w:val="20"/>
        </w:rPr>
        <w:t>4</w:t>
      </w:r>
    </w:p>
    <w:p w:rsidR="00FF3D89" w:rsidRPr="005F1629" w:rsidRDefault="00FF3D89" w:rsidP="00B8004F">
      <w:pPr>
        <w:ind w:firstLine="357"/>
        <w:jc w:val="both"/>
        <w:rPr>
          <w:rFonts w:asciiTheme="minorHAnsi" w:hAnsiTheme="minorHAnsi" w:cs="Arial"/>
          <w:i/>
          <w:sz w:val="20"/>
          <w:szCs w:val="20"/>
        </w:rPr>
      </w:pPr>
    </w:p>
    <w:p w:rsidR="001B4253" w:rsidRPr="005F1629" w:rsidRDefault="00033CFD" w:rsidP="00B8004F">
      <w:pPr>
        <w:pStyle w:val="Zkladntext"/>
        <w:spacing w:after="0"/>
        <w:ind w:firstLine="357"/>
        <w:jc w:val="both"/>
        <w:rPr>
          <w:rFonts w:asciiTheme="minorHAnsi" w:hAnsiTheme="minorHAnsi" w:cs="Arial"/>
          <w:sz w:val="24"/>
        </w:rPr>
      </w:pPr>
      <w:r w:rsidRPr="005F1629">
        <w:rPr>
          <w:rFonts w:asciiTheme="minorHAnsi" w:hAnsiTheme="minorHAnsi" w:cs="Arial"/>
          <w:sz w:val="24"/>
        </w:rPr>
        <w:t xml:space="preserve">V roce 2014 zaměří ZPŠ svoji </w:t>
      </w:r>
      <w:r w:rsidRPr="005F1629">
        <w:rPr>
          <w:rFonts w:asciiTheme="minorHAnsi" w:hAnsiTheme="minorHAnsi" w:cs="Arial"/>
          <w:b/>
          <w:sz w:val="24"/>
        </w:rPr>
        <w:t>smluvní politiku</w:t>
      </w:r>
      <w:r w:rsidRPr="005F1629">
        <w:rPr>
          <w:rFonts w:asciiTheme="minorHAnsi" w:hAnsiTheme="minorHAnsi" w:cs="Arial"/>
          <w:sz w:val="24"/>
        </w:rPr>
        <w:t xml:space="preserve"> především na sledování dostupnosti zdravotních služeb dle platného nařízení vlády ČR ze dne 29. 8. 2012, které nabylo účinnosti dne 1. 1. 2013. </w:t>
      </w:r>
      <w:r w:rsidR="001B4253" w:rsidRPr="005F1629">
        <w:rPr>
          <w:rFonts w:asciiTheme="minorHAnsi" w:hAnsiTheme="minorHAnsi" w:cs="Arial"/>
          <w:sz w:val="24"/>
        </w:rPr>
        <w:t>Mezi další úkoly bude zahrnuto sledování kvalitativních a kvantitativních parametrů hrazených služe</w:t>
      </w:r>
      <w:r w:rsidRPr="005F1629">
        <w:rPr>
          <w:rFonts w:asciiTheme="minorHAnsi" w:hAnsiTheme="minorHAnsi" w:cs="Arial"/>
          <w:sz w:val="24"/>
        </w:rPr>
        <w:t>b.</w:t>
      </w:r>
    </w:p>
    <w:p w:rsidR="00EB6C13" w:rsidRPr="005F1629" w:rsidRDefault="00033CFD" w:rsidP="00B8004F">
      <w:pPr>
        <w:ind w:right="-58" w:firstLine="357"/>
        <w:jc w:val="both"/>
        <w:rPr>
          <w:rFonts w:asciiTheme="minorHAnsi" w:hAnsiTheme="minorHAnsi" w:cs="Arial"/>
        </w:rPr>
      </w:pPr>
      <w:r w:rsidRPr="005F1629">
        <w:rPr>
          <w:rFonts w:asciiTheme="minorHAnsi" w:hAnsiTheme="minorHAnsi" w:cs="Arial"/>
        </w:rPr>
        <w:t>ZPŠ uvádí, že v</w:t>
      </w:r>
      <w:r w:rsidR="00EB6C13" w:rsidRPr="005F1629">
        <w:rPr>
          <w:rFonts w:asciiTheme="minorHAnsi" w:hAnsiTheme="minorHAnsi" w:cs="Arial"/>
        </w:rPr>
        <w:t xml:space="preserve"> regionech působnosti největšího plátce pojistného, firmy ŠKODA AUTO a.s., a v regionech zájmu, kde má ZPŠ v současné době nejvyšší zastoupení pojištěnců, skoro 99,5 % ze všech svých pojištěnců, je téměř </w:t>
      </w:r>
      <w:r w:rsidR="00041BF1" w:rsidRPr="005F1629">
        <w:rPr>
          <w:rFonts w:asciiTheme="minorHAnsi" w:hAnsiTheme="minorHAnsi" w:cs="Arial"/>
        </w:rPr>
        <w:t xml:space="preserve">časově a místně </w:t>
      </w:r>
      <w:r w:rsidR="00EB6C13" w:rsidRPr="005F1629">
        <w:rPr>
          <w:rFonts w:asciiTheme="minorHAnsi" w:hAnsiTheme="minorHAnsi" w:cs="Arial"/>
        </w:rPr>
        <w:t xml:space="preserve">dostupná síť </w:t>
      </w:r>
      <w:r w:rsidR="00041BF1" w:rsidRPr="005F1629">
        <w:rPr>
          <w:rFonts w:asciiTheme="minorHAnsi" w:hAnsiTheme="minorHAnsi" w:cs="Arial"/>
        </w:rPr>
        <w:t xml:space="preserve">PZS </w:t>
      </w:r>
      <w:r w:rsidR="00EB6C13" w:rsidRPr="005F1629">
        <w:rPr>
          <w:rFonts w:asciiTheme="minorHAnsi" w:hAnsiTheme="minorHAnsi" w:cs="Arial"/>
        </w:rPr>
        <w:t>vytvořena. Jedná se konkrétně o Středočeský kraj, Liberecký kraj, Královéhradecký kraj a Pardubický kraj</w:t>
      </w:r>
      <w:r w:rsidR="00F00860" w:rsidRPr="005F1629">
        <w:rPr>
          <w:rFonts w:asciiTheme="minorHAnsi" w:hAnsiTheme="minorHAnsi" w:cs="Arial"/>
        </w:rPr>
        <w:t xml:space="preserve"> </w:t>
      </w:r>
      <w:r w:rsidR="00EB6C13" w:rsidRPr="005F1629">
        <w:rPr>
          <w:rFonts w:asciiTheme="minorHAnsi" w:hAnsiTheme="minorHAnsi" w:cs="Arial"/>
        </w:rPr>
        <w:t xml:space="preserve">a částečně i oblast Prahy. Přesto ZPŠ </w:t>
      </w:r>
      <w:r w:rsidRPr="005F1629">
        <w:rPr>
          <w:rFonts w:asciiTheme="minorHAnsi" w:hAnsiTheme="minorHAnsi" w:cs="Arial"/>
        </w:rPr>
        <w:t xml:space="preserve">bude </w:t>
      </w:r>
      <w:r w:rsidR="00EB6C13" w:rsidRPr="005F1629">
        <w:rPr>
          <w:rFonts w:asciiTheme="minorHAnsi" w:hAnsiTheme="minorHAnsi" w:cs="Arial"/>
        </w:rPr>
        <w:t xml:space="preserve">sledovat dostupnost, </w:t>
      </w:r>
      <w:r w:rsidRPr="005F1629">
        <w:rPr>
          <w:rFonts w:asciiTheme="minorHAnsi" w:hAnsiTheme="minorHAnsi" w:cs="Arial"/>
        </w:rPr>
        <w:t xml:space="preserve">a to zejména v oblasti primární péče a </w:t>
      </w:r>
      <w:r w:rsidR="00FF3D89" w:rsidRPr="005F1629">
        <w:rPr>
          <w:rFonts w:asciiTheme="minorHAnsi" w:hAnsiTheme="minorHAnsi" w:cs="Arial"/>
        </w:rPr>
        <w:t xml:space="preserve">v oblasti </w:t>
      </w:r>
      <w:r w:rsidRPr="005F1629">
        <w:rPr>
          <w:rFonts w:asciiTheme="minorHAnsi" w:hAnsiTheme="minorHAnsi" w:cs="Arial"/>
        </w:rPr>
        <w:t xml:space="preserve">s lůžkovými </w:t>
      </w:r>
      <w:r w:rsidR="008A3731">
        <w:rPr>
          <w:rFonts w:asciiTheme="minorHAnsi" w:hAnsiTheme="minorHAnsi" w:cs="Arial"/>
        </w:rPr>
        <w:t>PZS</w:t>
      </w:r>
      <w:r w:rsidRPr="005F1629">
        <w:rPr>
          <w:rFonts w:asciiTheme="minorHAnsi" w:hAnsiTheme="minorHAnsi" w:cs="Arial"/>
        </w:rPr>
        <w:t>, kteří zabezpečují ambulantní služby v základních oborech jako je interna, chirurgie, gynekologie, dětské apod</w:t>
      </w:r>
      <w:r w:rsidR="00EB6C13" w:rsidRPr="005F1629">
        <w:rPr>
          <w:rFonts w:asciiTheme="minorHAnsi" w:hAnsiTheme="minorHAnsi" w:cs="Arial"/>
        </w:rPr>
        <w:t>.</w:t>
      </w:r>
    </w:p>
    <w:p w:rsidR="001B4253" w:rsidRPr="005F1629" w:rsidRDefault="001B4253" w:rsidP="00B8004F">
      <w:pPr>
        <w:pStyle w:val="Hladktext"/>
        <w:spacing w:line="240" w:lineRule="auto"/>
        <w:ind w:firstLine="357"/>
        <w:rPr>
          <w:rFonts w:asciiTheme="minorHAnsi" w:hAnsiTheme="minorHAnsi" w:cs="Arial"/>
          <w:szCs w:val="24"/>
        </w:rPr>
      </w:pPr>
      <w:r w:rsidRPr="005F1629">
        <w:rPr>
          <w:rFonts w:asciiTheme="minorHAnsi" w:hAnsiTheme="minorHAnsi" w:cs="Arial"/>
          <w:szCs w:val="24"/>
        </w:rPr>
        <w:t>Prioritou ZPŠ bude dotváření sítě lůžkových služeb u </w:t>
      </w:r>
      <w:r w:rsidR="008A3731">
        <w:rPr>
          <w:rFonts w:asciiTheme="minorHAnsi" w:hAnsiTheme="minorHAnsi" w:cs="Arial"/>
          <w:szCs w:val="24"/>
        </w:rPr>
        <w:t>PZS</w:t>
      </w:r>
      <w:r w:rsidRPr="005F1629">
        <w:rPr>
          <w:rFonts w:asciiTheme="minorHAnsi" w:hAnsiTheme="minorHAnsi" w:cs="Arial"/>
          <w:szCs w:val="24"/>
        </w:rPr>
        <w:t xml:space="preserve"> mimo regiony zájmu, kde má ZPŠ sice zanedbatelné zastoupení svých pojištěnců, ale je</w:t>
      </w:r>
      <w:r w:rsidR="00033CFD" w:rsidRPr="005F1629">
        <w:rPr>
          <w:rFonts w:asciiTheme="minorHAnsi" w:hAnsiTheme="minorHAnsi" w:cs="Arial"/>
          <w:szCs w:val="24"/>
        </w:rPr>
        <w:t xml:space="preserve"> povinna dostupnost zabezpečit.</w:t>
      </w:r>
    </w:p>
    <w:p w:rsidR="00033CFD" w:rsidRPr="005F1629" w:rsidRDefault="00A118C6" w:rsidP="00B8004F">
      <w:pPr>
        <w:pStyle w:val="Hladktext"/>
        <w:spacing w:after="120" w:line="240" w:lineRule="auto"/>
        <w:ind w:firstLine="357"/>
        <w:rPr>
          <w:rFonts w:asciiTheme="minorHAnsi" w:hAnsiTheme="minorHAnsi" w:cs="Arial"/>
          <w:szCs w:val="24"/>
        </w:rPr>
      </w:pPr>
      <w:r w:rsidRPr="005F1629">
        <w:rPr>
          <w:rFonts w:asciiTheme="minorHAnsi" w:hAnsiTheme="minorHAnsi" w:cs="Arial"/>
          <w:szCs w:val="24"/>
        </w:rPr>
        <w:t>Z T</w:t>
      </w:r>
      <w:r w:rsidR="005A104B" w:rsidRPr="005F1629">
        <w:rPr>
          <w:rFonts w:asciiTheme="minorHAnsi" w:hAnsiTheme="minorHAnsi" w:cs="Arial"/>
          <w:szCs w:val="24"/>
        </w:rPr>
        <w:t>abulky č. 1 vyplývá, že počet smluvních poskytovatelů v roce 2014 mírně vzroste, zejména kvůli dotváření sítě lůžkových služeb u pos</w:t>
      </w:r>
      <w:r w:rsidRPr="005F1629">
        <w:rPr>
          <w:rFonts w:asciiTheme="minorHAnsi" w:hAnsiTheme="minorHAnsi" w:cs="Arial"/>
          <w:szCs w:val="24"/>
        </w:rPr>
        <w:t xml:space="preserve">kytovatelů mimo regiony zájmu. Počet nasmlouvaných poskytovatelů </w:t>
      </w:r>
      <w:r w:rsidR="005A104B" w:rsidRPr="005F1629">
        <w:rPr>
          <w:rFonts w:asciiTheme="minorHAnsi" w:hAnsiTheme="minorHAnsi" w:cs="Arial"/>
          <w:szCs w:val="24"/>
        </w:rPr>
        <w:t>bude</w:t>
      </w:r>
      <w:r w:rsidRPr="005F1629">
        <w:rPr>
          <w:rFonts w:asciiTheme="minorHAnsi" w:hAnsiTheme="minorHAnsi" w:cs="Arial"/>
          <w:szCs w:val="24"/>
        </w:rPr>
        <w:t xml:space="preserve"> v roce 2014</w:t>
      </w:r>
      <w:r w:rsidR="005A104B" w:rsidRPr="005F1629">
        <w:rPr>
          <w:rFonts w:asciiTheme="minorHAnsi" w:hAnsiTheme="minorHAnsi" w:cs="Arial"/>
          <w:szCs w:val="24"/>
        </w:rPr>
        <w:t xml:space="preserve"> nejvyšší za posledních 5 let.</w:t>
      </w:r>
    </w:p>
    <w:p w:rsidR="00E75549" w:rsidRPr="005F1629" w:rsidRDefault="00E75549" w:rsidP="00E75549">
      <w:pPr>
        <w:pStyle w:val="Zkladntext210"/>
        <w:spacing w:before="120"/>
        <w:rPr>
          <w:rFonts w:asciiTheme="minorHAnsi" w:hAnsiTheme="minorHAnsi" w:cs="Arial"/>
          <w:szCs w:val="24"/>
        </w:rPr>
      </w:pPr>
      <w:r w:rsidRPr="005F1629">
        <w:rPr>
          <w:rFonts w:asciiTheme="minorHAnsi" w:hAnsiTheme="minorHAnsi" w:cs="Arial"/>
          <w:szCs w:val="24"/>
        </w:rPr>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E75549" w:rsidRPr="005F1629" w:rsidTr="00E75549">
        <w:tc>
          <w:tcPr>
            <w:tcW w:w="534" w:type="dxa"/>
            <w:shd w:val="solid" w:color="000080" w:fill="FFFFFF"/>
          </w:tcPr>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w:t>
            </w:r>
            <w:r w:rsidR="005A104B" w:rsidRPr="00EF06C0">
              <w:rPr>
                <w:rFonts w:asciiTheme="minorHAnsi" w:hAnsiTheme="minorHAnsi" w:cs="Arial"/>
                <w:bCs/>
                <w:sz w:val="22"/>
                <w:szCs w:val="22"/>
              </w:rPr>
              <w:t xml:space="preserve"> </w:t>
            </w:r>
            <w:r w:rsidRPr="00EF06C0">
              <w:rPr>
                <w:rFonts w:asciiTheme="minorHAnsi" w:hAnsiTheme="minorHAnsi" w:cs="Arial"/>
                <w:bCs/>
                <w:sz w:val="22"/>
                <w:szCs w:val="22"/>
              </w:rPr>
              <w:t>185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w:t>
            </w:r>
            <w:r w:rsidR="005A104B" w:rsidRPr="00EF06C0">
              <w:rPr>
                <w:rFonts w:asciiTheme="minorHAnsi" w:hAnsiTheme="minorHAnsi" w:cs="Arial"/>
                <w:bCs/>
                <w:sz w:val="22"/>
                <w:szCs w:val="22"/>
              </w:rPr>
              <w:t xml:space="preserve"> </w:t>
            </w:r>
            <w:r w:rsidRPr="00EF06C0">
              <w:rPr>
                <w:rFonts w:asciiTheme="minorHAnsi" w:hAnsiTheme="minorHAnsi" w:cs="Arial"/>
                <w:bCs/>
                <w:sz w:val="22"/>
                <w:szCs w:val="22"/>
              </w:rPr>
              <w:t>431</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3 725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3 572</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3 905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3 949</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 </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 </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525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536</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555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578</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605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610</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317</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325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329</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353</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370</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375</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633</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701</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730</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771</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795</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800</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vAlign w:val="bottom"/>
          </w:tcPr>
          <w:p w:rsidR="00E75549" w:rsidRPr="00EF06C0" w:rsidRDefault="00E75549" w:rsidP="00DE0C41">
            <w:pPr>
              <w:jc w:val="right"/>
              <w:rPr>
                <w:rFonts w:asciiTheme="minorHAnsi" w:hAnsiTheme="minorHAnsi" w:cs="Arial"/>
                <w:sz w:val="22"/>
                <w:szCs w:val="22"/>
              </w:rPr>
            </w:pPr>
            <w:r w:rsidRPr="00EF06C0">
              <w:rPr>
                <w:rFonts w:asciiTheme="minorHAnsi" w:hAnsiTheme="minorHAnsi" w:cs="Arial"/>
                <w:sz w:val="22"/>
                <w:szCs w:val="22"/>
              </w:rPr>
              <w:t>1</w:t>
            </w:r>
            <w:r w:rsidR="005A104B" w:rsidRPr="00EF06C0">
              <w:rPr>
                <w:rFonts w:asciiTheme="minorHAnsi" w:hAnsiTheme="minorHAnsi" w:cs="Arial"/>
                <w:sz w:val="22"/>
                <w:szCs w:val="22"/>
              </w:rPr>
              <w:t xml:space="preserve"> </w:t>
            </w:r>
            <w:r w:rsidRPr="00EF06C0">
              <w:rPr>
                <w:rFonts w:asciiTheme="minorHAnsi" w:hAnsiTheme="minorHAnsi" w:cs="Arial"/>
                <w:sz w:val="22"/>
                <w:szCs w:val="22"/>
              </w:rPr>
              <w:t>710</w:t>
            </w:r>
          </w:p>
        </w:tc>
        <w:tc>
          <w:tcPr>
            <w:tcW w:w="1016" w:type="dxa"/>
            <w:shd w:val="clear" w:color="auto" w:fill="auto"/>
            <w:vAlign w:val="bottom"/>
          </w:tcPr>
          <w:p w:rsidR="00E75549" w:rsidRPr="00EF06C0" w:rsidRDefault="005A104B" w:rsidP="00DE0C41">
            <w:pPr>
              <w:jc w:val="right"/>
              <w:rPr>
                <w:rFonts w:asciiTheme="minorHAnsi" w:hAnsiTheme="minorHAnsi" w:cs="Arial"/>
                <w:sz w:val="22"/>
                <w:szCs w:val="22"/>
              </w:rPr>
            </w:pPr>
            <w:r w:rsidRPr="00EF06C0">
              <w:rPr>
                <w:rFonts w:asciiTheme="minorHAnsi" w:hAnsiTheme="minorHAnsi" w:cs="Arial"/>
                <w:sz w:val="22"/>
                <w:szCs w:val="22"/>
              </w:rPr>
              <w:t xml:space="preserve"> </w:t>
            </w:r>
            <w:r w:rsidR="00E75549" w:rsidRPr="00EF06C0">
              <w:rPr>
                <w:rFonts w:asciiTheme="minorHAnsi" w:hAnsiTheme="minorHAnsi" w:cs="Arial"/>
                <w:sz w:val="22"/>
                <w:szCs w:val="22"/>
              </w:rPr>
              <w:t>1</w:t>
            </w:r>
            <w:r w:rsidRPr="00EF06C0">
              <w:rPr>
                <w:rFonts w:asciiTheme="minorHAnsi" w:hAnsiTheme="minorHAnsi" w:cs="Arial"/>
                <w:sz w:val="22"/>
                <w:szCs w:val="22"/>
              </w:rPr>
              <w:t xml:space="preserve"> </w:t>
            </w:r>
            <w:r w:rsidR="00E75549" w:rsidRPr="00EF06C0">
              <w:rPr>
                <w:rFonts w:asciiTheme="minorHAnsi" w:hAnsiTheme="minorHAnsi" w:cs="Arial"/>
                <w:sz w:val="22"/>
                <w:szCs w:val="22"/>
              </w:rPr>
              <w:t>869</w:t>
            </w:r>
          </w:p>
        </w:tc>
        <w:tc>
          <w:tcPr>
            <w:tcW w:w="1016" w:type="dxa"/>
            <w:shd w:val="clear" w:color="auto" w:fill="auto"/>
            <w:vAlign w:val="bottom"/>
          </w:tcPr>
          <w:p w:rsidR="00E75549" w:rsidRPr="00EF06C0" w:rsidRDefault="00E75549" w:rsidP="00DE0C41">
            <w:pPr>
              <w:jc w:val="right"/>
              <w:rPr>
                <w:rFonts w:asciiTheme="minorHAnsi" w:hAnsiTheme="minorHAnsi" w:cs="Arial"/>
                <w:sz w:val="22"/>
                <w:szCs w:val="22"/>
              </w:rPr>
            </w:pPr>
            <w:r w:rsidRPr="00EF06C0">
              <w:rPr>
                <w:rFonts w:asciiTheme="minorHAnsi" w:hAnsiTheme="minorHAnsi" w:cs="Arial"/>
                <w:sz w:val="22"/>
                <w:szCs w:val="22"/>
              </w:rPr>
              <w:t>2</w:t>
            </w:r>
            <w:r w:rsidR="005A104B" w:rsidRPr="00EF06C0">
              <w:rPr>
                <w:rFonts w:asciiTheme="minorHAnsi" w:hAnsiTheme="minorHAnsi" w:cs="Arial"/>
                <w:sz w:val="22"/>
                <w:szCs w:val="22"/>
              </w:rPr>
              <w:t xml:space="preserve"> </w:t>
            </w:r>
            <w:r w:rsidRPr="00EF06C0">
              <w:rPr>
                <w:rFonts w:asciiTheme="minorHAnsi" w:hAnsiTheme="minorHAnsi" w:cs="Arial"/>
                <w:sz w:val="22"/>
                <w:szCs w:val="22"/>
              </w:rPr>
              <w:t>111</w:t>
            </w:r>
          </w:p>
        </w:tc>
        <w:tc>
          <w:tcPr>
            <w:tcW w:w="1016" w:type="dxa"/>
            <w:shd w:val="clear" w:color="auto" w:fill="auto"/>
            <w:vAlign w:val="bottom"/>
          </w:tcPr>
          <w:p w:rsidR="00E75549" w:rsidRPr="00EF06C0" w:rsidRDefault="00E75549" w:rsidP="00DE0C41">
            <w:pPr>
              <w:jc w:val="right"/>
              <w:rPr>
                <w:rFonts w:asciiTheme="minorHAnsi" w:hAnsiTheme="minorHAnsi" w:cs="Arial"/>
                <w:sz w:val="22"/>
                <w:szCs w:val="22"/>
              </w:rPr>
            </w:pPr>
            <w:r w:rsidRPr="00EF06C0">
              <w:rPr>
                <w:rFonts w:asciiTheme="minorHAnsi" w:hAnsiTheme="minorHAnsi" w:cs="Arial"/>
                <w:sz w:val="22"/>
                <w:szCs w:val="22"/>
              </w:rPr>
              <w:t>1</w:t>
            </w:r>
            <w:r w:rsidR="005A104B" w:rsidRPr="00EF06C0">
              <w:rPr>
                <w:rFonts w:asciiTheme="minorHAnsi" w:hAnsiTheme="minorHAnsi" w:cs="Arial"/>
                <w:sz w:val="22"/>
                <w:szCs w:val="22"/>
              </w:rPr>
              <w:t xml:space="preserve"> </w:t>
            </w:r>
            <w:r w:rsidRPr="00EF06C0">
              <w:rPr>
                <w:rFonts w:asciiTheme="minorHAnsi" w:hAnsiTheme="minorHAnsi" w:cs="Arial"/>
                <w:sz w:val="22"/>
                <w:szCs w:val="22"/>
              </w:rPr>
              <w:t>870</w:t>
            </w:r>
          </w:p>
        </w:tc>
        <w:tc>
          <w:tcPr>
            <w:tcW w:w="1016" w:type="dxa"/>
            <w:shd w:val="clear" w:color="auto" w:fill="auto"/>
            <w:vAlign w:val="bottom"/>
          </w:tcPr>
          <w:p w:rsidR="00E75549" w:rsidRPr="00EF06C0" w:rsidRDefault="00E75549" w:rsidP="00DE0C41">
            <w:pPr>
              <w:jc w:val="right"/>
              <w:rPr>
                <w:rFonts w:asciiTheme="minorHAnsi" w:hAnsiTheme="minorHAnsi" w:cs="Arial"/>
                <w:sz w:val="22"/>
                <w:szCs w:val="22"/>
              </w:rPr>
            </w:pPr>
            <w:r w:rsidRPr="00EF06C0">
              <w:rPr>
                <w:rFonts w:asciiTheme="minorHAnsi" w:hAnsiTheme="minorHAnsi" w:cs="Arial"/>
                <w:sz w:val="22"/>
                <w:szCs w:val="22"/>
              </w:rPr>
              <w:t>2</w:t>
            </w:r>
            <w:r w:rsidR="005A104B" w:rsidRPr="00EF06C0">
              <w:rPr>
                <w:rFonts w:asciiTheme="minorHAnsi" w:hAnsiTheme="minorHAnsi" w:cs="Arial"/>
                <w:sz w:val="22"/>
                <w:szCs w:val="22"/>
              </w:rPr>
              <w:t xml:space="preserve"> </w:t>
            </w:r>
            <w:r w:rsidRPr="00EF06C0">
              <w:rPr>
                <w:rFonts w:asciiTheme="minorHAnsi" w:hAnsiTheme="minorHAnsi" w:cs="Arial"/>
                <w:sz w:val="22"/>
                <w:szCs w:val="22"/>
              </w:rPr>
              <w:t>135</w:t>
            </w:r>
          </w:p>
        </w:tc>
        <w:tc>
          <w:tcPr>
            <w:tcW w:w="1016" w:type="dxa"/>
            <w:shd w:val="clear" w:color="auto" w:fill="auto"/>
            <w:vAlign w:val="bottom"/>
          </w:tcPr>
          <w:p w:rsidR="00E75549" w:rsidRPr="00EF06C0" w:rsidRDefault="00E75549" w:rsidP="00DE0C41">
            <w:pPr>
              <w:jc w:val="right"/>
              <w:rPr>
                <w:rFonts w:asciiTheme="minorHAnsi" w:hAnsiTheme="minorHAnsi" w:cs="Arial"/>
                <w:sz w:val="22"/>
                <w:szCs w:val="22"/>
              </w:rPr>
            </w:pPr>
            <w:r w:rsidRPr="00EF06C0">
              <w:rPr>
                <w:rFonts w:asciiTheme="minorHAnsi" w:hAnsiTheme="minorHAnsi" w:cs="Arial"/>
                <w:sz w:val="22"/>
                <w:szCs w:val="22"/>
              </w:rPr>
              <w:t>2</w:t>
            </w:r>
            <w:r w:rsidR="005A104B" w:rsidRPr="00EF06C0">
              <w:rPr>
                <w:rFonts w:asciiTheme="minorHAnsi" w:hAnsiTheme="minorHAnsi" w:cs="Arial"/>
                <w:sz w:val="22"/>
                <w:szCs w:val="22"/>
              </w:rPr>
              <w:t xml:space="preserve"> </w:t>
            </w:r>
            <w:r w:rsidRPr="00EF06C0">
              <w:rPr>
                <w:rFonts w:asciiTheme="minorHAnsi" w:hAnsiTheme="minorHAnsi" w:cs="Arial"/>
                <w:sz w:val="22"/>
                <w:szCs w:val="22"/>
              </w:rPr>
              <w:t>164</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239</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242</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243</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241</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271</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293</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772</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1</w:t>
            </w:r>
            <w:r w:rsidR="005A104B" w:rsidRPr="00EF06C0">
              <w:rPr>
                <w:rFonts w:asciiTheme="minorHAnsi" w:hAnsiTheme="minorHAnsi" w:cs="Arial"/>
                <w:bCs/>
                <w:sz w:val="22"/>
                <w:szCs w:val="22"/>
              </w:rPr>
              <w:t xml:space="preserve"> </w:t>
            </w:r>
            <w:r w:rsidRPr="00EF06C0">
              <w:rPr>
                <w:rFonts w:asciiTheme="minorHAnsi" w:hAnsiTheme="minorHAnsi" w:cs="Arial"/>
                <w:bCs/>
                <w:sz w:val="22"/>
                <w:szCs w:val="22"/>
              </w:rPr>
              <w:t>171</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1 240</w:t>
            </w:r>
          </w:p>
        </w:tc>
        <w:tc>
          <w:tcPr>
            <w:tcW w:w="1016" w:type="dxa"/>
            <w:shd w:val="clear" w:color="auto" w:fill="auto"/>
            <w:vAlign w:val="bottom"/>
          </w:tcPr>
          <w:p w:rsidR="00E75549" w:rsidRPr="00EF06C0" w:rsidRDefault="00E75549" w:rsidP="00DE0C41">
            <w:pPr>
              <w:jc w:val="right"/>
              <w:rPr>
                <w:rFonts w:asciiTheme="minorHAnsi" w:hAnsiTheme="minorHAnsi" w:cs="Arial"/>
                <w:bCs/>
                <w:sz w:val="22"/>
                <w:szCs w:val="22"/>
              </w:rPr>
            </w:pPr>
            <w:r w:rsidRPr="00EF06C0">
              <w:rPr>
                <w:rFonts w:asciiTheme="minorHAnsi" w:hAnsiTheme="minorHAnsi" w:cs="Arial"/>
                <w:bCs/>
                <w:sz w:val="22"/>
                <w:szCs w:val="22"/>
              </w:rPr>
              <w:t>995</w:t>
            </w:r>
          </w:p>
        </w:tc>
        <w:tc>
          <w:tcPr>
            <w:tcW w:w="1016" w:type="dxa"/>
            <w:shd w:val="clear" w:color="auto" w:fill="auto"/>
            <w:vAlign w:val="bottom"/>
          </w:tcPr>
          <w:p w:rsidR="00E75549" w:rsidRPr="00EF06C0" w:rsidRDefault="00E75549" w:rsidP="00DE0C41">
            <w:pPr>
              <w:jc w:val="right"/>
              <w:rPr>
                <w:rFonts w:asciiTheme="minorHAnsi" w:hAnsiTheme="minorHAnsi" w:cs="Arial"/>
                <w:color w:val="000000"/>
                <w:sz w:val="22"/>
                <w:szCs w:val="22"/>
              </w:rPr>
            </w:pPr>
            <w:r w:rsidRPr="00EF06C0">
              <w:rPr>
                <w:rFonts w:asciiTheme="minorHAnsi" w:hAnsiTheme="minorHAnsi" w:cs="Arial"/>
                <w:color w:val="000000"/>
                <w:sz w:val="22"/>
                <w:szCs w:val="22"/>
              </w:rPr>
              <w:t>1 178</w:t>
            </w:r>
          </w:p>
        </w:tc>
        <w:tc>
          <w:tcPr>
            <w:tcW w:w="1016" w:type="dxa"/>
            <w:shd w:val="clear" w:color="auto" w:fill="auto"/>
            <w:vAlign w:val="bottom"/>
          </w:tcPr>
          <w:p w:rsidR="00E75549" w:rsidRPr="00EF06C0" w:rsidRDefault="00E75549" w:rsidP="00DE0C41">
            <w:pPr>
              <w:jc w:val="right"/>
              <w:rPr>
                <w:rFonts w:asciiTheme="minorHAnsi" w:hAnsiTheme="minorHAnsi" w:cs="Arial"/>
                <w:color w:val="000000"/>
                <w:sz w:val="22"/>
                <w:szCs w:val="22"/>
              </w:rPr>
            </w:pPr>
            <w:r w:rsidRPr="00EF06C0">
              <w:rPr>
                <w:rFonts w:asciiTheme="minorHAnsi" w:hAnsiTheme="minorHAnsi" w:cs="Arial"/>
                <w:color w:val="000000"/>
                <w:sz w:val="22"/>
                <w:szCs w:val="22"/>
              </w:rPr>
              <w:t>1 194</w:t>
            </w:r>
          </w:p>
        </w:tc>
      </w:tr>
      <w:tr w:rsidR="00E75549" w:rsidRPr="005F1629" w:rsidTr="00DE0C41">
        <w:tc>
          <w:tcPr>
            <w:tcW w:w="534"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vAlign w:val="bottom"/>
          </w:tcPr>
          <w:p w:rsidR="00E75549" w:rsidRPr="005F1629" w:rsidRDefault="00E75549" w:rsidP="00DE0C41">
            <w:pPr>
              <w:jc w:val="right"/>
              <w:rPr>
                <w:rFonts w:asciiTheme="minorHAnsi" w:hAnsiTheme="minorHAnsi" w:cs="Arial"/>
                <w:b/>
                <w:bCs/>
                <w:sz w:val="22"/>
                <w:szCs w:val="22"/>
              </w:rPr>
            </w:pPr>
            <w:r w:rsidRPr="005F1629">
              <w:rPr>
                <w:rFonts w:asciiTheme="minorHAnsi" w:hAnsiTheme="minorHAnsi" w:cs="Arial"/>
                <w:b/>
                <w:bCs/>
                <w:sz w:val="22"/>
                <w:szCs w:val="22"/>
              </w:rPr>
              <w:t>4</w:t>
            </w:r>
            <w:r w:rsidR="005A104B" w:rsidRPr="005F1629">
              <w:rPr>
                <w:rFonts w:asciiTheme="minorHAnsi" w:hAnsiTheme="minorHAnsi" w:cs="Arial"/>
                <w:b/>
                <w:bCs/>
                <w:sz w:val="22"/>
                <w:szCs w:val="22"/>
              </w:rPr>
              <w:t xml:space="preserve"> </w:t>
            </w:r>
            <w:r w:rsidRPr="005F1629">
              <w:rPr>
                <w:rFonts w:asciiTheme="minorHAnsi" w:hAnsiTheme="minorHAnsi" w:cs="Arial"/>
                <w:b/>
                <w:bCs/>
                <w:sz w:val="22"/>
                <w:szCs w:val="22"/>
              </w:rPr>
              <w:t>196</w:t>
            </w:r>
          </w:p>
        </w:tc>
        <w:tc>
          <w:tcPr>
            <w:tcW w:w="1016" w:type="dxa"/>
            <w:shd w:val="clear" w:color="auto" w:fill="auto"/>
            <w:vAlign w:val="bottom"/>
          </w:tcPr>
          <w:p w:rsidR="00E75549" w:rsidRPr="005F1629" w:rsidRDefault="00E75549" w:rsidP="00DE0C41">
            <w:pPr>
              <w:jc w:val="right"/>
              <w:rPr>
                <w:rFonts w:asciiTheme="minorHAnsi" w:hAnsiTheme="minorHAnsi" w:cs="Arial"/>
                <w:b/>
                <w:bCs/>
                <w:sz w:val="22"/>
                <w:szCs w:val="22"/>
              </w:rPr>
            </w:pPr>
            <w:r w:rsidRPr="005F1629">
              <w:rPr>
                <w:rFonts w:asciiTheme="minorHAnsi" w:hAnsiTheme="minorHAnsi" w:cs="Arial"/>
                <w:b/>
                <w:bCs/>
                <w:sz w:val="22"/>
                <w:szCs w:val="22"/>
              </w:rPr>
              <w:t>4</w:t>
            </w:r>
            <w:r w:rsidR="005A104B" w:rsidRPr="005F1629">
              <w:rPr>
                <w:rFonts w:asciiTheme="minorHAnsi" w:hAnsiTheme="minorHAnsi" w:cs="Arial"/>
                <w:b/>
                <w:bCs/>
                <w:sz w:val="22"/>
                <w:szCs w:val="22"/>
              </w:rPr>
              <w:t xml:space="preserve"> </w:t>
            </w:r>
            <w:r w:rsidRPr="005F1629">
              <w:rPr>
                <w:rFonts w:asciiTheme="minorHAnsi" w:hAnsiTheme="minorHAnsi" w:cs="Arial"/>
                <w:b/>
                <w:bCs/>
                <w:sz w:val="22"/>
                <w:szCs w:val="22"/>
              </w:rPr>
              <w:t>844</w:t>
            </w:r>
          </w:p>
        </w:tc>
        <w:tc>
          <w:tcPr>
            <w:tcW w:w="1016" w:type="dxa"/>
            <w:shd w:val="clear" w:color="auto" w:fill="auto"/>
            <w:vAlign w:val="bottom"/>
          </w:tcPr>
          <w:p w:rsidR="00E75549" w:rsidRPr="005F1629" w:rsidRDefault="00E75549" w:rsidP="00DE0C41">
            <w:pPr>
              <w:jc w:val="right"/>
              <w:rPr>
                <w:rFonts w:asciiTheme="minorHAnsi" w:hAnsiTheme="minorHAnsi" w:cs="Arial"/>
                <w:b/>
                <w:bCs/>
                <w:sz w:val="22"/>
                <w:szCs w:val="22"/>
              </w:rPr>
            </w:pPr>
            <w:r w:rsidRPr="005F1629">
              <w:rPr>
                <w:rFonts w:asciiTheme="minorHAnsi" w:hAnsiTheme="minorHAnsi" w:cs="Arial"/>
                <w:b/>
                <w:bCs/>
                <w:sz w:val="22"/>
                <w:szCs w:val="22"/>
              </w:rPr>
              <w:t>5</w:t>
            </w:r>
            <w:r w:rsidR="005A104B" w:rsidRPr="005F1629">
              <w:rPr>
                <w:rFonts w:asciiTheme="minorHAnsi" w:hAnsiTheme="minorHAnsi" w:cs="Arial"/>
                <w:b/>
                <w:bCs/>
                <w:sz w:val="22"/>
                <w:szCs w:val="22"/>
              </w:rPr>
              <w:t xml:space="preserve"> </w:t>
            </w:r>
            <w:r w:rsidRPr="005F1629">
              <w:rPr>
                <w:rFonts w:asciiTheme="minorHAnsi" w:hAnsiTheme="minorHAnsi" w:cs="Arial"/>
                <w:b/>
                <w:bCs/>
                <w:sz w:val="22"/>
                <w:szCs w:val="22"/>
              </w:rPr>
              <w:t>208</w:t>
            </w:r>
          </w:p>
        </w:tc>
        <w:tc>
          <w:tcPr>
            <w:tcW w:w="1016" w:type="dxa"/>
            <w:shd w:val="clear" w:color="auto" w:fill="auto"/>
            <w:vAlign w:val="bottom"/>
          </w:tcPr>
          <w:p w:rsidR="00E75549" w:rsidRPr="005F1629" w:rsidRDefault="00E75549" w:rsidP="00DE0C41">
            <w:pPr>
              <w:jc w:val="right"/>
              <w:rPr>
                <w:rFonts w:asciiTheme="minorHAnsi" w:hAnsiTheme="minorHAnsi" w:cs="Arial"/>
                <w:b/>
                <w:bCs/>
                <w:sz w:val="22"/>
                <w:szCs w:val="22"/>
              </w:rPr>
            </w:pPr>
            <w:r w:rsidRPr="005F1629">
              <w:rPr>
                <w:rFonts w:asciiTheme="minorHAnsi" w:hAnsiTheme="minorHAnsi" w:cs="Arial"/>
                <w:b/>
                <w:bCs/>
                <w:sz w:val="22"/>
                <w:szCs w:val="22"/>
              </w:rPr>
              <w:t>4</w:t>
            </w:r>
            <w:r w:rsidR="005A104B" w:rsidRPr="005F1629">
              <w:rPr>
                <w:rFonts w:asciiTheme="minorHAnsi" w:hAnsiTheme="minorHAnsi" w:cs="Arial"/>
                <w:b/>
                <w:bCs/>
                <w:sz w:val="22"/>
                <w:szCs w:val="22"/>
              </w:rPr>
              <w:t xml:space="preserve"> </w:t>
            </w:r>
            <w:r w:rsidRPr="005F1629">
              <w:rPr>
                <w:rFonts w:asciiTheme="minorHAnsi" w:hAnsiTheme="minorHAnsi" w:cs="Arial"/>
                <w:b/>
                <w:bCs/>
                <w:sz w:val="22"/>
                <w:szCs w:val="22"/>
              </w:rPr>
              <w:t>808</w:t>
            </w:r>
          </w:p>
        </w:tc>
        <w:tc>
          <w:tcPr>
            <w:tcW w:w="1016" w:type="dxa"/>
            <w:shd w:val="clear" w:color="auto" w:fill="auto"/>
            <w:vAlign w:val="bottom"/>
          </w:tcPr>
          <w:p w:rsidR="00E75549" w:rsidRPr="005F1629" w:rsidRDefault="00E75549" w:rsidP="00DE0C41">
            <w:pPr>
              <w:jc w:val="right"/>
              <w:rPr>
                <w:rFonts w:asciiTheme="minorHAnsi" w:hAnsiTheme="minorHAnsi" w:cs="Arial"/>
                <w:b/>
                <w:color w:val="000000"/>
                <w:sz w:val="22"/>
                <w:szCs w:val="22"/>
              </w:rPr>
            </w:pPr>
            <w:r w:rsidRPr="005F1629">
              <w:rPr>
                <w:rFonts w:asciiTheme="minorHAnsi" w:hAnsiTheme="minorHAnsi" w:cs="Arial"/>
                <w:b/>
                <w:color w:val="000000"/>
                <w:sz w:val="22"/>
                <w:szCs w:val="22"/>
              </w:rPr>
              <w:t>5 354</w:t>
            </w:r>
          </w:p>
        </w:tc>
        <w:tc>
          <w:tcPr>
            <w:tcW w:w="1016" w:type="dxa"/>
            <w:shd w:val="clear" w:color="auto" w:fill="auto"/>
            <w:vAlign w:val="bottom"/>
          </w:tcPr>
          <w:p w:rsidR="00E75549" w:rsidRPr="005F1629" w:rsidRDefault="00E75549" w:rsidP="00DE0C41">
            <w:pPr>
              <w:jc w:val="right"/>
              <w:rPr>
                <w:rFonts w:asciiTheme="minorHAnsi" w:hAnsiTheme="minorHAnsi" w:cs="Arial"/>
                <w:b/>
                <w:color w:val="000000"/>
                <w:sz w:val="22"/>
                <w:szCs w:val="22"/>
              </w:rPr>
            </w:pPr>
            <w:r w:rsidRPr="005F1629">
              <w:rPr>
                <w:rFonts w:asciiTheme="minorHAnsi" w:hAnsiTheme="minorHAnsi" w:cs="Arial"/>
                <w:b/>
                <w:color w:val="000000"/>
                <w:sz w:val="22"/>
                <w:szCs w:val="22"/>
              </w:rPr>
              <w:t>5 436</w:t>
            </w:r>
          </w:p>
        </w:tc>
      </w:tr>
    </w:tbl>
    <w:p w:rsidR="00E75549" w:rsidRPr="005F1629" w:rsidRDefault="00E75549" w:rsidP="00F00860">
      <w:pPr>
        <w:spacing w:after="120"/>
        <w:ind w:firstLine="709"/>
        <w:jc w:val="both"/>
        <w:rPr>
          <w:rFonts w:asciiTheme="minorHAnsi" w:hAnsiTheme="minorHAnsi" w:cs="Arial"/>
          <w:b/>
          <w:bCs/>
          <w:spacing w:val="-4"/>
        </w:rPr>
      </w:pPr>
    </w:p>
    <w:p w:rsidR="0069032B" w:rsidRPr="005F1629" w:rsidRDefault="0069032B" w:rsidP="00B8004F">
      <w:pPr>
        <w:spacing w:after="240"/>
        <w:ind w:firstLine="357"/>
        <w:jc w:val="both"/>
        <w:rPr>
          <w:rFonts w:asciiTheme="minorHAnsi" w:hAnsiTheme="minorHAnsi" w:cs="Arial"/>
          <w:bCs/>
          <w:spacing w:val="-4"/>
        </w:rPr>
      </w:pPr>
      <w:r w:rsidRPr="005F1629">
        <w:rPr>
          <w:rFonts w:asciiTheme="minorHAnsi" w:hAnsiTheme="minorHAnsi" w:cs="Arial"/>
          <w:b/>
          <w:bCs/>
          <w:spacing w:val="-4"/>
        </w:rPr>
        <w:t>Revizní a kontrolní činnost</w:t>
      </w:r>
      <w:r w:rsidRPr="005F1629">
        <w:rPr>
          <w:rFonts w:asciiTheme="minorHAnsi" w:hAnsiTheme="minorHAnsi" w:cs="Arial"/>
          <w:bCs/>
          <w:spacing w:val="-4"/>
        </w:rPr>
        <w:t xml:space="preserve"> se bude v roce 2014 zaměřovat na cílené směrované revizní návštěvy u poskytovatelů zdravotních služeb, vyhodnocení účelné preskripce (tzv. audit preskripce), vyhodnocení preskripce s vazbou na pozitivní lékové listy a poskytnutí kontrolních nástrojů pro samostatné pojištěnce prostřednictvím online přístupu do Karty mého srdce.</w:t>
      </w:r>
    </w:p>
    <w:p w:rsidR="006F032C" w:rsidRPr="005F1629" w:rsidRDefault="006F032C" w:rsidP="00B8004F">
      <w:pPr>
        <w:ind w:firstLine="357"/>
        <w:jc w:val="both"/>
        <w:rPr>
          <w:rFonts w:asciiTheme="minorHAnsi" w:hAnsiTheme="minorHAnsi" w:cs="Arial"/>
          <w:bCs/>
          <w:spacing w:val="-4"/>
        </w:rPr>
      </w:pPr>
      <w:r w:rsidRPr="005F1629">
        <w:rPr>
          <w:rFonts w:asciiTheme="minorHAnsi" w:hAnsiTheme="minorHAnsi" w:cs="Arial"/>
          <w:bCs/>
          <w:spacing w:val="-4"/>
        </w:rPr>
        <w:t xml:space="preserve">Při stanovení </w:t>
      </w:r>
      <w:r w:rsidRPr="005F1629">
        <w:rPr>
          <w:rFonts w:asciiTheme="minorHAnsi" w:hAnsiTheme="minorHAnsi" w:cs="Arial"/>
          <w:b/>
          <w:bCs/>
          <w:spacing w:val="-4"/>
        </w:rPr>
        <w:t>struktury a výše nákladů na zdravotní služby</w:t>
      </w:r>
      <w:r w:rsidRPr="005F1629">
        <w:rPr>
          <w:rFonts w:asciiTheme="minorHAnsi" w:hAnsiTheme="minorHAnsi" w:cs="Arial"/>
          <w:bCs/>
          <w:spacing w:val="-4"/>
        </w:rPr>
        <w:t xml:space="preserve"> vychází ZPŠ z očekávaných finančních zdrojů a počtu pojištěnců v roce 2014, z údajů za rok 2013 a návrhu úhradové vyhlášky.</w:t>
      </w:r>
    </w:p>
    <w:p w:rsidR="004458DD" w:rsidRPr="005F1629" w:rsidRDefault="0095701D" w:rsidP="00B8004F">
      <w:pPr>
        <w:ind w:firstLine="357"/>
        <w:jc w:val="both"/>
        <w:rPr>
          <w:rFonts w:asciiTheme="minorHAnsi" w:hAnsiTheme="minorHAnsi" w:cs="Arial"/>
        </w:rPr>
      </w:pPr>
      <w:r w:rsidRPr="005F1629">
        <w:rPr>
          <w:rFonts w:asciiTheme="minorHAnsi" w:hAnsiTheme="minorHAnsi" w:cs="Arial"/>
          <w:b/>
          <w:bCs/>
          <w:spacing w:val="-4"/>
        </w:rPr>
        <w:t>Náklady na zdravotní služby</w:t>
      </w:r>
      <w:r w:rsidRPr="005F1629">
        <w:rPr>
          <w:rFonts w:asciiTheme="minorHAnsi" w:hAnsiTheme="minorHAnsi" w:cs="Arial"/>
          <w:spacing w:val="-4"/>
        </w:rPr>
        <w:t xml:space="preserve"> čerpané ze ZFZP </w:t>
      </w:r>
      <w:r w:rsidRPr="005F1629">
        <w:rPr>
          <w:rFonts w:asciiTheme="minorHAnsi" w:hAnsiTheme="minorHAnsi" w:cs="Arial"/>
        </w:rPr>
        <w:t xml:space="preserve">plánuje ZPŠ </w:t>
      </w:r>
      <w:r w:rsidR="00041BF1" w:rsidRPr="005F1629">
        <w:rPr>
          <w:rFonts w:asciiTheme="minorHAnsi" w:hAnsiTheme="minorHAnsi" w:cs="Arial"/>
        </w:rPr>
        <w:t>ve výši</w:t>
      </w:r>
      <w:r w:rsidRPr="005F1629">
        <w:rPr>
          <w:rFonts w:asciiTheme="minorHAnsi" w:hAnsiTheme="minorHAnsi" w:cs="Arial"/>
        </w:rPr>
        <w:t xml:space="preserve"> 2 </w:t>
      </w:r>
      <w:r w:rsidR="00041BF1" w:rsidRPr="005F1629">
        <w:rPr>
          <w:rFonts w:asciiTheme="minorHAnsi" w:hAnsiTheme="minorHAnsi" w:cs="Arial"/>
        </w:rPr>
        <w:t>96</w:t>
      </w:r>
      <w:r w:rsidRPr="005F1629">
        <w:rPr>
          <w:rFonts w:asciiTheme="minorHAnsi" w:hAnsiTheme="minorHAnsi" w:cs="Arial"/>
        </w:rPr>
        <w:t>0</w:t>
      </w:r>
      <w:r w:rsidR="00041BF1" w:rsidRPr="005F1629">
        <w:rPr>
          <w:rFonts w:asciiTheme="minorHAnsi" w:hAnsiTheme="minorHAnsi" w:cs="Arial"/>
        </w:rPr>
        <w:t> </w:t>
      </w:r>
      <w:r w:rsidR="00A118C6" w:rsidRPr="005F1629">
        <w:rPr>
          <w:rFonts w:asciiTheme="minorHAnsi" w:hAnsiTheme="minorHAnsi" w:cs="Arial"/>
        </w:rPr>
        <w:t>mil</w:t>
      </w:r>
      <w:r w:rsidRPr="005F1629">
        <w:rPr>
          <w:rFonts w:asciiTheme="minorHAnsi" w:hAnsiTheme="minorHAnsi" w:cs="Arial"/>
        </w:rPr>
        <w:t>. Kč</w:t>
      </w:r>
      <w:r w:rsidR="00041BF1" w:rsidRPr="005F1629">
        <w:rPr>
          <w:rFonts w:asciiTheme="minorHAnsi" w:hAnsiTheme="minorHAnsi" w:cs="Arial"/>
        </w:rPr>
        <w:t>,</w:t>
      </w:r>
      <w:r w:rsidRPr="005F1629">
        <w:rPr>
          <w:rFonts w:asciiTheme="minorHAnsi" w:hAnsiTheme="minorHAnsi" w:cs="Arial"/>
        </w:rPr>
        <w:t xml:space="preserve"> </w:t>
      </w:r>
      <w:r w:rsidR="00041BF1" w:rsidRPr="005F1629">
        <w:rPr>
          <w:rFonts w:asciiTheme="minorHAnsi" w:hAnsiTheme="minorHAnsi" w:cs="Arial"/>
        </w:rPr>
        <w:t xml:space="preserve">což představuje meziroční nárůst oproti </w:t>
      </w:r>
      <w:r w:rsidR="006F032C" w:rsidRPr="005F1629">
        <w:rPr>
          <w:rFonts w:asciiTheme="minorHAnsi" w:hAnsiTheme="minorHAnsi" w:cs="Arial"/>
        </w:rPr>
        <w:t xml:space="preserve">očekávané skutečnosti roku 2013 </w:t>
      </w:r>
      <w:r w:rsidR="00041BF1" w:rsidRPr="005F1629">
        <w:rPr>
          <w:rFonts w:asciiTheme="minorHAnsi" w:hAnsiTheme="minorHAnsi" w:cs="Arial"/>
        </w:rPr>
        <w:t>o 4,0</w:t>
      </w:r>
      <w:r w:rsidR="006F032C" w:rsidRPr="005F1629">
        <w:rPr>
          <w:rFonts w:asciiTheme="minorHAnsi" w:hAnsiTheme="minorHAnsi" w:cs="Arial"/>
        </w:rPr>
        <w:t>1</w:t>
      </w:r>
      <w:r w:rsidR="00041BF1" w:rsidRPr="005F1629">
        <w:rPr>
          <w:rFonts w:asciiTheme="minorHAnsi" w:hAnsiTheme="minorHAnsi" w:cs="Arial"/>
        </w:rPr>
        <w:t xml:space="preserve"> %</w:t>
      </w:r>
      <w:r w:rsidR="004458DD" w:rsidRPr="005F1629">
        <w:rPr>
          <w:rFonts w:asciiTheme="minorHAnsi" w:hAnsiTheme="minorHAnsi" w:cs="Arial"/>
        </w:rPr>
        <w:t xml:space="preserve"> (Tabulka č. 2 a 3)</w:t>
      </w:r>
      <w:r w:rsidR="00041BF1" w:rsidRPr="005F1629">
        <w:rPr>
          <w:rFonts w:asciiTheme="minorHAnsi" w:hAnsiTheme="minorHAnsi" w:cs="Arial"/>
        </w:rPr>
        <w:t>.</w:t>
      </w:r>
      <w:r w:rsidR="00F00860" w:rsidRPr="005F1629">
        <w:rPr>
          <w:rFonts w:asciiTheme="minorHAnsi" w:hAnsiTheme="minorHAnsi" w:cs="Arial"/>
        </w:rPr>
        <w:t xml:space="preserve"> </w:t>
      </w:r>
      <w:r w:rsidR="004458DD" w:rsidRPr="005F1629">
        <w:rPr>
          <w:rFonts w:asciiTheme="minorHAnsi" w:hAnsiTheme="minorHAnsi" w:cs="Arial"/>
          <w:b/>
          <w:spacing w:val="-4"/>
        </w:rPr>
        <w:t xml:space="preserve">Průměrné náklady na zdravotní služby na 1 pojištěnce </w:t>
      </w:r>
      <w:r w:rsidR="004458DD" w:rsidRPr="005F1629">
        <w:rPr>
          <w:rFonts w:asciiTheme="minorHAnsi" w:hAnsiTheme="minorHAnsi" w:cs="Arial"/>
          <w:spacing w:val="-4"/>
        </w:rPr>
        <w:t>jsou plánovány ve výši 21 208</w:t>
      </w:r>
      <w:r w:rsidR="004458DD" w:rsidRPr="005F1629">
        <w:rPr>
          <w:rFonts w:asciiTheme="minorHAnsi" w:hAnsiTheme="minorHAnsi" w:cs="Arial"/>
        </w:rPr>
        <w:t xml:space="preserve"> Kč, co</w:t>
      </w:r>
      <w:r w:rsidR="0085736F" w:rsidRPr="005F1629">
        <w:rPr>
          <w:rFonts w:asciiTheme="minorHAnsi" w:hAnsiTheme="minorHAnsi" w:cs="Arial"/>
        </w:rPr>
        <w:t>ž znamená meziroční nárůst o 2,59</w:t>
      </w:r>
      <w:r w:rsidR="004458DD" w:rsidRPr="005F1629">
        <w:rPr>
          <w:rFonts w:asciiTheme="minorHAnsi" w:hAnsiTheme="minorHAnsi" w:cs="Arial"/>
        </w:rPr>
        <w:t> %</w:t>
      </w:r>
      <w:r w:rsidR="00B819F7" w:rsidRPr="005F1629">
        <w:rPr>
          <w:rFonts w:asciiTheme="minorHAnsi" w:hAnsiTheme="minorHAnsi" w:cs="Arial"/>
        </w:rPr>
        <w:t xml:space="preserve"> oproti očekávané skutečnosti roku 2013</w:t>
      </w:r>
      <w:r w:rsidR="004458DD" w:rsidRPr="005F1629">
        <w:rPr>
          <w:rFonts w:asciiTheme="minorHAnsi" w:hAnsiTheme="minorHAnsi" w:cs="Arial"/>
        </w:rPr>
        <w:t xml:space="preserve">. Celkové </w:t>
      </w:r>
      <w:r w:rsidR="004458DD" w:rsidRPr="005F1629">
        <w:rPr>
          <w:rFonts w:asciiTheme="minorHAnsi" w:hAnsiTheme="minorHAnsi" w:cs="Arial"/>
        </w:rPr>
        <w:lastRenderedPageBreak/>
        <w:t xml:space="preserve">náklady na zdravotní služby v přepočtu na 1 pojištěnce budou </w:t>
      </w:r>
      <w:r w:rsidR="00B819F7" w:rsidRPr="005F1629">
        <w:rPr>
          <w:rFonts w:asciiTheme="minorHAnsi" w:hAnsiTheme="minorHAnsi" w:cs="Arial"/>
        </w:rPr>
        <w:t xml:space="preserve">tedy </w:t>
      </w:r>
      <w:r w:rsidR="0085736F" w:rsidRPr="005F1629">
        <w:rPr>
          <w:rFonts w:asciiTheme="minorHAnsi" w:hAnsiTheme="minorHAnsi" w:cs="Arial"/>
        </w:rPr>
        <w:t>i v roce 2014 vyka</w:t>
      </w:r>
      <w:r w:rsidR="00DA2DE9" w:rsidRPr="005F1629">
        <w:rPr>
          <w:rFonts w:asciiTheme="minorHAnsi" w:hAnsiTheme="minorHAnsi" w:cs="Arial"/>
        </w:rPr>
        <w:t>zovat rostoucí trend (Graf č. 1</w:t>
      </w:r>
      <w:r w:rsidR="0085736F" w:rsidRPr="005F1629">
        <w:rPr>
          <w:rFonts w:asciiTheme="minorHAnsi" w:hAnsiTheme="minorHAnsi" w:cs="Arial"/>
        </w:rPr>
        <w:t>)</w:t>
      </w:r>
      <w:r w:rsidR="004458DD" w:rsidRPr="005F1629">
        <w:rPr>
          <w:rFonts w:asciiTheme="minorHAnsi" w:hAnsiTheme="minorHAnsi" w:cs="Arial"/>
        </w:rPr>
        <w:t>.</w:t>
      </w:r>
    </w:p>
    <w:p w:rsidR="004458DD" w:rsidRPr="005F1629" w:rsidRDefault="0095701D" w:rsidP="00B8004F">
      <w:pPr>
        <w:spacing w:after="240"/>
        <w:ind w:firstLine="357"/>
        <w:jc w:val="both"/>
        <w:rPr>
          <w:rFonts w:asciiTheme="minorHAnsi" w:hAnsiTheme="minorHAnsi" w:cs="Arial"/>
        </w:rPr>
      </w:pPr>
      <w:r w:rsidRPr="005F1629">
        <w:rPr>
          <w:rFonts w:asciiTheme="minorHAnsi" w:hAnsiTheme="minorHAnsi" w:cs="Arial"/>
        </w:rPr>
        <w:t>Meziroční nárůst nákladů je očekáván ve většině segmentů zdravotní péče. U </w:t>
      </w:r>
      <w:r w:rsidRPr="005F1629">
        <w:rPr>
          <w:rFonts w:asciiTheme="minorHAnsi" w:hAnsiTheme="minorHAnsi" w:cs="Arial"/>
          <w:b/>
        </w:rPr>
        <w:t>ambulantní péče</w:t>
      </w:r>
      <w:r w:rsidRPr="005F1629">
        <w:rPr>
          <w:rFonts w:asciiTheme="minorHAnsi" w:hAnsiTheme="minorHAnsi" w:cs="Arial"/>
        </w:rPr>
        <w:t xml:space="preserve"> ZPŠ plánuje </w:t>
      </w:r>
      <w:r w:rsidR="004458DD" w:rsidRPr="005F1629">
        <w:rPr>
          <w:rFonts w:asciiTheme="minorHAnsi" w:hAnsiTheme="minorHAnsi" w:cs="Arial"/>
        </w:rPr>
        <w:t xml:space="preserve">mírné </w:t>
      </w:r>
      <w:r w:rsidRPr="005F1629">
        <w:rPr>
          <w:rFonts w:asciiTheme="minorHAnsi" w:hAnsiTheme="minorHAnsi" w:cs="Arial"/>
        </w:rPr>
        <w:t xml:space="preserve">navýšení </w:t>
      </w:r>
      <w:r w:rsidR="004458DD" w:rsidRPr="005F1629">
        <w:rPr>
          <w:rFonts w:asciiTheme="minorHAnsi" w:hAnsiTheme="minorHAnsi" w:cs="Arial"/>
        </w:rPr>
        <w:t xml:space="preserve">nákladů </w:t>
      </w:r>
      <w:r w:rsidRPr="005F1629">
        <w:rPr>
          <w:rFonts w:asciiTheme="minorHAnsi" w:hAnsiTheme="minorHAnsi" w:cs="Arial"/>
        </w:rPr>
        <w:t>celkem</w:t>
      </w:r>
      <w:r w:rsidR="00AE286F" w:rsidRPr="005F1629">
        <w:rPr>
          <w:rFonts w:asciiTheme="minorHAnsi" w:hAnsiTheme="minorHAnsi" w:cs="Arial"/>
        </w:rPr>
        <w:t> o </w:t>
      </w:r>
      <w:r w:rsidRPr="005F1629">
        <w:rPr>
          <w:rFonts w:asciiTheme="minorHAnsi" w:hAnsiTheme="minorHAnsi" w:cs="Arial"/>
        </w:rPr>
        <w:t xml:space="preserve"> </w:t>
      </w:r>
      <w:r w:rsidR="00AE286F" w:rsidRPr="005F1629">
        <w:rPr>
          <w:rFonts w:asciiTheme="minorHAnsi" w:hAnsiTheme="minorHAnsi" w:cs="Arial"/>
        </w:rPr>
        <w:t>3</w:t>
      </w:r>
      <w:r w:rsidRPr="005F1629">
        <w:rPr>
          <w:rFonts w:asciiTheme="minorHAnsi" w:hAnsiTheme="minorHAnsi" w:cs="Arial"/>
        </w:rPr>
        <w:t>,</w:t>
      </w:r>
      <w:r w:rsidR="00AE286F" w:rsidRPr="005F1629">
        <w:rPr>
          <w:rFonts w:asciiTheme="minorHAnsi" w:hAnsiTheme="minorHAnsi" w:cs="Arial"/>
        </w:rPr>
        <w:t>5</w:t>
      </w:r>
      <w:r w:rsidR="0085736F" w:rsidRPr="005F1629">
        <w:rPr>
          <w:rFonts w:asciiTheme="minorHAnsi" w:hAnsiTheme="minorHAnsi" w:cs="Arial"/>
        </w:rPr>
        <w:t>5</w:t>
      </w:r>
      <w:r w:rsidR="004458DD" w:rsidRPr="005F1629">
        <w:rPr>
          <w:rFonts w:asciiTheme="minorHAnsi" w:hAnsiTheme="minorHAnsi" w:cs="Arial"/>
        </w:rPr>
        <w:t xml:space="preserve"> %</w:t>
      </w:r>
      <w:r w:rsidR="008A3731">
        <w:rPr>
          <w:rFonts w:asciiTheme="minorHAnsi" w:hAnsiTheme="minorHAnsi" w:cs="Arial"/>
        </w:rPr>
        <w:t xml:space="preserve"> (Tabulka č. 3</w:t>
      </w:r>
      <w:r w:rsidR="00DA2DE9" w:rsidRPr="005F1629">
        <w:rPr>
          <w:rFonts w:asciiTheme="minorHAnsi" w:hAnsiTheme="minorHAnsi" w:cs="Arial"/>
        </w:rPr>
        <w:t xml:space="preserve"> a Graf č. 2</w:t>
      </w:r>
      <w:r w:rsidR="00B819F7" w:rsidRPr="005F1629">
        <w:rPr>
          <w:rFonts w:asciiTheme="minorHAnsi" w:hAnsiTheme="minorHAnsi" w:cs="Arial"/>
        </w:rPr>
        <w:t>)</w:t>
      </w:r>
      <w:r w:rsidR="004458DD" w:rsidRPr="005F1629">
        <w:rPr>
          <w:rFonts w:asciiTheme="minorHAnsi" w:hAnsiTheme="minorHAnsi" w:cs="Arial"/>
        </w:rPr>
        <w:t>.</w:t>
      </w:r>
      <w:r w:rsidRPr="005F1629">
        <w:rPr>
          <w:rFonts w:asciiTheme="minorHAnsi" w:hAnsiTheme="minorHAnsi" w:cs="Arial"/>
        </w:rPr>
        <w:t xml:space="preserve"> </w:t>
      </w:r>
      <w:r w:rsidR="004458DD" w:rsidRPr="005F1629">
        <w:rPr>
          <w:rFonts w:asciiTheme="minorHAnsi" w:hAnsiTheme="minorHAnsi" w:cs="Arial"/>
        </w:rPr>
        <w:t>V</w:t>
      </w:r>
      <w:r w:rsidRPr="005F1629">
        <w:rPr>
          <w:rFonts w:asciiTheme="minorHAnsi" w:hAnsiTheme="minorHAnsi" w:cs="Arial"/>
        </w:rPr>
        <w:t xml:space="preserve"> objemově největším segmentu </w:t>
      </w:r>
      <w:r w:rsidR="00AC13BB" w:rsidRPr="005F1629">
        <w:rPr>
          <w:rFonts w:asciiTheme="minorHAnsi" w:hAnsiTheme="minorHAnsi" w:cs="Arial"/>
          <w:b/>
        </w:rPr>
        <w:t>lůžkové zdravotní</w:t>
      </w:r>
      <w:r w:rsidRPr="005F1629">
        <w:rPr>
          <w:rFonts w:asciiTheme="minorHAnsi" w:hAnsiTheme="minorHAnsi" w:cs="Arial"/>
          <w:b/>
        </w:rPr>
        <w:t xml:space="preserve"> péče</w:t>
      </w:r>
      <w:r w:rsidRPr="005F1629">
        <w:rPr>
          <w:rFonts w:asciiTheme="minorHAnsi" w:hAnsiTheme="minorHAnsi" w:cs="Arial"/>
        </w:rPr>
        <w:t xml:space="preserve"> </w:t>
      </w:r>
      <w:r w:rsidR="004458DD" w:rsidRPr="005F1629">
        <w:rPr>
          <w:rFonts w:asciiTheme="minorHAnsi" w:hAnsiTheme="minorHAnsi" w:cs="Arial"/>
        </w:rPr>
        <w:t xml:space="preserve">je předpokládán nárůst nákladů </w:t>
      </w:r>
      <w:r w:rsidR="00AE286F" w:rsidRPr="005F1629">
        <w:rPr>
          <w:rFonts w:asciiTheme="minorHAnsi" w:hAnsiTheme="minorHAnsi" w:cs="Arial"/>
        </w:rPr>
        <w:t>o </w:t>
      </w:r>
      <w:r w:rsidRPr="005F1629">
        <w:rPr>
          <w:rFonts w:asciiTheme="minorHAnsi" w:hAnsiTheme="minorHAnsi" w:cs="Arial"/>
        </w:rPr>
        <w:t> </w:t>
      </w:r>
      <w:r w:rsidR="00AE286F" w:rsidRPr="005F1629">
        <w:rPr>
          <w:rFonts w:asciiTheme="minorHAnsi" w:hAnsiTheme="minorHAnsi" w:cs="Arial"/>
        </w:rPr>
        <w:t>5</w:t>
      </w:r>
      <w:r w:rsidRPr="005F1629">
        <w:rPr>
          <w:rFonts w:asciiTheme="minorHAnsi" w:hAnsiTheme="minorHAnsi" w:cs="Arial"/>
        </w:rPr>
        <w:t>,</w:t>
      </w:r>
      <w:r w:rsidR="00AE286F" w:rsidRPr="005F1629">
        <w:rPr>
          <w:rFonts w:asciiTheme="minorHAnsi" w:hAnsiTheme="minorHAnsi" w:cs="Arial"/>
        </w:rPr>
        <w:t>0</w:t>
      </w:r>
      <w:r w:rsidR="0085736F" w:rsidRPr="005F1629">
        <w:rPr>
          <w:rFonts w:asciiTheme="minorHAnsi" w:hAnsiTheme="minorHAnsi" w:cs="Arial"/>
        </w:rPr>
        <w:t>0</w:t>
      </w:r>
      <w:r w:rsidRPr="005F1629">
        <w:rPr>
          <w:rFonts w:asciiTheme="minorHAnsi" w:hAnsiTheme="minorHAnsi" w:cs="Arial"/>
        </w:rPr>
        <w:t> %.</w:t>
      </w:r>
    </w:p>
    <w:p w:rsidR="00E75549" w:rsidRPr="005F1629" w:rsidRDefault="0085736F" w:rsidP="00E75549">
      <w:pPr>
        <w:jc w:val="both"/>
        <w:rPr>
          <w:rFonts w:asciiTheme="minorHAnsi" w:hAnsiTheme="minorHAnsi" w:cs="Arial"/>
        </w:rPr>
      </w:pPr>
      <w:r w:rsidRPr="005F1629">
        <w:rPr>
          <w:rFonts w:asciiTheme="minorHAnsi" w:hAnsiTheme="minorHAnsi" w:cs="Arial"/>
        </w:rPr>
        <w:t>Tabulka</w:t>
      </w:r>
      <w:r w:rsidR="00E75549" w:rsidRPr="005F1629">
        <w:rPr>
          <w:rFonts w:asciiTheme="minorHAnsi" w:hAnsiTheme="minorHAnsi" w:cs="Arial"/>
        </w:rPr>
        <w:t xml:space="preserve">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E75549" w:rsidRPr="005F1629" w:rsidTr="00E75549">
        <w:tc>
          <w:tcPr>
            <w:tcW w:w="1951" w:type="dxa"/>
            <w:shd w:val="solid" w:color="000080" w:fill="FFFFFF"/>
          </w:tcPr>
          <w:p w:rsidR="00E75549" w:rsidRPr="005F1629" w:rsidRDefault="00E75549"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E75549" w:rsidRPr="005F1629" w:rsidRDefault="00DA2DE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r w:rsidR="00E75549" w:rsidRPr="005F1629">
              <w:rPr>
                <w:rFonts w:asciiTheme="minorHAnsi" w:hAnsiTheme="minorHAnsi" w:cs="Arial"/>
                <w:b/>
                <w:bCs/>
                <w:color w:val="FFFFFF"/>
                <w:sz w:val="22"/>
                <w:szCs w:val="22"/>
              </w:rPr>
              <w:t>)</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588</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618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644</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658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705</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730</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1 408</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1 404</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1 440</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1 474</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1 500</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1 575</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tcBorders>
              <w:top w:val="nil"/>
              <w:left w:val="nil"/>
              <w:bottom w:val="single" w:sz="8" w:space="0" w:color="000080"/>
              <w:right w:val="single" w:sz="8" w:space="0" w:color="000080"/>
            </w:tcBorders>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629</w:t>
            </w:r>
          </w:p>
        </w:tc>
        <w:tc>
          <w:tcPr>
            <w:tcW w:w="1229" w:type="dxa"/>
            <w:tcBorders>
              <w:top w:val="nil"/>
              <w:left w:val="nil"/>
              <w:bottom w:val="single" w:sz="8" w:space="0" w:color="000080"/>
              <w:right w:val="single" w:sz="8" w:space="0" w:color="000080"/>
            </w:tcBorders>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617</w:t>
            </w:r>
          </w:p>
        </w:tc>
        <w:tc>
          <w:tcPr>
            <w:tcW w:w="1228" w:type="dxa"/>
            <w:tcBorders>
              <w:top w:val="nil"/>
              <w:left w:val="nil"/>
              <w:bottom w:val="single" w:sz="8" w:space="0" w:color="000080"/>
              <w:right w:val="single" w:sz="8" w:space="0" w:color="000080"/>
            </w:tcBorders>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617</w:t>
            </w:r>
          </w:p>
        </w:tc>
        <w:tc>
          <w:tcPr>
            <w:tcW w:w="1229" w:type="dxa"/>
            <w:tcBorders>
              <w:top w:val="nil"/>
              <w:left w:val="nil"/>
              <w:bottom w:val="single" w:sz="8" w:space="0" w:color="000080"/>
              <w:right w:val="single" w:sz="8" w:space="0" w:color="000080"/>
            </w:tcBorders>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649</w:t>
            </w:r>
          </w:p>
        </w:tc>
        <w:tc>
          <w:tcPr>
            <w:tcW w:w="1228" w:type="dxa"/>
            <w:tcBorders>
              <w:top w:val="nil"/>
              <w:left w:val="nil"/>
              <w:bottom w:val="single" w:sz="8" w:space="0" w:color="000080"/>
              <w:right w:val="single" w:sz="8" w:space="0" w:color="000080"/>
            </w:tcBorders>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641</w:t>
            </w:r>
          </w:p>
        </w:tc>
        <w:tc>
          <w:tcPr>
            <w:tcW w:w="1229" w:type="dxa"/>
            <w:tcBorders>
              <w:top w:val="nil"/>
              <w:left w:val="nil"/>
              <w:bottom w:val="single" w:sz="8" w:space="0" w:color="000080"/>
              <w:right w:val="single" w:sz="8" w:space="0" w:color="000080"/>
            </w:tcBorders>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655</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2 625</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2 639</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2 701</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2 781</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2 846</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2 960</w:t>
            </w:r>
          </w:p>
        </w:tc>
      </w:tr>
    </w:tbl>
    <w:p w:rsidR="00E75549" w:rsidRPr="005F1629" w:rsidRDefault="00E75549" w:rsidP="00E75549">
      <w:pPr>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E75549" w:rsidRPr="005F1629" w:rsidTr="00E75549">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105,10</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104,21</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102,17</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107,14</w:t>
            </w:r>
          </w:p>
        </w:tc>
        <w:tc>
          <w:tcPr>
            <w:tcW w:w="1647"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103,55</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99,72</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102,56</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102,36</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101,76</w:t>
            </w:r>
          </w:p>
        </w:tc>
        <w:tc>
          <w:tcPr>
            <w:tcW w:w="1647"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105,00</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98,09</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100,00</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105,19</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98,77</w:t>
            </w:r>
          </w:p>
        </w:tc>
        <w:tc>
          <w:tcPr>
            <w:tcW w:w="1647"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102,18</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100,53</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102,35</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102,96</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102,34</w:t>
            </w:r>
          </w:p>
        </w:tc>
        <w:tc>
          <w:tcPr>
            <w:tcW w:w="1647"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104,01</w:t>
            </w:r>
          </w:p>
        </w:tc>
      </w:tr>
    </w:tbl>
    <w:p w:rsidR="0085736F" w:rsidRPr="005F1629" w:rsidRDefault="0085736F" w:rsidP="00E75549">
      <w:pPr>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E75549" w:rsidRPr="005F1629" w:rsidTr="00E75549">
        <w:tc>
          <w:tcPr>
            <w:tcW w:w="1809" w:type="dxa"/>
            <w:shd w:val="solid" w:color="000080" w:fill="FFFFFF"/>
          </w:tcPr>
          <w:p w:rsidR="00E75549" w:rsidRPr="005F1629" w:rsidRDefault="00E75549"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4 414</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4 618</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4 759</w:t>
            </w:r>
          </w:p>
        </w:tc>
        <w:tc>
          <w:tcPr>
            <w:tcW w:w="127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4 809</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5 123</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5 230</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10 570</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10 487</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10 634</w:t>
            </w:r>
          </w:p>
        </w:tc>
        <w:tc>
          <w:tcPr>
            <w:tcW w:w="127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10 760</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10 896</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11 281</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4 720</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4 610</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4 556</w:t>
            </w:r>
          </w:p>
        </w:tc>
        <w:tc>
          <w:tcPr>
            <w:tcW w:w="127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4 734</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4 654</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4 697</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19 704</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19 715</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19 949</w:t>
            </w:r>
          </w:p>
        </w:tc>
        <w:tc>
          <w:tcPr>
            <w:tcW w:w="1275"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20 303</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20 673</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21 208</w:t>
            </w:r>
          </w:p>
        </w:tc>
      </w:tr>
    </w:tbl>
    <w:p w:rsidR="00E75549" w:rsidRPr="005F1629" w:rsidRDefault="00E75549" w:rsidP="0095701D">
      <w:pPr>
        <w:ind w:firstLine="708"/>
        <w:jc w:val="both"/>
        <w:rPr>
          <w:rFonts w:asciiTheme="minorHAnsi" w:hAnsiTheme="minorHAnsi" w:cs="Arial"/>
        </w:rPr>
      </w:pPr>
    </w:p>
    <w:p w:rsidR="00537B8A" w:rsidRDefault="00537B8A" w:rsidP="00DA2DE9">
      <w:pPr>
        <w:jc w:val="both"/>
        <w:rPr>
          <w:rFonts w:asciiTheme="minorHAnsi" w:hAnsiTheme="minorHAnsi" w:cs="Arial"/>
        </w:rPr>
      </w:pPr>
    </w:p>
    <w:p w:rsidR="00537B8A" w:rsidRDefault="00537B8A" w:rsidP="00DA2DE9">
      <w:pPr>
        <w:jc w:val="both"/>
        <w:rPr>
          <w:rFonts w:asciiTheme="minorHAnsi" w:hAnsiTheme="minorHAnsi" w:cs="Arial"/>
        </w:rPr>
      </w:pPr>
    </w:p>
    <w:p w:rsidR="00537B8A" w:rsidRDefault="00537B8A" w:rsidP="00DA2DE9">
      <w:pPr>
        <w:jc w:val="both"/>
        <w:rPr>
          <w:rFonts w:asciiTheme="minorHAnsi" w:hAnsiTheme="minorHAnsi" w:cs="Arial"/>
        </w:rPr>
      </w:pPr>
    </w:p>
    <w:p w:rsidR="00537B8A" w:rsidRDefault="00537B8A" w:rsidP="00DA2DE9">
      <w:pPr>
        <w:jc w:val="both"/>
        <w:rPr>
          <w:rFonts w:asciiTheme="minorHAnsi" w:hAnsiTheme="minorHAnsi" w:cs="Arial"/>
        </w:rPr>
      </w:pPr>
    </w:p>
    <w:p w:rsidR="00537B8A" w:rsidRDefault="00537B8A" w:rsidP="00DA2DE9">
      <w:pPr>
        <w:jc w:val="both"/>
        <w:rPr>
          <w:rFonts w:asciiTheme="minorHAnsi" w:hAnsiTheme="minorHAnsi" w:cs="Arial"/>
        </w:rPr>
      </w:pPr>
    </w:p>
    <w:p w:rsidR="00537B8A" w:rsidRDefault="00537B8A" w:rsidP="00DA2DE9">
      <w:pPr>
        <w:jc w:val="both"/>
        <w:rPr>
          <w:rFonts w:asciiTheme="minorHAnsi" w:hAnsiTheme="minorHAnsi" w:cs="Arial"/>
        </w:rPr>
      </w:pPr>
    </w:p>
    <w:p w:rsidR="00537B8A" w:rsidRDefault="00537B8A" w:rsidP="00DA2DE9">
      <w:pPr>
        <w:jc w:val="both"/>
        <w:rPr>
          <w:rFonts w:asciiTheme="minorHAnsi" w:hAnsiTheme="minorHAnsi" w:cs="Arial"/>
        </w:rPr>
      </w:pPr>
    </w:p>
    <w:p w:rsidR="00DA2DE9" w:rsidRPr="005F1629" w:rsidRDefault="00DA2DE9" w:rsidP="00DA2DE9">
      <w:pPr>
        <w:jc w:val="both"/>
        <w:rPr>
          <w:rFonts w:asciiTheme="minorHAnsi" w:hAnsiTheme="minorHAnsi" w:cs="Arial"/>
        </w:rPr>
      </w:pPr>
      <w:r w:rsidRPr="005F1629">
        <w:rPr>
          <w:rFonts w:asciiTheme="minorHAnsi" w:hAnsiTheme="minorHAnsi" w:cs="Arial"/>
        </w:rPr>
        <w:lastRenderedPageBreak/>
        <w:t>Graf č. 1:</w:t>
      </w:r>
    </w:p>
    <w:p w:rsidR="00153F86" w:rsidRPr="005F1629" w:rsidRDefault="00466108" w:rsidP="00E75549">
      <w:pPr>
        <w:jc w:val="both"/>
        <w:rPr>
          <w:rFonts w:asciiTheme="minorHAnsi" w:hAnsiTheme="minorHAnsi" w:cs="Arial"/>
          <w:noProof/>
        </w:rPr>
      </w:pPr>
      <w:r w:rsidRPr="005F1629">
        <w:rPr>
          <w:rFonts w:asciiTheme="minorHAnsi" w:hAnsiTheme="minorHAnsi" w:cs="Arial"/>
          <w:noProof/>
        </w:rPr>
        <w:drawing>
          <wp:inline distT="0" distB="0" distL="0" distR="0">
            <wp:extent cx="5762445" cy="2725947"/>
            <wp:effectExtent l="0" t="0" r="10160" b="17780"/>
            <wp:docPr id="5"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2DE9" w:rsidRPr="005F1629" w:rsidRDefault="00DA2DE9" w:rsidP="00E75549">
      <w:pPr>
        <w:jc w:val="both"/>
        <w:rPr>
          <w:rFonts w:asciiTheme="minorHAnsi" w:hAnsiTheme="minorHAnsi" w:cs="Arial"/>
          <w:noProof/>
        </w:rPr>
      </w:pPr>
    </w:p>
    <w:p w:rsidR="00DA2DE9" w:rsidRPr="005F1629" w:rsidRDefault="00DA2DE9" w:rsidP="00E75549">
      <w:pPr>
        <w:jc w:val="both"/>
        <w:rPr>
          <w:rFonts w:asciiTheme="minorHAnsi" w:hAnsiTheme="minorHAnsi" w:cs="Arial"/>
        </w:rPr>
      </w:pPr>
      <w:r w:rsidRPr="005F1629">
        <w:rPr>
          <w:rFonts w:asciiTheme="minorHAnsi" w:hAnsiTheme="minorHAnsi" w:cs="Arial"/>
          <w:noProof/>
        </w:rPr>
        <w:t>Graf č. 2:</w:t>
      </w:r>
    </w:p>
    <w:p w:rsidR="004458DD" w:rsidRPr="005F1629" w:rsidRDefault="00466108" w:rsidP="00E75549">
      <w:pPr>
        <w:jc w:val="both"/>
        <w:rPr>
          <w:rFonts w:asciiTheme="minorHAnsi" w:hAnsiTheme="minorHAnsi" w:cs="Arial"/>
          <w:noProof/>
        </w:rPr>
      </w:pPr>
      <w:r w:rsidRPr="005F1629">
        <w:rPr>
          <w:rFonts w:asciiTheme="minorHAnsi" w:hAnsiTheme="minorHAnsi" w:cs="Arial"/>
          <w:noProof/>
        </w:rPr>
        <w:drawing>
          <wp:inline distT="0" distB="0" distL="0" distR="0">
            <wp:extent cx="5822830" cy="2760453"/>
            <wp:effectExtent l="0" t="0" r="26035" b="20955"/>
            <wp:docPr id="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2DE9" w:rsidRPr="005F1629" w:rsidRDefault="00DA2DE9" w:rsidP="00E75549">
      <w:pPr>
        <w:jc w:val="both"/>
        <w:rPr>
          <w:rFonts w:asciiTheme="minorHAnsi" w:hAnsiTheme="minorHAnsi" w:cs="Arial"/>
        </w:rPr>
      </w:pPr>
    </w:p>
    <w:p w:rsidR="004458DD" w:rsidRDefault="004458DD" w:rsidP="00B8004F">
      <w:pPr>
        <w:spacing w:after="120"/>
        <w:ind w:firstLine="357"/>
        <w:jc w:val="both"/>
        <w:rPr>
          <w:rFonts w:asciiTheme="minorHAnsi" w:hAnsiTheme="minorHAnsi" w:cs="Arial"/>
        </w:rPr>
      </w:pPr>
      <w:r w:rsidRPr="005F1629">
        <w:rPr>
          <w:rFonts w:asciiTheme="minorHAnsi" w:hAnsiTheme="minorHAnsi" w:cs="Arial"/>
          <w:b/>
        </w:rPr>
        <w:t>Objem finančních prostředků (vratek)</w:t>
      </w:r>
      <w:r w:rsidRPr="005F1629">
        <w:rPr>
          <w:rFonts w:asciiTheme="minorHAnsi" w:hAnsiTheme="minorHAnsi" w:cs="Arial"/>
        </w:rPr>
        <w:t xml:space="preserve"> podle § 16b zákona č. 48/1997 Sb. ZPŠ plánuje ve výši 5 500 tis. Kč pro 5 800 pojištěnců, kteří v daném období překročí zákonný limit 5 000 Kč, resp. 2 500 Kč. </w:t>
      </w:r>
      <w:r w:rsidR="00B819F7" w:rsidRPr="005F1629">
        <w:rPr>
          <w:rFonts w:asciiTheme="minorHAnsi" w:hAnsiTheme="minorHAnsi" w:cs="Arial"/>
        </w:rPr>
        <w:t>V přepočtu na jednoho pojištěnce dochází pouze k mírnému nárůstu této částky</w:t>
      </w:r>
      <w:r w:rsidR="005D1D21" w:rsidRPr="005F1629">
        <w:rPr>
          <w:rFonts w:asciiTheme="minorHAnsi" w:hAnsiTheme="minorHAnsi" w:cs="Arial"/>
        </w:rPr>
        <w:t xml:space="preserve"> (Tabulka č. 5)</w:t>
      </w:r>
      <w:r w:rsidR="00B819F7" w:rsidRPr="005F1629">
        <w:rPr>
          <w:rFonts w:asciiTheme="minorHAnsi" w:hAnsiTheme="minorHAnsi" w:cs="Arial"/>
        </w:rPr>
        <w:t>.</w:t>
      </w:r>
    </w:p>
    <w:p w:rsidR="00F80F37" w:rsidRDefault="00F80F37" w:rsidP="00B8004F">
      <w:pPr>
        <w:spacing w:after="120"/>
        <w:ind w:firstLine="357"/>
        <w:jc w:val="both"/>
        <w:rPr>
          <w:rFonts w:asciiTheme="minorHAnsi" w:hAnsiTheme="minorHAnsi" w:cs="Arial"/>
        </w:rPr>
      </w:pPr>
    </w:p>
    <w:p w:rsidR="00F80F37" w:rsidRDefault="00F80F37" w:rsidP="00B8004F">
      <w:pPr>
        <w:spacing w:after="120"/>
        <w:ind w:firstLine="357"/>
        <w:jc w:val="both"/>
        <w:rPr>
          <w:rFonts w:asciiTheme="minorHAnsi" w:hAnsiTheme="minorHAnsi" w:cs="Arial"/>
        </w:rPr>
      </w:pPr>
    </w:p>
    <w:p w:rsidR="00F80F37" w:rsidRDefault="00F80F37" w:rsidP="00B8004F">
      <w:pPr>
        <w:spacing w:after="120"/>
        <w:ind w:firstLine="357"/>
        <w:jc w:val="both"/>
        <w:rPr>
          <w:rFonts w:asciiTheme="minorHAnsi" w:hAnsiTheme="minorHAnsi" w:cs="Arial"/>
        </w:rPr>
      </w:pPr>
    </w:p>
    <w:p w:rsidR="00F80F37" w:rsidRDefault="00F80F37" w:rsidP="00B8004F">
      <w:pPr>
        <w:spacing w:after="120"/>
        <w:ind w:firstLine="357"/>
        <w:jc w:val="both"/>
        <w:rPr>
          <w:rFonts w:asciiTheme="minorHAnsi" w:hAnsiTheme="minorHAnsi" w:cs="Arial"/>
        </w:rPr>
      </w:pPr>
    </w:p>
    <w:p w:rsidR="00F80F37" w:rsidRDefault="00F80F37" w:rsidP="00B8004F">
      <w:pPr>
        <w:spacing w:after="120"/>
        <w:ind w:firstLine="357"/>
        <w:jc w:val="both"/>
        <w:rPr>
          <w:rFonts w:asciiTheme="minorHAnsi" w:hAnsiTheme="minorHAnsi" w:cs="Arial"/>
        </w:rPr>
      </w:pPr>
    </w:p>
    <w:p w:rsidR="00F80F37" w:rsidRDefault="00F80F37" w:rsidP="00B8004F">
      <w:pPr>
        <w:spacing w:after="120"/>
        <w:ind w:firstLine="357"/>
        <w:jc w:val="both"/>
        <w:rPr>
          <w:rFonts w:asciiTheme="minorHAnsi" w:hAnsiTheme="minorHAnsi" w:cs="Arial"/>
        </w:rPr>
      </w:pPr>
    </w:p>
    <w:p w:rsidR="00F80F37" w:rsidRDefault="00F80F37" w:rsidP="00B8004F">
      <w:pPr>
        <w:spacing w:after="120"/>
        <w:ind w:firstLine="357"/>
        <w:jc w:val="both"/>
        <w:rPr>
          <w:rFonts w:asciiTheme="minorHAnsi" w:hAnsiTheme="minorHAnsi" w:cs="Arial"/>
        </w:rPr>
      </w:pPr>
    </w:p>
    <w:p w:rsidR="00F80F37" w:rsidRPr="005F1629" w:rsidRDefault="00F80F37" w:rsidP="00B8004F">
      <w:pPr>
        <w:spacing w:after="120"/>
        <w:ind w:firstLine="357"/>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E75549" w:rsidRPr="005F1629" w:rsidTr="00E75549">
        <w:tc>
          <w:tcPr>
            <w:tcW w:w="251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E75549" w:rsidRPr="005F1629" w:rsidRDefault="00E75549"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115" w:type="dxa"/>
            <w:shd w:val="solid" w:color="000080" w:fill="FFFFFF"/>
          </w:tcPr>
          <w:p w:rsidR="00E75549" w:rsidRPr="005F1629" w:rsidRDefault="00E75549"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116" w:type="dxa"/>
            <w:shd w:val="solid" w:color="000080" w:fill="FFFFFF"/>
          </w:tcPr>
          <w:p w:rsidR="00E75549" w:rsidRPr="005F1629" w:rsidRDefault="00E75549"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115" w:type="dxa"/>
            <w:shd w:val="solid" w:color="000080" w:fill="FFFFFF"/>
          </w:tcPr>
          <w:p w:rsidR="00E75549" w:rsidRPr="005F1629" w:rsidRDefault="00E75549"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115" w:type="dxa"/>
            <w:shd w:val="solid" w:color="000080" w:fill="FFFFFF"/>
          </w:tcPr>
          <w:p w:rsidR="00F80F37" w:rsidRDefault="00E75549"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F80F3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1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F80F37"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E75549" w:rsidRPr="005F1629">
              <w:rPr>
                <w:rFonts w:asciiTheme="minorHAnsi" w:hAnsiTheme="minorHAnsi" w:cs="Arial"/>
                <w:b/>
                <w:bCs/>
                <w:color w:val="FFFFFF"/>
                <w:sz w:val="22"/>
                <w:szCs w:val="22"/>
              </w:rPr>
              <w:t>(ZPP)</w:t>
            </w:r>
          </w:p>
        </w:tc>
      </w:tr>
      <w:tr w:rsidR="00E75549" w:rsidRPr="005F1629" w:rsidTr="00DE0C41">
        <w:tc>
          <w:tcPr>
            <w:tcW w:w="2518" w:type="dxa"/>
            <w:shd w:val="clear" w:color="auto" w:fill="auto"/>
          </w:tcPr>
          <w:p w:rsidR="00E75549" w:rsidRPr="005F1629" w:rsidRDefault="00E75549" w:rsidP="00F80F37">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r w:rsidR="00F80F37">
              <w:rPr>
                <w:rFonts w:asciiTheme="minorHAnsi" w:hAnsiTheme="minorHAnsi" w:cs="Arial"/>
                <w:b/>
                <w:sz w:val="22"/>
                <w:szCs w:val="22"/>
              </w:rPr>
              <w:t xml:space="preserve"> </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4 086</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7 716</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8 624</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5 996</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5 700</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5 800</w:t>
            </w:r>
          </w:p>
        </w:tc>
      </w:tr>
      <w:tr w:rsidR="00E75549" w:rsidRPr="005F1629" w:rsidTr="00DE0C41">
        <w:tc>
          <w:tcPr>
            <w:tcW w:w="2518" w:type="dxa"/>
            <w:shd w:val="clear" w:color="auto" w:fill="auto"/>
          </w:tcPr>
          <w:p w:rsidR="00E75549" w:rsidRPr="005F1629" w:rsidRDefault="00E75549" w:rsidP="00E75549">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sidR="00F80F37">
              <w:rPr>
                <w:rFonts w:asciiTheme="minorHAnsi" w:hAnsiTheme="minorHAnsi" w:cs="Arial"/>
                <w:b/>
                <w:sz w:val="22"/>
                <w:szCs w:val="22"/>
              </w:rPr>
              <w:t xml:space="preserve"> </w:t>
            </w:r>
            <w:r w:rsidR="001C36AC">
              <w:rPr>
                <w:rFonts w:asciiTheme="minorHAnsi" w:hAnsiTheme="minorHAnsi" w:cs="Arial"/>
                <w:b/>
                <w:bCs/>
                <w:sz w:val="22"/>
                <w:szCs w:val="22"/>
              </w:rPr>
              <w:t>(</w:t>
            </w:r>
            <w:r w:rsidR="00F80F37" w:rsidRPr="00F80F37">
              <w:rPr>
                <w:rFonts w:asciiTheme="minorHAnsi" w:hAnsiTheme="minorHAnsi" w:cs="Arial"/>
                <w:b/>
                <w:bCs/>
                <w:sz w:val="22"/>
                <w:szCs w:val="22"/>
              </w:rPr>
              <w:t>tis. Kč)</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2 573</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7 130</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6 955</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4 571</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5 000</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5 500</w:t>
            </w:r>
          </w:p>
        </w:tc>
      </w:tr>
      <w:tr w:rsidR="00E75549" w:rsidRPr="005F1629" w:rsidTr="00DE0C41">
        <w:tc>
          <w:tcPr>
            <w:tcW w:w="2518" w:type="dxa"/>
            <w:shd w:val="clear" w:color="auto" w:fill="auto"/>
          </w:tcPr>
          <w:p w:rsidR="00E75549" w:rsidRPr="005F1629" w:rsidRDefault="00E75549" w:rsidP="00E75549">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sidR="00F80F37">
              <w:rPr>
                <w:rFonts w:asciiTheme="minorHAnsi" w:hAnsiTheme="minorHAnsi" w:cs="Arial"/>
                <w:b/>
                <w:sz w:val="22"/>
                <w:szCs w:val="22"/>
              </w:rPr>
              <w:t xml:space="preserve"> </w:t>
            </w:r>
            <w:r w:rsidR="001C36AC">
              <w:rPr>
                <w:rFonts w:asciiTheme="minorHAnsi" w:hAnsiTheme="minorHAnsi" w:cs="Arial"/>
                <w:b/>
                <w:bCs/>
                <w:sz w:val="22"/>
                <w:szCs w:val="22"/>
              </w:rPr>
              <w:t>(</w:t>
            </w:r>
            <w:r w:rsidR="00F80F37" w:rsidRPr="00F80F37">
              <w:rPr>
                <w:rFonts w:asciiTheme="minorHAnsi" w:hAnsiTheme="minorHAnsi" w:cs="Arial"/>
                <w:b/>
                <w:bCs/>
                <w:sz w:val="22"/>
                <w:szCs w:val="22"/>
              </w:rPr>
              <w:t>tis. Kč)</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0,63</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0,92</w:t>
            </w:r>
          </w:p>
        </w:tc>
        <w:tc>
          <w:tcPr>
            <w:tcW w:w="111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0,81</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0,76</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0,88</w:t>
            </w:r>
          </w:p>
        </w:tc>
        <w:tc>
          <w:tcPr>
            <w:tcW w:w="111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0,95</w:t>
            </w:r>
          </w:p>
        </w:tc>
      </w:tr>
    </w:tbl>
    <w:p w:rsidR="00E75549" w:rsidRPr="005F1629" w:rsidRDefault="00E75549" w:rsidP="0095701D">
      <w:pPr>
        <w:ind w:firstLine="708"/>
        <w:jc w:val="both"/>
        <w:rPr>
          <w:rFonts w:asciiTheme="minorHAnsi" w:hAnsiTheme="minorHAnsi" w:cs="Arial"/>
        </w:rPr>
      </w:pPr>
    </w:p>
    <w:p w:rsidR="0095701D" w:rsidRPr="005F1629" w:rsidRDefault="0095701D" w:rsidP="00B8004F">
      <w:pPr>
        <w:ind w:firstLine="357"/>
        <w:jc w:val="both"/>
        <w:rPr>
          <w:rFonts w:asciiTheme="minorHAnsi" w:hAnsiTheme="minorHAnsi" w:cs="Arial"/>
        </w:rPr>
      </w:pPr>
      <w:r w:rsidRPr="005F1629">
        <w:rPr>
          <w:rFonts w:asciiTheme="minorHAnsi" w:hAnsiTheme="minorHAnsi" w:cs="Arial"/>
          <w:b/>
        </w:rPr>
        <w:t xml:space="preserve">Náklady na léčení cizinců, </w:t>
      </w:r>
      <w:r w:rsidRPr="005F1629">
        <w:rPr>
          <w:rFonts w:asciiTheme="minorHAnsi" w:hAnsiTheme="minorHAnsi" w:cs="Arial"/>
        </w:rPr>
        <w:t>kteří si jako výpomocnou zdravotní pojišťovnu zvolí ZPŠ, jsou plánovány</w:t>
      </w:r>
      <w:r w:rsidRPr="005F1629">
        <w:rPr>
          <w:rFonts w:asciiTheme="minorHAnsi" w:hAnsiTheme="minorHAnsi" w:cs="Arial"/>
          <w:b/>
        </w:rPr>
        <w:t xml:space="preserve"> </w:t>
      </w:r>
      <w:r w:rsidRPr="005F1629">
        <w:rPr>
          <w:rFonts w:asciiTheme="minorHAnsi" w:hAnsiTheme="minorHAnsi" w:cs="Arial"/>
        </w:rPr>
        <w:t xml:space="preserve">ve výši </w:t>
      </w:r>
      <w:r w:rsidR="00F00860" w:rsidRPr="005F1629">
        <w:rPr>
          <w:rFonts w:asciiTheme="minorHAnsi" w:hAnsiTheme="minorHAnsi" w:cs="Arial"/>
        </w:rPr>
        <w:t>4</w:t>
      </w:r>
      <w:r w:rsidR="00B819F7" w:rsidRPr="005F1629">
        <w:rPr>
          <w:rFonts w:asciiTheme="minorHAnsi" w:hAnsiTheme="minorHAnsi" w:cs="Arial"/>
        </w:rPr>
        <w:t xml:space="preserve"> 000 tis</w:t>
      </w:r>
      <w:r w:rsidR="00513314" w:rsidRPr="005F1629">
        <w:rPr>
          <w:rFonts w:asciiTheme="minorHAnsi" w:hAnsiTheme="minorHAnsi" w:cs="Arial"/>
        </w:rPr>
        <w:t>.</w:t>
      </w:r>
      <w:r w:rsidRPr="005F1629">
        <w:rPr>
          <w:rFonts w:asciiTheme="minorHAnsi" w:hAnsiTheme="minorHAnsi" w:cs="Arial"/>
        </w:rPr>
        <w:t> Kč</w:t>
      </w:r>
      <w:r w:rsidR="00B819F7" w:rsidRPr="005F1629">
        <w:rPr>
          <w:rFonts w:asciiTheme="minorHAnsi" w:hAnsiTheme="minorHAnsi" w:cs="Arial"/>
        </w:rPr>
        <w:t>.</w:t>
      </w:r>
      <w:r w:rsidRPr="005F1629">
        <w:rPr>
          <w:rFonts w:asciiTheme="minorHAnsi" w:hAnsiTheme="minorHAnsi" w:cs="Arial"/>
        </w:rPr>
        <w:t xml:space="preserve"> </w:t>
      </w:r>
      <w:r w:rsidR="00B819F7" w:rsidRPr="005F1629">
        <w:rPr>
          <w:rFonts w:asciiTheme="minorHAnsi" w:hAnsiTheme="minorHAnsi" w:cs="Arial"/>
        </w:rPr>
        <w:t>O</w:t>
      </w:r>
      <w:r w:rsidRPr="005F1629">
        <w:rPr>
          <w:rFonts w:asciiTheme="minorHAnsi" w:hAnsiTheme="minorHAnsi" w:cs="Arial"/>
        </w:rPr>
        <w:t xml:space="preserve">proti </w:t>
      </w:r>
      <w:r w:rsidR="00B819F7" w:rsidRPr="005F1629">
        <w:rPr>
          <w:rFonts w:asciiTheme="minorHAnsi" w:hAnsiTheme="minorHAnsi" w:cs="Arial"/>
        </w:rPr>
        <w:t>očekávané skutečnosti předchozího roku se jedná o nárůst</w:t>
      </w:r>
      <w:r w:rsidRPr="005F1629">
        <w:rPr>
          <w:rFonts w:asciiTheme="minorHAnsi" w:hAnsiTheme="minorHAnsi" w:cs="Arial"/>
        </w:rPr>
        <w:t xml:space="preserve"> </w:t>
      </w:r>
      <w:r w:rsidR="00B819F7" w:rsidRPr="005F1629">
        <w:rPr>
          <w:rFonts w:asciiTheme="minorHAnsi" w:hAnsiTheme="minorHAnsi" w:cs="Arial"/>
        </w:rPr>
        <w:t xml:space="preserve">o </w:t>
      </w:r>
      <w:r w:rsidR="00E8548B" w:rsidRPr="005F1629">
        <w:rPr>
          <w:rFonts w:asciiTheme="minorHAnsi" w:hAnsiTheme="minorHAnsi" w:cs="Arial"/>
        </w:rPr>
        <w:t>14</w:t>
      </w:r>
      <w:r w:rsidRPr="005F1629">
        <w:rPr>
          <w:rFonts w:asciiTheme="minorHAnsi" w:hAnsiTheme="minorHAnsi" w:cs="Arial"/>
        </w:rPr>
        <w:t>,</w:t>
      </w:r>
      <w:r w:rsidR="005D1D21" w:rsidRPr="005F1629">
        <w:rPr>
          <w:rFonts w:asciiTheme="minorHAnsi" w:hAnsiTheme="minorHAnsi" w:cs="Arial"/>
        </w:rPr>
        <w:t>29</w:t>
      </w:r>
      <w:r w:rsidRPr="005F1629">
        <w:rPr>
          <w:rFonts w:asciiTheme="minorHAnsi" w:hAnsiTheme="minorHAnsi" w:cs="Arial"/>
        </w:rPr>
        <w:t xml:space="preserve"> %. Při plánovaném počtu 1 000 ošetřených cizinců je průměrný náklad na jednoho ošetřeného cizince plánován ve výši </w:t>
      </w:r>
      <w:r w:rsidR="00E8548B" w:rsidRPr="005F1629">
        <w:rPr>
          <w:rFonts w:asciiTheme="minorHAnsi" w:hAnsiTheme="minorHAnsi" w:cs="Arial"/>
        </w:rPr>
        <w:t>4</w:t>
      </w:r>
      <w:r w:rsidRPr="005F1629">
        <w:rPr>
          <w:rFonts w:asciiTheme="minorHAnsi" w:hAnsiTheme="minorHAnsi" w:cs="Arial"/>
        </w:rPr>
        <w:t xml:space="preserve"> 000 Kč</w:t>
      </w:r>
      <w:r w:rsidR="00513314" w:rsidRPr="005F1629">
        <w:rPr>
          <w:rFonts w:asciiTheme="minorHAnsi" w:hAnsiTheme="minorHAnsi" w:cs="Arial"/>
        </w:rPr>
        <w:t>, tj. růst o 14,</w:t>
      </w:r>
      <w:r w:rsidR="005D1D21" w:rsidRPr="005F1629">
        <w:rPr>
          <w:rFonts w:asciiTheme="minorHAnsi" w:hAnsiTheme="minorHAnsi" w:cs="Arial"/>
        </w:rPr>
        <w:t>29</w:t>
      </w:r>
      <w:r w:rsidR="00513314" w:rsidRPr="005F1629">
        <w:rPr>
          <w:rFonts w:asciiTheme="minorHAnsi" w:hAnsiTheme="minorHAnsi" w:cs="Arial"/>
        </w:rPr>
        <w:t xml:space="preserve"> %</w:t>
      </w:r>
      <w:r w:rsidR="005D1D21" w:rsidRPr="005F1629">
        <w:rPr>
          <w:rFonts w:asciiTheme="minorHAnsi" w:hAnsiTheme="minorHAnsi" w:cs="Arial"/>
        </w:rPr>
        <w:t xml:space="preserve"> (Tabulka č. 6)</w:t>
      </w:r>
      <w:r w:rsidRPr="005F1629">
        <w:rPr>
          <w:rFonts w:asciiTheme="minorHAnsi" w:hAnsiTheme="minorHAnsi" w:cs="Arial"/>
        </w:rPr>
        <w:t>.</w:t>
      </w:r>
    </w:p>
    <w:p w:rsidR="00E75549" w:rsidRPr="005F1629" w:rsidRDefault="0095701D" w:rsidP="00B8004F">
      <w:pPr>
        <w:pStyle w:val="Zkladntext"/>
        <w:ind w:firstLine="357"/>
        <w:jc w:val="both"/>
        <w:rPr>
          <w:rFonts w:asciiTheme="minorHAnsi" w:hAnsiTheme="minorHAnsi" w:cs="Arial"/>
          <w:sz w:val="24"/>
        </w:rPr>
      </w:pPr>
      <w:r w:rsidRPr="005F1629">
        <w:rPr>
          <w:rFonts w:asciiTheme="minorHAnsi" w:hAnsiTheme="minorHAnsi" w:cs="Arial"/>
          <w:sz w:val="24"/>
        </w:rPr>
        <w:t xml:space="preserve">Na ZFZP je plánováno přijmout od zahraničních pojišťoven za léčení cizinců (včetně plateb vypořádaných tzv. paušálem) 2 000 tis. Kč a z prostředků ZFZP uhradit za léčení cizinců </w:t>
      </w:r>
      <w:r w:rsidR="00A56051" w:rsidRPr="005F1629">
        <w:rPr>
          <w:rFonts w:asciiTheme="minorHAnsi" w:hAnsiTheme="minorHAnsi" w:cs="Arial"/>
          <w:sz w:val="24"/>
        </w:rPr>
        <w:t>PZS</w:t>
      </w:r>
      <w:r w:rsidRPr="005F1629">
        <w:rPr>
          <w:rFonts w:asciiTheme="minorHAnsi" w:hAnsiTheme="minorHAnsi" w:cs="Arial"/>
          <w:sz w:val="24"/>
        </w:rPr>
        <w:t xml:space="preserve"> </w:t>
      </w:r>
      <w:r w:rsidR="006E5B4B" w:rsidRPr="005F1629">
        <w:rPr>
          <w:rFonts w:asciiTheme="minorHAnsi" w:hAnsiTheme="minorHAnsi" w:cs="Arial"/>
          <w:sz w:val="24"/>
        </w:rPr>
        <w:t>4</w:t>
      </w:r>
      <w:r w:rsidRPr="005F1629">
        <w:rPr>
          <w:rFonts w:asciiTheme="minorHAnsi" w:hAnsiTheme="minorHAnsi" w:cs="Arial"/>
          <w:sz w:val="24"/>
        </w:rPr>
        <w:t xml:space="preserve"> 000 tis. Kč, což znamená rozdíl mezi těmito pohledávkami a závazky ve výši </w:t>
      </w:r>
      <w:r w:rsidR="002F0139" w:rsidRPr="005F1629">
        <w:rPr>
          <w:rFonts w:asciiTheme="minorHAnsi" w:hAnsiTheme="minorHAnsi" w:cs="Arial"/>
          <w:sz w:val="24"/>
        </w:rPr>
        <w:t>-</w:t>
      </w:r>
      <w:r w:rsidR="006E5B4B" w:rsidRPr="005F1629">
        <w:rPr>
          <w:rFonts w:asciiTheme="minorHAnsi" w:hAnsiTheme="minorHAnsi" w:cs="Arial"/>
          <w:sz w:val="24"/>
        </w:rPr>
        <w:t>2</w:t>
      </w:r>
      <w:r w:rsidRPr="005F1629">
        <w:rPr>
          <w:rFonts w:asciiTheme="minorHAnsi" w:hAnsiTheme="minorHAnsi" w:cs="Arial"/>
          <w:sz w:val="24"/>
        </w:rPr>
        <w:t xml:space="preserve"> 000 tis. Kč. Tato částka snižuje konečný zůstatek ZFZP. </w:t>
      </w:r>
    </w:p>
    <w:p w:rsidR="00E75549" w:rsidRPr="005F1629" w:rsidRDefault="00E75549" w:rsidP="00E75549">
      <w:pPr>
        <w:pStyle w:val="Zkladntext"/>
        <w:spacing w:after="0" w:line="280" w:lineRule="atLeast"/>
        <w:jc w:val="both"/>
        <w:rPr>
          <w:rFonts w:asciiTheme="minorHAnsi" w:hAnsiTheme="minorHAnsi" w:cs="Arial"/>
          <w:sz w:val="24"/>
        </w:rPr>
      </w:pPr>
      <w:r w:rsidRPr="005F1629">
        <w:rPr>
          <w:rFonts w:asciiTheme="minorHAnsi" w:hAnsiTheme="minorHAnsi" w:cs="Arial"/>
          <w:sz w:val="24"/>
        </w:rPr>
        <w:t>Tabulka č. 6: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E75549" w:rsidRPr="005F1629" w:rsidTr="00E75549">
        <w:tc>
          <w:tcPr>
            <w:tcW w:w="1951"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210"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210"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210" w:type="dxa"/>
            <w:shd w:val="solid" w:color="000080" w:fill="FFFFFF"/>
          </w:tcPr>
          <w:p w:rsidR="00E75549" w:rsidRPr="005F1629" w:rsidRDefault="00E75549" w:rsidP="00F80F37">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Náklady na léčení cizinců</w:t>
            </w:r>
            <w:r w:rsidR="00F80F37">
              <w:rPr>
                <w:rFonts w:asciiTheme="minorHAnsi" w:hAnsiTheme="minorHAnsi" w:cs="Arial"/>
                <w:b/>
                <w:sz w:val="22"/>
                <w:szCs w:val="22"/>
              </w:rPr>
              <w:t xml:space="preserve"> </w:t>
            </w:r>
            <w:r w:rsidR="00F80F37" w:rsidRPr="00F80F37">
              <w:rPr>
                <w:rFonts w:asciiTheme="minorHAnsi" w:hAnsiTheme="minorHAnsi" w:cs="Arial"/>
                <w:b/>
                <w:bCs/>
                <w:sz w:val="22"/>
                <w:szCs w:val="22"/>
              </w:rPr>
              <w:t>(tis. Kč)</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2 092</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4 000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3 762</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4 818</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3 500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4 000</w:t>
            </w:r>
          </w:p>
        </w:tc>
      </w:tr>
      <w:tr w:rsidR="00E75549" w:rsidRPr="005F1629" w:rsidTr="00DE0C41">
        <w:tc>
          <w:tcPr>
            <w:tcW w:w="1951" w:type="dxa"/>
            <w:shd w:val="clear" w:color="auto" w:fill="auto"/>
          </w:tcPr>
          <w:p w:rsidR="00E75549" w:rsidRPr="005F1629" w:rsidRDefault="00E75549" w:rsidP="00F80F37">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Počet ošetřených cizinců</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502</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 xml:space="preserve">700 </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591</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961</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1 000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1 000</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sidR="00F80F37">
              <w:rPr>
                <w:rFonts w:asciiTheme="minorHAnsi" w:hAnsiTheme="minorHAnsi" w:cs="Arial"/>
                <w:b/>
                <w:sz w:val="22"/>
                <w:szCs w:val="22"/>
              </w:rPr>
              <w:t xml:space="preserve"> </w:t>
            </w:r>
            <w:r w:rsidR="00F80F37" w:rsidRPr="00F80F37">
              <w:rPr>
                <w:rFonts w:asciiTheme="minorHAnsi" w:hAnsiTheme="minorHAnsi" w:cs="Arial"/>
                <w:b/>
                <w:bCs/>
                <w:sz w:val="22"/>
                <w:szCs w:val="22"/>
              </w:rPr>
              <w:t>(tis. Kč)</w:t>
            </w:r>
          </w:p>
        </w:tc>
        <w:tc>
          <w:tcPr>
            <w:tcW w:w="1209" w:type="dxa"/>
            <w:shd w:val="clear" w:color="auto" w:fill="auto"/>
            <w:vAlign w:val="bottom"/>
          </w:tcPr>
          <w:p w:rsidR="00E75549" w:rsidRPr="005F1629" w:rsidRDefault="005D1D21"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E75549" w:rsidRPr="005F1629">
              <w:rPr>
                <w:rFonts w:asciiTheme="minorHAnsi" w:hAnsiTheme="minorHAnsi" w:cs="Arial"/>
                <w:sz w:val="22"/>
                <w:szCs w:val="22"/>
              </w:rPr>
              <w:t>1</w:t>
            </w:r>
            <w:r w:rsidRPr="005F1629">
              <w:rPr>
                <w:rFonts w:asciiTheme="minorHAnsi" w:hAnsiTheme="minorHAnsi" w:cs="Arial"/>
                <w:sz w:val="22"/>
                <w:szCs w:val="22"/>
              </w:rPr>
              <w:t>7</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w:t>
            </w:r>
            <w:r w:rsidR="005D1D21" w:rsidRPr="005F1629">
              <w:rPr>
                <w:rFonts w:asciiTheme="minorHAnsi" w:hAnsiTheme="minorHAnsi" w:cs="Arial"/>
                <w:sz w:val="22"/>
                <w:szCs w:val="22"/>
              </w:rPr>
              <w:t>,</w:t>
            </w:r>
            <w:r w:rsidRPr="005F1629">
              <w:rPr>
                <w:rFonts w:asciiTheme="minorHAnsi" w:hAnsiTheme="minorHAnsi" w:cs="Arial"/>
                <w:sz w:val="22"/>
                <w:szCs w:val="22"/>
              </w:rPr>
              <w:t>71</w:t>
            </w:r>
          </w:p>
        </w:tc>
        <w:tc>
          <w:tcPr>
            <w:tcW w:w="1210" w:type="dxa"/>
            <w:shd w:val="clear" w:color="auto" w:fill="auto"/>
            <w:vAlign w:val="bottom"/>
          </w:tcPr>
          <w:p w:rsidR="00E75549" w:rsidRPr="005F1629" w:rsidRDefault="005D1D21"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w:t>
            </w:r>
            <w:r w:rsidR="00E75549" w:rsidRPr="005F1629">
              <w:rPr>
                <w:rFonts w:asciiTheme="minorHAnsi" w:hAnsiTheme="minorHAnsi" w:cs="Arial"/>
                <w:sz w:val="22"/>
                <w:szCs w:val="22"/>
              </w:rPr>
              <w:t>36</w:t>
            </w:r>
          </w:p>
        </w:tc>
        <w:tc>
          <w:tcPr>
            <w:tcW w:w="1210" w:type="dxa"/>
            <w:shd w:val="clear" w:color="auto" w:fill="auto"/>
            <w:vAlign w:val="bottom"/>
          </w:tcPr>
          <w:p w:rsidR="00E75549" w:rsidRPr="005F1629" w:rsidRDefault="005D1D21"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w:t>
            </w:r>
            <w:r w:rsidR="00E75549" w:rsidRPr="005F1629">
              <w:rPr>
                <w:rFonts w:asciiTheme="minorHAnsi" w:hAnsiTheme="minorHAnsi" w:cs="Arial"/>
                <w:sz w:val="22"/>
                <w:szCs w:val="22"/>
              </w:rPr>
              <w:t>01</w:t>
            </w:r>
          </w:p>
        </w:tc>
        <w:tc>
          <w:tcPr>
            <w:tcW w:w="1210" w:type="dxa"/>
            <w:shd w:val="clear" w:color="auto" w:fill="auto"/>
            <w:vAlign w:val="bottom"/>
          </w:tcPr>
          <w:p w:rsidR="00E75549" w:rsidRPr="005F1629" w:rsidRDefault="005D1D21"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w:t>
            </w:r>
            <w:r w:rsidR="00E75549" w:rsidRPr="005F1629">
              <w:rPr>
                <w:rFonts w:asciiTheme="minorHAnsi" w:hAnsiTheme="minorHAnsi" w:cs="Arial"/>
                <w:sz w:val="22"/>
                <w:szCs w:val="22"/>
              </w:rPr>
              <w:t>50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5D1D21" w:rsidRPr="005F1629">
              <w:rPr>
                <w:rFonts w:asciiTheme="minorHAnsi" w:hAnsiTheme="minorHAnsi" w:cs="Arial"/>
                <w:sz w:val="22"/>
                <w:szCs w:val="22"/>
              </w:rPr>
              <w:t>,</w:t>
            </w:r>
            <w:r w:rsidRPr="005F1629">
              <w:rPr>
                <w:rFonts w:asciiTheme="minorHAnsi" w:hAnsiTheme="minorHAnsi" w:cs="Arial"/>
                <w:sz w:val="22"/>
                <w:szCs w:val="22"/>
              </w:rPr>
              <w:t>00</w:t>
            </w:r>
          </w:p>
        </w:tc>
      </w:tr>
    </w:tbl>
    <w:p w:rsidR="00E75549" w:rsidRPr="005F1629" w:rsidRDefault="00E75549" w:rsidP="0095701D">
      <w:pPr>
        <w:pStyle w:val="Zkladntext"/>
        <w:spacing w:line="280" w:lineRule="atLeast"/>
        <w:ind w:firstLine="709"/>
        <w:jc w:val="both"/>
        <w:rPr>
          <w:rFonts w:asciiTheme="minorHAnsi" w:hAnsiTheme="minorHAnsi" w:cs="Arial"/>
          <w:sz w:val="24"/>
        </w:rPr>
      </w:pPr>
    </w:p>
    <w:p w:rsidR="0095701D" w:rsidRPr="005F1629" w:rsidRDefault="0095701D" w:rsidP="00B8004F">
      <w:pPr>
        <w:pStyle w:val="Hladktext"/>
        <w:spacing w:line="240" w:lineRule="auto"/>
        <w:ind w:firstLine="357"/>
        <w:rPr>
          <w:rFonts w:asciiTheme="minorHAnsi" w:hAnsiTheme="minorHAnsi" w:cs="Arial"/>
          <w:szCs w:val="24"/>
        </w:rPr>
      </w:pPr>
      <w:r w:rsidRPr="005F1629">
        <w:rPr>
          <w:rFonts w:asciiTheme="minorHAnsi" w:hAnsiTheme="minorHAnsi" w:cs="Arial"/>
          <w:b/>
          <w:bCs/>
          <w:szCs w:val="24"/>
        </w:rPr>
        <w:t>Náklady na preventivní péči</w:t>
      </w:r>
      <w:r w:rsidRPr="005F1629">
        <w:rPr>
          <w:rFonts w:asciiTheme="minorHAnsi" w:hAnsiTheme="minorHAnsi" w:cs="Arial"/>
          <w:szCs w:val="24"/>
        </w:rPr>
        <w:t xml:space="preserve"> čerpané z Fprev plánuje ZPŠ ve výši 2</w:t>
      </w:r>
      <w:r w:rsidR="00E8548B" w:rsidRPr="005F1629">
        <w:rPr>
          <w:rFonts w:asciiTheme="minorHAnsi" w:hAnsiTheme="minorHAnsi" w:cs="Arial"/>
          <w:szCs w:val="24"/>
        </w:rPr>
        <w:t>7</w:t>
      </w:r>
      <w:r w:rsidRPr="005F1629">
        <w:rPr>
          <w:rFonts w:asciiTheme="minorHAnsi" w:hAnsiTheme="minorHAnsi" w:cs="Arial"/>
          <w:szCs w:val="24"/>
        </w:rPr>
        <w:t> </w:t>
      </w:r>
      <w:r w:rsidR="00E8548B" w:rsidRPr="005F1629">
        <w:rPr>
          <w:rFonts w:asciiTheme="minorHAnsi" w:hAnsiTheme="minorHAnsi" w:cs="Arial"/>
          <w:szCs w:val="24"/>
        </w:rPr>
        <w:t>0</w:t>
      </w:r>
      <w:r w:rsidRPr="005F1629">
        <w:rPr>
          <w:rFonts w:asciiTheme="minorHAnsi" w:hAnsiTheme="minorHAnsi" w:cs="Arial"/>
          <w:szCs w:val="24"/>
        </w:rPr>
        <w:t xml:space="preserve">00 tis. Kč, tj. meziroční zvýšení nákladů o </w:t>
      </w:r>
      <w:r w:rsidR="00E8548B" w:rsidRPr="005F1629">
        <w:rPr>
          <w:rFonts w:asciiTheme="minorHAnsi" w:hAnsiTheme="minorHAnsi" w:cs="Arial"/>
          <w:szCs w:val="24"/>
        </w:rPr>
        <w:t>35</w:t>
      </w:r>
      <w:r w:rsidRPr="005F1629">
        <w:rPr>
          <w:rFonts w:asciiTheme="minorHAnsi" w:hAnsiTheme="minorHAnsi" w:cs="Arial"/>
          <w:szCs w:val="24"/>
        </w:rPr>
        <w:t>,</w:t>
      </w:r>
      <w:r w:rsidR="00E8548B" w:rsidRPr="005F1629">
        <w:rPr>
          <w:rFonts w:asciiTheme="minorHAnsi" w:hAnsiTheme="minorHAnsi" w:cs="Arial"/>
          <w:szCs w:val="24"/>
        </w:rPr>
        <w:t>0</w:t>
      </w:r>
      <w:r w:rsidRPr="005F1629">
        <w:rPr>
          <w:rFonts w:asciiTheme="minorHAnsi" w:hAnsiTheme="minorHAnsi" w:cs="Arial"/>
          <w:szCs w:val="24"/>
        </w:rPr>
        <w:t> %</w:t>
      </w:r>
      <w:r w:rsidR="00E8548B" w:rsidRPr="005F1629">
        <w:rPr>
          <w:rFonts w:asciiTheme="minorHAnsi" w:hAnsiTheme="minorHAnsi" w:cs="Arial"/>
          <w:szCs w:val="24"/>
        </w:rPr>
        <w:t>,</w:t>
      </w:r>
      <w:r w:rsidRPr="005F1629">
        <w:rPr>
          <w:rFonts w:asciiTheme="minorHAnsi" w:hAnsiTheme="minorHAnsi" w:cs="Arial"/>
          <w:szCs w:val="24"/>
        </w:rPr>
        <w:t xml:space="preserve"> </w:t>
      </w:r>
      <w:r w:rsidR="00E8548B" w:rsidRPr="005F1629">
        <w:rPr>
          <w:rFonts w:asciiTheme="minorHAnsi" w:hAnsiTheme="minorHAnsi" w:cs="Arial"/>
          <w:szCs w:val="24"/>
        </w:rPr>
        <w:t>v absolutním vyjádření o 7 000 tis. Kč</w:t>
      </w:r>
      <w:r w:rsidRPr="005F1629">
        <w:rPr>
          <w:rFonts w:asciiTheme="minorHAnsi" w:hAnsiTheme="minorHAnsi" w:cs="Arial"/>
          <w:szCs w:val="24"/>
        </w:rPr>
        <w:t>.</w:t>
      </w:r>
    </w:p>
    <w:p w:rsidR="00EB6C13" w:rsidRDefault="00EB6C13" w:rsidP="00B8004F">
      <w:pPr>
        <w:ind w:firstLine="357"/>
        <w:jc w:val="both"/>
        <w:rPr>
          <w:rFonts w:asciiTheme="minorHAnsi" w:hAnsiTheme="minorHAnsi" w:cs="Arial"/>
        </w:rPr>
      </w:pPr>
      <w:r w:rsidRPr="005F1629">
        <w:rPr>
          <w:rFonts w:asciiTheme="minorHAnsi" w:hAnsiTheme="minorHAnsi" w:cs="Arial"/>
        </w:rPr>
        <w:t>Program prevence pro r. 2014 je členěn do tří základních skupin. První skupina zahrnuje zdravotně preventivní programy. Do druhé skupiny jsou zařazeny ozdravné pobyty. Do třetí skupiny jsou zařazeny ostatní činnosti se zaměřením na edukační a informační činnost.</w:t>
      </w:r>
      <w:r w:rsidR="00513314" w:rsidRPr="005F1629">
        <w:rPr>
          <w:rFonts w:asciiTheme="minorHAnsi" w:hAnsiTheme="minorHAnsi" w:cs="Arial"/>
        </w:rPr>
        <w:t xml:space="preserve"> U všech tří skupin je plánován nárůst nákladů</w:t>
      </w:r>
      <w:r w:rsidR="00AF28D1" w:rsidRPr="005F1629">
        <w:rPr>
          <w:rFonts w:asciiTheme="minorHAnsi" w:hAnsiTheme="minorHAnsi" w:cs="Arial"/>
        </w:rPr>
        <w:t>, z nichž n</w:t>
      </w:r>
      <w:r w:rsidR="00513314" w:rsidRPr="005F1629">
        <w:rPr>
          <w:rFonts w:asciiTheme="minorHAnsi" w:hAnsiTheme="minorHAnsi" w:cs="Arial"/>
        </w:rPr>
        <w:t xml:space="preserve">ejvýrazněji </w:t>
      </w:r>
      <w:r w:rsidR="00AF28D1" w:rsidRPr="005F1629">
        <w:rPr>
          <w:rFonts w:asciiTheme="minorHAnsi" w:hAnsiTheme="minorHAnsi" w:cs="Arial"/>
        </w:rPr>
        <w:t>budou růst</w:t>
      </w:r>
      <w:r w:rsidR="00513314" w:rsidRPr="005F1629">
        <w:rPr>
          <w:rFonts w:asciiTheme="minorHAnsi" w:hAnsiTheme="minorHAnsi" w:cs="Arial"/>
        </w:rPr>
        <w:t xml:space="preserve"> náklady na ozdravné pobyty</w:t>
      </w:r>
      <w:r w:rsidR="008A3731">
        <w:rPr>
          <w:rFonts w:asciiTheme="minorHAnsi" w:hAnsiTheme="minorHAnsi" w:cs="Arial"/>
        </w:rPr>
        <w:t xml:space="preserve"> (Tabulka č. 7</w:t>
      </w:r>
      <w:r w:rsidR="005D1D21" w:rsidRPr="005F1629">
        <w:rPr>
          <w:rFonts w:asciiTheme="minorHAnsi" w:hAnsiTheme="minorHAnsi" w:cs="Arial"/>
        </w:rPr>
        <w:t>)</w:t>
      </w:r>
      <w:r w:rsidR="00513314" w:rsidRPr="005F1629">
        <w:rPr>
          <w:rFonts w:asciiTheme="minorHAnsi" w:hAnsiTheme="minorHAnsi" w:cs="Arial"/>
        </w:rPr>
        <w:t>.</w:t>
      </w:r>
    </w:p>
    <w:p w:rsidR="00F80F37" w:rsidRDefault="00F80F37" w:rsidP="00B8004F">
      <w:pPr>
        <w:ind w:firstLine="357"/>
        <w:jc w:val="both"/>
        <w:rPr>
          <w:rFonts w:asciiTheme="minorHAnsi" w:hAnsiTheme="minorHAnsi" w:cs="Arial"/>
        </w:rPr>
      </w:pPr>
    </w:p>
    <w:p w:rsidR="00F80F37" w:rsidRPr="005F1629" w:rsidRDefault="00F80F37" w:rsidP="00B8004F">
      <w:pPr>
        <w:ind w:firstLine="357"/>
        <w:jc w:val="both"/>
        <w:rPr>
          <w:rFonts w:asciiTheme="minorHAnsi" w:hAnsiTheme="minorHAnsi" w:cs="Arial"/>
        </w:rPr>
      </w:pPr>
    </w:p>
    <w:p w:rsidR="00B378A1" w:rsidRPr="005F1629" w:rsidRDefault="00B378A1" w:rsidP="006E5B4B">
      <w:pPr>
        <w:ind w:firstLine="720"/>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lastRenderedPageBreak/>
        <w:t>Tabulka č. 7: Náklady na preventivní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E75549" w:rsidRPr="005F1629" w:rsidTr="00E75549">
        <w:tc>
          <w:tcPr>
            <w:tcW w:w="2660"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29 287</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11 089</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10 057</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10 029</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7 510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8 550</w:t>
            </w:r>
          </w:p>
        </w:tc>
      </w:tr>
      <w:tr w:rsidR="00E75549" w:rsidRPr="005F1629" w:rsidTr="00DE0C41">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1 696</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953</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909</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875</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930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2 000</w:t>
            </w:r>
          </w:p>
        </w:tc>
      </w:tr>
      <w:tr w:rsidR="00E75549" w:rsidRPr="005F1629" w:rsidTr="00DE0C41">
        <w:tc>
          <w:tcPr>
            <w:tcW w:w="2660" w:type="dxa"/>
            <w:tcBorders>
              <w:top w:val="nil"/>
              <w:left w:val="single" w:sz="8" w:space="0" w:color="auto"/>
              <w:bottom w:val="single" w:sz="4"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5 218</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3 821</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4 956</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4 478</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11 560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16 450</w:t>
            </w:r>
          </w:p>
        </w:tc>
      </w:tr>
      <w:tr w:rsidR="00E75549" w:rsidRPr="005F1629" w:rsidTr="00DE0C41">
        <w:tc>
          <w:tcPr>
            <w:tcW w:w="2660" w:type="dxa"/>
            <w:tcBorders>
              <w:top w:val="single" w:sz="4" w:space="0" w:color="auto"/>
              <w:left w:val="single" w:sz="4" w:space="0" w:color="auto"/>
              <w:bottom w:val="single" w:sz="4" w:space="0" w:color="auto"/>
              <w:right w:val="single" w:sz="4"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Celkové náklady na preventivní zdravotní péči</w:t>
            </w:r>
          </w:p>
        </w:tc>
        <w:tc>
          <w:tcPr>
            <w:tcW w:w="1091" w:type="dxa"/>
            <w:tcBorders>
              <w:left w:val="single" w:sz="4" w:space="0" w:color="auto"/>
            </w:tcBorders>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36 201</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18 863</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15 592</w:t>
            </w:r>
          </w:p>
        </w:tc>
        <w:tc>
          <w:tcPr>
            <w:tcW w:w="1091"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15 382</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20 000</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27 000</w:t>
            </w:r>
          </w:p>
        </w:tc>
      </w:tr>
    </w:tbl>
    <w:p w:rsidR="00E75549" w:rsidRPr="005F1629" w:rsidRDefault="00E75549" w:rsidP="006E5B4B">
      <w:pPr>
        <w:ind w:firstLine="720"/>
        <w:jc w:val="both"/>
        <w:rPr>
          <w:rFonts w:asciiTheme="minorHAnsi" w:hAnsiTheme="minorHAnsi" w:cs="Arial"/>
        </w:rPr>
      </w:pPr>
    </w:p>
    <w:p w:rsidR="00055685" w:rsidRPr="005F1629" w:rsidRDefault="00E05501" w:rsidP="00B8004F">
      <w:pPr>
        <w:ind w:firstLine="357"/>
        <w:jc w:val="both"/>
        <w:rPr>
          <w:rFonts w:asciiTheme="minorHAnsi" w:hAnsiTheme="minorHAnsi" w:cs="Arial"/>
        </w:rPr>
      </w:pPr>
      <w:r w:rsidRPr="005F1629">
        <w:rPr>
          <w:rFonts w:asciiTheme="minorHAnsi" w:hAnsiTheme="minorHAnsi" w:cs="Arial"/>
        </w:rPr>
        <w:t>Zdravotně preventivní programy zahrnují podporu očkování proti onemocněním, u kterých nejsou očkování hrazena z prostředků v.</w:t>
      </w:r>
      <w:r w:rsidR="00EE71F1">
        <w:rPr>
          <w:rFonts w:asciiTheme="minorHAnsi" w:hAnsiTheme="minorHAnsi" w:cs="Arial"/>
        </w:rPr>
        <w:t xml:space="preserve"> </w:t>
      </w:r>
      <w:r w:rsidRPr="005F1629">
        <w:rPr>
          <w:rFonts w:asciiTheme="minorHAnsi" w:hAnsiTheme="minorHAnsi" w:cs="Arial"/>
        </w:rPr>
        <w:t>z.</w:t>
      </w:r>
      <w:r w:rsidR="00EE71F1">
        <w:rPr>
          <w:rFonts w:asciiTheme="minorHAnsi" w:hAnsiTheme="minorHAnsi" w:cs="Arial"/>
        </w:rPr>
        <w:t xml:space="preserve"> </w:t>
      </w:r>
      <w:r w:rsidRPr="005F1629">
        <w:rPr>
          <w:rFonts w:asciiTheme="minorHAnsi" w:hAnsiTheme="minorHAnsi" w:cs="Arial"/>
        </w:rPr>
        <w:t xml:space="preserve">p. </w:t>
      </w:r>
      <w:r w:rsidR="006E5B4B" w:rsidRPr="005F1629">
        <w:rPr>
          <w:rFonts w:asciiTheme="minorHAnsi" w:hAnsiTheme="minorHAnsi" w:cs="Arial"/>
        </w:rPr>
        <w:t>a preventivní aktivity zaměřené na včasné odhalení možnosti vzniku závažného onemocnění</w:t>
      </w:r>
      <w:r w:rsidR="0095701D" w:rsidRPr="005F1629">
        <w:rPr>
          <w:rFonts w:asciiTheme="minorHAnsi" w:hAnsiTheme="minorHAnsi" w:cs="Arial"/>
        </w:rPr>
        <w:t xml:space="preserve">. </w:t>
      </w:r>
    </w:p>
    <w:p w:rsidR="00055685" w:rsidRPr="005F1629" w:rsidRDefault="0095701D" w:rsidP="00B8004F">
      <w:pPr>
        <w:ind w:firstLine="357"/>
        <w:jc w:val="both"/>
        <w:rPr>
          <w:rFonts w:asciiTheme="minorHAnsi" w:hAnsiTheme="minorHAnsi" w:cs="Arial"/>
        </w:rPr>
      </w:pPr>
      <w:r w:rsidRPr="005F1629">
        <w:rPr>
          <w:rFonts w:asciiTheme="minorHAnsi" w:hAnsiTheme="minorHAnsi" w:cs="Arial"/>
        </w:rPr>
        <w:t xml:space="preserve">Do druhé skupiny jsou zařazeny </w:t>
      </w:r>
      <w:r w:rsidR="006647B8" w:rsidRPr="005F1629">
        <w:rPr>
          <w:rFonts w:asciiTheme="minorHAnsi" w:hAnsiTheme="minorHAnsi" w:cs="Arial"/>
        </w:rPr>
        <w:t xml:space="preserve">příspěvky na </w:t>
      </w:r>
      <w:r w:rsidRPr="005F1629">
        <w:rPr>
          <w:rFonts w:asciiTheme="minorHAnsi" w:hAnsiTheme="minorHAnsi" w:cs="Arial"/>
        </w:rPr>
        <w:t>ozdravné pobyty pro děti</w:t>
      </w:r>
      <w:r w:rsidR="006647B8" w:rsidRPr="005F1629">
        <w:rPr>
          <w:rFonts w:asciiTheme="minorHAnsi" w:hAnsiTheme="minorHAnsi" w:cs="Arial"/>
        </w:rPr>
        <w:t xml:space="preserve"> s neurologickým, onkologickým onemocněním, nadváhou a chronickým onemocněním dýchacích cest a kůže</w:t>
      </w:r>
      <w:r w:rsidRPr="005F1629">
        <w:rPr>
          <w:rFonts w:asciiTheme="minorHAnsi" w:hAnsiTheme="minorHAnsi" w:cs="Arial"/>
        </w:rPr>
        <w:t xml:space="preserve">, </w:t>
      </w:r>
      <w:r w:rsidR="006647B8" w:rsidRPr="005F1629">
        <w:rPr>
          <w:rFonts w:asciiTheme="minorHAnsi" w:hAnsiTheme="minorHAnsi" w:cs="Arial"/>
        </w:rPr>
        <w:t xml:space="preserve">pro </w:t>
      </w:r>
      <w:r w:rsidRPr="005F1629">
        <w:rPr>
          <w:rFonts w:asciiTheme="minorHAnsi" w:hAnsiTheme="minorHAnsi" w:cs="Arial"/>
        </w:rPr>
        <w:t>dospělé</w:t>
      </w:r>
      <w:r w:rsidR="006647B8" w:rsidRPr="005F1629">
        <w:rPr>
          <w:rFonts w:asciiTheme="minorHAnsi" w:hAnsiTheme="minorHAnsi" w:cs="Arial"/>
        </w:rPr>
        <w:t xml:space="preserve"> a</w:t>
      </w:r>
      <w:r w:rsidRPr="005F1629">
        <w:rPr>
          <w:rFonts w:asciiTheme="minorHAnsi" w:hAnsiTheme="minorHAnsi" w:cs="Arial"/>
        </w:rPr>
        <w:t xml:space="preserve"> dárce kostní dřeně</w:t>
      </w:r>
      <w:r w:rsidR="006647B8" w:rsidRPr="005F1629">
        <w:rPr>
          <w:rFonts w:asciiTheme="minorHAnsi" w:hAnsiTheme="minorHAnsi" w:cs="Arial"/>
        </w:rPr>
        <w:t>.</w:t>
      </w:r>
      <w:r w:rsidRPr="005F1629">
        <w:rPr>
          <w:rFonts w:asciiTheme="minorHAnsi" w:hAnsiTheme="minorHAnsi" w:cs="Arial"/>
        </w:rPr>
        <w:t xml:space="preserve"> </w:t>
      </w:r>
    </w:p>
    <w:p w:rsidR="005D1D21" w:rsidRPr="005F1629" w:rsidRDefault="00AD203C" w:rsidP="00B8004F">
      <w:pPr>
        <w:spacing w:after="240"/>
        <w:ind w:firstLine="357"/>
        <w:jc w:val="both"/>
        <w:rPr>
          <w:rFonts w:asciiTheme="minorHAnsi" w:hAnsiTheme="minorHAnsi" w:cs="Arial"/>
        </w:rPr>
      </w:pPr>
      <w:r w:rsidRPr="005F1629">
        <w:rPr>
          <w:rFonts w:asciiTheme="minorHAnsi" w:hAnsiTheme="minorHAnsi" w:cs="Arial"/>
        </w:rPr>
        <w:t>T</w:t>
      </w:r>
      <w:r w:rsidR="0095701D" w:rsidRPr="005F1629">
        <w:rPr>
          <w:rFonts w:asciiTheme="minorHAnsi" w:hAnsiTheme="minorHAnsi" w:cs="Arial"/>
        </w:rPr>
        <w:t>řetí skupin</w:t>
      </w:r>
      <w:r w:rsidRPr="005F1629">
        <w:rPr>
          <w:rFonts w:asciiTheme="minorHAnsi" w:hAnsiTheme="minorHAnsi" w:cs="Arial"/>
        </w:rPr>
        <w:t>a</w:t>
      </w:r>
      <w:r w:rsidR="0095701D" w:rsidRPr="005F1629">
        <w:rPr>
          <w:rFonts w:asciiTheme="minorHAnsi" w:hAnsiTheme="minorHAnsi" w:cs="Arial"/>
        </w:rPr>
        <w:t xml:space="preserve"> </w:t>
      </w:r>
      <w:r w:rsidRPr="005F1629">
        <w:rPr>
          <w:rFonts w:asciiTheme="minorHAnsi" w:hAnsiTheme="minorHAnsi" w:cs="Arial"/>
        </w:rPr>
        <w:t>je nejrozsáhlejší a předpokládá i nejvyšší účast a zapojení pojištěnců. Cíleně je zaměřena na podporu moderních léčebných metod a zlepšené péče (příspěvky na ortodontickou léčbu, paruku po onkologické léčbě, zlepšené služby pro matku před a po porodu a novorozence, na moderní léčebné metody s příznivějším účinkem pro pojištěnce) a na motivaci pojištěnců ke zdravému životní</w:t>
      </w:r>
      <w:r w:rsidR="006E5B4B" w:rsidRPr="005F1629">
        <w:rPr>
          <w:rFonts w:asciiTheme="minorHAnsi" w:hAnsiTheme="minorHAnsi" w:cs="Arial"/>
        </w:rPr>
        <w:t>mu</w:t>
      </w:r>
      <w:r w:rsidRPr="005F1629">
        <w:rPr>
          <w:rFonts w:asciiTheme="minorHAnsi" w:hAnsiTheme="minorHAnsi" w:cs="Arial"/>
        </w:rPr>
        <w:t xml:space="preserve"> stylu (aktivity preventivně zaměřené na zdravý životní styl, na cílené aktivity pro jednotlivé věkové skupiny, podporu dárců krve a pojištěnců trpících zvláštními metabolickými onemocněními vyžadujícími speciální stravování, na motivaci ke zvýšení pohybových aktivit).</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Ministerstvo zdravotnictví vytváří vlastní modelaci </w:t>
      </w:r>
      <w:r w:rsidRPr="005F1629">
        <w:rPr>
          <w:rFonts w:asciiTheme="minorHAnsi" w:hAnsiTheme="minorHAnsi" w:cs="Arial"/>
          <w:b/>
        </w:rPr>
        <w:t>příjmů z pojistného</w:t>
      </w:r>
      <w:r w:rsidRPr="005F1629">
        <w:rPr>
          <w:rFonts w:asciiTheme="minorHAnsi" w:hAnsiTheme="minorHAnsi" w:cs="Arial"/>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583109" w:rsidRPr="005F1629" w:rsidRDefault="00583109" w:rsidP="00B8004F">
      <w:pPr>
        <w:spacing w:after="240"/>
        <w:ind w:firstLine="357"/>
        <w:jc w:val="both"/>
        <w:rPr>
          <w:rFonts w:asciiTheme="minorHAnsi" w:hAnsiTheme="minorHAnsi" w:cs="Arial"/>
        </w:rPr>
      </w:pPr>
      <w:r w:rsidRPr="005F1629">
        <w:rPr>
          <w:rFonts w:asciiTheme="minorHAnsi" w:hAnsiTheme="minorHAnsi" w:cs="Arial"/>
        </w:rPr>
        <w:t>ZPŠ plánuje na straně příjmů pro rok 2014 objem prostředků z pojistného po přerozdělení ve výši 3,02 mld. Kč. Lze konstatovat, že tento odhad je ve shodě s výše popsanou modelací Ministerstva zdravotnictví, které pro ZPŠ předpokládá v roce 2014 příjmy ve výši 3,04 mld. Kč.</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V oblasti zdravotní politiky Ministerstvo zdravotnictví hodnotí především </w:t>
      </w:r>
      <w:r w:rsidRPr="005F1629">
        <w:rPr>
          <w:rFonts w:asciiTheme="minorHAnsi" w:hAnsiTheme="minorHAnsi" w:cs="Arial"/>
          <w:b/>
        </w:rPr>
        <w:t>soulad s modelacemi dopadů úhradové vyhlášky na rok 2014</w:t>
      </w:r>
      <w:r w:rsidRPr="005F1629">
        <w:rPr>
          <w:rFonts w:asciiTheme="minorHAnsi" w:hAnsiTheme="minorHAnsi" w:cs="Arial"/>
        </w:rPr>
        <w:t>. Úhradová vyhláška je na smluvní vztahy aplikována pouze v případě, kdy nedojde k dohodě na úhradovém dodatku</w:t>
      </w:r>
      <w:r w:rsidR="005111C5">
        <w:rPr>
          <w:rFonts w:asciiTheme="minorHAnsi" w:hAnsiTheme="minorHAnsi" w:cs="Arial"/>
        </w:rPr>
        <w:t>. Pro</w:t>
      </w:r>
      <w:r w:rsidRPr="005F1629">
        <w:rPr>
          <w:rFonts w:asciiTheme="minorHAnsi" w:hAnsiTheme="minorHAnsi" w:cs="Arial"/>
        </w:rPr>
        <w:t xml:space="preserve"> hypotetický případ, kdy k dohodám nedojde, a kdy by celý systém fungoval právě podle úhradové vyhlášky, je nutné dohlédnout na konstrukci zdravotně pojistného plánu v takové podobě, aby úhrady podle úhradové vyhlášky umožňoval.</w:t>
      </w:r>
    </w:p>
    <w:p w:rsidR="00583109" w:rsidRPr="005F1629" w:rsidRDefault="00583109" w:rsidP="00B8004F">
      <w:pPr>
        <w:ind w:firstLine="357"/>
        <w:jc w:val="both"/>
        <w:rPr>
          <w:rFonts w:asciiTheme="minorHAnsi" w:hAnsiTheme="minorHAnsi" w:cs="Arial"/>
        </w:rPr>
      </w:pPr>
      <w:r w:rsidRPr="005F1629">
        <w:rPr>
          <w:rFonts w:asciiTheme="minorHAnsi" w:hAnsiTheme="minorHAnsi" w:cs="Arial"/>
        </w:rPr>
        <w:t xml:space="preserve">Ministerstvo hodnotí jednotlivé plánované položky dle segmentů uvedených v příloze </w:t>
      </w:r>
      <w:r w:rsidR="00855A6A">
        <w:rPr>
          <w:rFonts w:asciiTheme="minorHAnsi" w:hAnsiTheme="minorHAnsi" w:cs="Arial"/>
        </w:rPr>
        <w:t xml:space="preserve">ZPP </w:t>
      </w:r>
      <w:r w:rsidRPr="005F1629">
        <w:rPr>
          <w:rFonts w:asciiTheme="minorHAnsi" w:hAnsiTheme="minorHAnsi" w:cs="Arial"/>
        </w:rPr>
        <w:t xml:space="preserve">v tabulce č. 12 tím způsobem, že umožňuje zdravotní pojišťovně odchylku směrem nahoru, tedy plánování vyšších nákladů na daný segment, než jaké předpokládá modelace na </w:t>
      </w:r>
      <w:r w:rsidRPr="005F1629">
        <w:rPr>
          <w:rFonts w:asciiTheme="minorHAnsi" w:hAnsiTheme="minorHAnsi" w:cs="Arial"/>
        </w:rPr>
        <w:lastRenderedPageBreak/>
        <w:t xml:space="preserve">základě úhradové vyhlášky. V opačném směru je tolerována odchylka do výše 10 </w:t>
      </w:r>
      <w:r w:rsidRPr="00AF782B">
        <w:rPr>
          <w:rFonts w:asciiTheme="minorHAnsi" w:hAnsiTheme="minorHAnsi" w:cs="Arial"/>
        </w:rPr>
        <w:t>%</w:t>
      </w:r>
      <w:r w:rsidRPr="005F1629">
        <w:rPr>
          <w:rFonts w:asciiTheme="minorHAnsi" w:hAnsiTheme="minorHAnsi" w:cs="Arial"/>
        </w:rPr>
        <w:t xml:space="preserve"> z důvodu skutečnosti, že výsledky výpočtů zdravotní pojišťovny a ministerstva jsou modelací, nikoli přesným odhadem.</w:t>
      </w:r>
    </w:p>
    <w:p w:rsidR="004B7948" w:rsidRDefault="00583109" w:rsidP="00F80F37">
      <w:pPr>
        <w:spacing w:after="240"/>
        <w:ind w:firstLine="357"/>
        <w:jc w:val="both"/>
        <w:rPr>
          <w:rFonts w:asciiTheme="minorHAnsi" w:hAnsiTheme="minorHAnsi" w:cs="Arial"/>
        </w:rPr>
      </w:pPr>
      <w:r w:rsidRPr="005F1629">
        <w:rPr>
          <w:rFonts w:asciiTheme="minorHAnsi" w:hAnsiTheme="minorHAnsi" w:cs="Arial"/>
        </w:rPr>
        <w:t xml:space="preserve">V případě ZPŠ lze konstatovat, že struktura nákladů dle segmentů v příloze </w:t>
      </w:r>
      <w:r w:rsidR="00855A6A">
        <w:rPr>
          <w:rFonts w:asciiTheme="minorHAnsi" w:hAnsiTheme="minorHAnsi" w:cs="Arial"/>
        </w:rPr>
        <w:t xml:space="preserve">ZPP </w:t>
      </w:r>
      <w:r w:rsidRPr="005F1629">
        <w:rPr>
          <w:rFonts w:asciiTheme="minorHAnsi" w:hAnsiTheme="minorHAnsi" w:cs="Arial"/>
        </w:rPr>
        <w:t xml:space="preserve">v tabulce č. 12 je ve většině položek v souladu s modelací Ministerstva zdravotnictví. V segmentu akutní lůžkové péče dochází sice k odchylce ve výši 19 </w:t>
      </w:r>
      <w:r w:rsidRPr="00AF782B">
        <w:rPr>
          <w:rFonts w:asciiTheme="minorHAnsi" w:hAnsiTheme="minorHAnsi" w:cs="Arial"/>
        </w:rPr>
        <w:t>%</w:t>
      </w:r>
      <w:r w:rsidRPr="005F1629">
        <w:rPr>
          <w:rFonts w:asciiTheme="minorHAnsi" w:hAnsiTheme="minorHAnsi" w:cs="Arial"/>
        </w:rPr>
        <w:t>, nicméně vzhledem k velikosti ZPŠ, kdy tento rozdíl tvoří necelá 3 promile celkových nákladů na akutní lůžkovou péči, a vzhledem k obtížím spojeným s modelací takto malé regionální zdravotní pojišťovny, byl tento rozdíl akceptován jako zanedbatelný z hlediska systému jako celku.</w:t>
      </w:r>
    </w:p>
    <w:p w:rsidR="00F80F37" w:rsidRPr="00F80F37" w:rsidRDefault="00F80F37" w:rsidP="00F80F37">
      <w:pPr>
        <w:spacing w:after="240"/>
        <w:ind w:firstLine="357"/>
        <w:jc w:val="both"/>
        <w:rPr>
          <w:rFonts w:asciiTheme="minorHAnsi" w:hAnsiTheme="minorHAnsi" w:cs="Arial"/>
        </w:rPr>
      </w:pPr>
    </w:p>
    <w:p w:rsidR="004B7948" w:rsidRPr="005F1629" w:rsidRDefault="004B7948" w:rsidP="004B7948">
      <w:pPr>
        <w:spacing w:after="240"/>
        <w:jc w:val="both"/>
        <w:rPr>
          <w:rFonts w:asciiTheme="minorHAnsi" w:hAnsiTheme="minorHAnsi" w:cs="Arial"/>
          <w:b/>
          <w:sz w:val="28"/>
          <w:szCs w:val="28"/>
          <w:u w:val="single"/>
        </w:rPr>
      </w:pPr>
      <w:r w:rsidRPr="005F1629">
        <w:rPr>
          <w:rFonts w:asciiTheme="minorHAnsi" w:hAnsiTheme="minorHAnsi" w:cs="Arial"/>
          <w:b/>
          <w:sz w:val="28"/>
          <w:szCs w:val="28"/>
          <w:u w:val="single"/>
        </w:rPr>
        <w:t>Závěr</w:t>
      </w:r>
    </w:p>
    <w:p w:rsidR="00945D34" w:rsidRPr="005F1629" w:rsidRDefault="004B7948" w:rsidP="00945D34">
      <w:pPr>
        <w:ind w:firstLine="360"/>
        <w:jc w:val="both"/>
        <w:rPr>
          <w:rFonts w:asciiTheme="minorHAnsi" w:hAnsiTheme="minorHAnsi" w:cs="Arial"/>
          <w:b/>
        </w:rPr>
      </w:pPr>
      <w:r w:rsidRPr="005F1629">
        <w:rPr>
          <w:rFonts w:asciiTheme="minorHAnsi" w:hAnsiTheme="minorHAnsi" w:cs="Arial"/>
          <w:b/>
        </w:rPr>
        <w:t>Z obdržených podkladů lze soudit, že návrh ZPP 2014 Z</w:t>
      </w:r>
      <w:r w:rsidR="00466108" w:rsidRPr="005F1629">
        <w:rPr>
          <w:rFonts w:asciiTheme="minorHAnsi" w:hAnsiTheme="minorHAnsi" w:cs="Arial"/>
          <w:b/>
        </w:rPr>
        <w:t xml:space="preserve">aměstnanecké </w:t>
      </w:r>
      <w:r w:rsidRPr="005F1629">
        <w:rPr>
          <w:rFonts w:asciiTheme="minorHAnsi" w:hAnsiTheme="minorHAnsi" w:cs="Arial"/>
          <w:b/>
        </w:rPr>
        <w:t xml:space="preserve">pojišťovny Škoda je v souladu s právními předpisy a veřejným zájmem. </w:t>
      </w:r>
      <w:r w:rsidR="00945D34" w:rsidRPr="005F1629">
        <w:rPr>
          <w:rFonts w:asciiTheme="minorHAnsi" w:hAnsiTheme="minorHAnsi" w:cs="Arial"/>
          <w:b/>
        </w:rPr>
        <w:t>Ministerstvo zdravotnictví a Ministerstvo financí doporučují vládě ČR předložit tento návrh Poslanecké sněmovně Parlamentu České republiky k projednání s návrhem na jeho schválení.</w:t>
      </w:r>
    </w:p>
    <w:p w:rsidR="0034709A" w:rsidRPr="005F1629" w:rsidRDefault="005D1D21" w:rsidP="00AF7181">
      <w:pPr>
        <w:jc w:val="both"/>
        <w:rPr>
          <w:rFonts w:asciiTheme="minorHAnsi" w:hAnsiTheme="minorHAnsi" w:cs="Arial"/>
          <w:b/>
          <w:sz w:val="28"/>
          <w:u w:val="single"/>
        </w:rPr>
      </w:pPr>
      <w:r w:rsidRPr="005F1629">
        <w:rPr>
          <w:rFonts w:asciiTheme="minorHAnsi" w:hAnsiTheme="minorHAnsi" w:cs="Arial"/>
        </w:rPr>
        <w:br w:type="page"/>
      </w:r>
      <w:r w:rsidR="0034709A" w:rsidRPr="005F1629">
        <w:rPr>
          <w:rFonts w:asciiTheme="minorHAnsi" w:hAnsiTheme="minorHAnsi" w:cs="Arial"/>
          <w:b/>
          <w:sz w:val="28"/>
          <w:u w:val="single"/>
        </w:rPr>
        <w:lastRenderedPageBreak/>
        <w:t>211 – Zdravotní pojišťovna ministerstva vnitra ČR – ZP MV ČR</w:t>
      </w:r>
    </w:p>
    <w:p w:rsidR="00466108" w:rsidRPr="005F1629" w:rsidRDefault="00466108" w:rsidP="0034709A">
      <w:pPr>
        <w:jc w:val="both"/>
        <w:rPr>
          <w:rFonts w:asciiTheme="minorHAnsi" w:hAnsiTheme="minorHAnsi" w:cs="Arial"/>
          <w:b/>
          <w:sz w:val="28"/>
          <w:u w:val="single"/>
        </w:rPr>
      </w:pPr>
    </w:p>
    <w:p w:rsidR="00466108" w:rsidRPr="005F1629" w:rsidRDefault="00466108" w:rsidP="00466108">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466108" w:rsidRPr="005F1629" w:rsidRDefault="00466108" w:rsidP="00466108">
      <w:pPr>
        <w:ind w:left="360" w:hanging="360"/>
        <w:jc w:val="both"/>
        <w:rPr>
          <w:rFonts w:asciiTheme="minorHAnsi" w:hAnsiTheme="minorHAnsi" w:cs="Arial"/>
          <w:b/>
          <w:sz w:val="28"/>
          <w:szCs w:val="28"/>
          <w:u w:val="single"/>
        </w:rPr>
      </w:pPr>
      <w:r w:rsidRPr="005F1629">
        <w:rPr>
          <w:rFonts w:asciiTheme="minorHAnsi" w:hAnsiTheme="minorHAnsi" w:cs="Arial"/>
          <w:i/>
          <w:sz w:val="20"/>
          <w:szCs w:val="20"/>
        </w:rPr>
        <w:t xml:space="preserve">(použité číselné údaje jsou obsaženy v příloze, v tabulkách č. 1, 1a),1b,) 1c),  případně v ZPP 2014) </w:t>
      </w:r>
    </w:p>
    <w:p w:rsidR="00466108" w:rsidRPr="005F1629" w:rsidRDefault="00466108" w:rsidP="0034709A">
      <w:pPr>
        <w:jc w:val="both"/>
        <w:rPr>
          <w:rFonts w:asciiTheme="minorHAnsi" w:hAnsiTheme="minorHAnsi" w:cs="Arial"/>
        </w:rPr>
      </w:pPr>
    </w:p>
    <w:p w:rsidR="00466108" w:rsidRPr="005F1629" w:rsidRDefault="00466108" w:rsidP="0083705E">
      <w:pPr>
        <w:ind w:firstLine="357"/>
        <w:jc w:val="both"/>
        <w:rPr>
          <w:rFonts w:asciiTheme="minorHAnsi" w:hAnsiTheme="minorHAnsi"/>
        </w:rPr>
      </w:pPr>
      <w:r w:rsidRPr="005F1629">
        <w:rPr>
          <w:rFonts w:asciiTheme="minorHAnsi" w:hAnsiTheme="minorHAnsi"/>
        </w:rPr>
        <w:t>ZP MV ČR je stabilní zdravotní pojišťovnou a v systému v.</w:t>
      </w:r>
      <w:r w:rsidR="00EE71F1">
        <w:rPr>
          <w:rFonts w:asciiTheme="minorHAnsi" w:hAnsiTheme="minorHAnsi"/>
        </w:rPr>
        <w:t xml:space="preserve"> </w:t>
      </w:r>
      <w:r w:rsidRPr="005F1629">
        <w:rPr>
          <w:rFonts w:asciiTheme="minorHAnsi" w:hAnsiTheme="minorHAnsi"/>
        </w:rPr>
        <w:t>z.</w:t>
      </w:r>
      <w:r w:rsidR="00EE71F1">
        <w:rPr>
          <w:rFonts w:asciiTheme="minorHAnsi" w:hAnsiTheme="minorHAnsi"/>
        </w:rPr>
        <w:t xml:space="preserve"> </w:t>
      </w:r>
      <w:r w:rsidRPr="005F1629">
        <w:rPr>
          <w:rFonts w:asciiTheme="minorHAnsi" w:hAnsiTheme="minorHAnsi"/>
        </w:rPr>
        <w:t xml:space="preserve">p. představuje největší zaměstnaneckou ZP. Současná organizační struktura vychází z potřeby zajišťování celorepublikové sítě služeb pojištěncům, pobočková síť je vyhovující a pro rok 2014 nejsou plánovány žádné změny </w:t>
      </w:r>
      <w:r w:rsidRPr="005F1629">
        <w:rPr>
          <w:rFonts w:asciiTheme="minorHAnsi" w:hAnsiTheme="minorHAnsi"/>
          <w:b/>
        </w:rPr>
        <w:t>organizační struktury</w:t>
      </w:r>
      <w:r w:rsidRPr="005F1629">
        <w:rPr>
          <w:rFonts w:asciiTheme="minorHAnsi" w:hAnsiTheme="minorHAnsi"/>
        </w:rPr>
        <w:t>.</w:t>
      </w:r>
    </w:p>
    <w:p w:rsidR="00466108" w:rsidRPr="005F1629" w:rsidRDefault="00466108" w:rsidP="0083705E">
      <w:pPr>
        <w:ind w:firstLine="357"/>
        <w:jc w:val="both"/>
        <w:rPr>
          <w:rFonts w:asciiTheme="minorHAnsi" w:hAnsiTheme="minorHAnsi"/>
          <w:color w:val="FF0000"/>
        </w:rPr>
      </w:pPr>
    </w:p>
    <w:p w:rsidR="00466108" w:rsidRPr="005F1629" w:rsidRDefault="00466108" w:rsidP="0083705E">
      <w:pPr>
        <w:ind w:firstLine="357"/>
        <w:jc w:val="both"/>
        <w:rPr>
          <w:rFonts w:asciiTheme="minorHAnsi" w:hAnsiTheme="minorHAnsi"/>
        </w:rPr>
      </w:pPr>
      <w:r w:rsidRPr="005F1629">
        <w:rPr>
          <w:rFonts w:asciiTheme="minorHAnsi" w:hAnsiTheme="minorHAnsi"/>
        </w:rPr>
        <w:t xml:space="preserve">ZPP 2014 vychází z očekávané skutečnosti roku 2013. ZPP 2014 je koncipován tak, aby v roce 2014 zdroje plně pokryly výdaje na zdravotní služby bez vzniku závazků po lhůtě splatnosti a bez nutnosti čerpat úvěr. ZPP je sestaven jako </w:t>
      </w:r>
      <w:r w:rsidRPr="005F1629">
        <w:rPr>
          <w:rFonts w:asciiTheme="minorHAnsi" w:hAnsiTheme="minorHAnsi"/>
          <w:b/>
        </w:rPr>
        <w:t>vyrovnaný</w:t>
      </w:r>
      <w:r w:rsidRPr="005F1629">
        <w:rPr>
          <w:rFonts w:asciiTheme="minorHAnsi" w:hAnsiTheme="minorHAnsi"/>
        </w:rPr>
        <w:t xml:space="preserve"> při předpokládaném naplnění všech fondů definovaných příslušnými právními normami a se záměrem udržet do budoucna vyrovnanou bilanci hospodaření s prostředky v.</w:t>
      </w:r>
      <w:r w:rsidR="00EE71F1">
        <w:rPr>
          <w:rFonts w:asciiTheme="minorHAnsi" w:hAnsiTheme="minorHAnsi"/>
        </w:rPr>
        <w:t xml:space="preserve"> </w:t>
      </w:r>
      <w:r w:rsidRPr="005F1629">
        <w:rPr>
          <w:rFonts w:asciiTheme="minorHAnsi" w:hAnsiTheme="minorHAnsi"/>
        </w:rPr>
        <w:t>z.</w:t>
      </w:r>
      <w:r w:rsidR="00EE71F1">
        <w:rPr>
          <w:rFonts w:asciiTheme="minorHAnsi" w:hAnsiTheme="minorHAnsi"/>
        </w:rPr>
        <w:t xml:space="preserve"> </w:t>
      </w:r>
      <w:r w:rsidRPr="005F1629">
        <w:rPr>
          <w:rFonts w:asciiTheme="minorHAnsi" w:hAnsiTheme="minorHAnsi"/>
        </w:rPr>
        <w:t>p., a to i za nutnosti rozpuštění kladných zůstatků BÚ ZFZP z předchozích let a výrazného krácení zdrojů na provoz pojišťovny.</w:t>
      </w:r>
    </w:p>
    <w:p w:rsidR="00466108" w:rsidRPr="005F1629" w:rsidRDefault="00466108" w:rsidP="0083705E">
      <w:pPr>
        <w:ind w:firstLine="357"/>
        <w:jc w:val="both"/>
        <w:rPr>
          <w:rFonts w:asciiTheme="minorHAnsi" w:hAnsiTheme="minorHAnsi"/>
          <w:color w:val="FF0000"/>
        </w:rPr>
      </w:pPr>
    </w:p>
    <w:p w:rsidR="00466108" w:rsidRPr="005F1629" w:rsidRDefault="00466108" w:rsidP="0083705E">
      <w:pPr>
        <w:ind w:firstLine="357"/>
        <w:jc w:val="both"/>
        <w:rPr>
          <w:rFonts w:asciiTheme="minorHAnsi" w:hAnsiTheme="minorHAnsi" w:cs="Arial"/>
        </w:rPr>
      </w:pPr>
      <w:r w:rsidRPr="005F1629">
        <w:rPr>
          <w:rFonts w:asciiTheme="minorHAnsi" w:hAnsiTheme="minorHAnsi" w:cs="Arial"/>
          <w:b/>
        </w:rPr>
        <w:t>Plánovaný průměrný počet</w:t>
      </w:r>
      <w:r w:rsidRPr="005F1629">
        <w:rPr>
          <w:rFonts w:asciiTheme="minorHAnsi" w:hAnsiTheme="minorHAnsi" w:cs="Arial"/>
        </w:rPr>
        <w:t xml:space="preserve"> 1 231 300</w:t>
      </w:r>
      <w:r w:rsidRPr="005F1629">
        <w:rPr>
          <w:rFonts w:asciiTheme="minorHAnsi" w:hAnsiTheme="minorHAnsi" w:cs="Arial"/>
          <w:b/>
        </w:rPr>
        <w:t xml:space="preserve"> pojištěnců </w:t>
      </w:r>
      <w:r w:rsidRPr="005F1629">
        <w:rPr>
          <w:rFonts w:asciiTheme="minorHAnsi" w:hAnsiTheme="minorHAnsi" w:cs="Arial"/>
        </w:rPr>
        <w:t>v roce 2014</w:t>
      </w:r>
      <w:r w:rsidRPr="005F1629">
        <w:rPr>
          <w:rFonts w:asciiTheme="minorHAnsi" w:hAnsiTheme="minorHAnsi" w:cs="Arial"/>
          <w:color w:val="FF0000"/>
        </w:rPr>
        <w:t xml:space="preserve"> </w:t>
      </w:r>
      <w:r w:rsidRPr="005F1629">
        <w:rPr>
          <w:rFonts w:asciiTheme="minorHAnsi" w:hAnsiTheme="minorHAnsi" w:cs="Arial"/>
        </w:rPr>
        <w:t>meziročně vzroste o 2,1 % (tj. o 25 768 pojištěnců).</w:t>
      </w:r>
      <w:r w:rsidRPr="005F1629">
        <w:rPr>
          <w:rFonts w:asciiTheme="minorHAnsi" w:hAnsiTheme="minorHAnsi" w:cs="Arial"/>
          <w:color w:val="FF0000"/>
        </w:rPr>
        <w:t xml:space="preserve"> </w:t>
      </w:r>
      <w:r w:rsidRPr="005F1629">
        <w:rPr>
          <w:rFonts w:asciiTheme="minorHAnsi" w:hAnsiTheme="minorHAnsi" w:cs="Arial"/>
        </w:rPr>
        <w:t>Z toho plánovaný počet státem hrazených pojištěnců stoupne o</w:t>
      </w:r>
      <w:r w:rsidRPr="005F1629">
        <w:rPr>
          <w:rFonts w:asciiTheme="minorHAnsi" w:hAnsiTheme="minorHAnsi" w:cs="Arial"/>
          <w:color w:val="FF0000"/>
        </w:rPr>
        <w:t xml:space="preserve"> </w:t>
      </w:r>
      <w:r w:rsidRPr="005F1629">
        <w:rPr>
          <w:rFonts w:asciiTheme="minorHAnsi" w:hAnsiTheme="minorHAnsi" w:cs="Arial"/>
        </w:rPr>
        <w:t>2,1 %</w:t>
      </w:r>
      <w:r w:rsidRPr="005F1629">
        <w:rPr>
          <w:rFonts w:asciiTheme="minorHAnsi" w:hAnsiTheme="minorHAnsi" w:cs="Arial"/>
          <w:color w:val="FF0000"/>
        </w:rPr>
        <w:t xml:space="preserve"> </w:t>
      </w:r>
      <w:r w:rsidRPr="005F1629">
        <w:rPr>
          <w:rFonts w:asciiTheme="minorHAnsi" w:hAnsiTheme="minorHAnsi" w:cs="Arial"/>
        </w:rPr>
        <w:t>(tj. o 14 324 pojištěnců)</w:t>
      </w:r>
      <w:r w:rsidRPr="005F1629">
        <w:rPr>
          <w:rFonts w:asciiTheme="minorHAnsi" w:hAnsiTheme="minorHAnsi" w:cs="Arial"/>
          <w:color w:val="FF0000"/>
        </w:rPr>
        <w:t xml:space="preserve"> </w:t>
      </w:r>
      <w:r w:rsidRPr="005F1629">
        <w:rPr>
          <w:rFonts w:asciiTheme="minorHAnsi" w:hAnsiTheme="minorHAnsi" w:cs="Arial"/>
        </w:rPr>
        <w:t>a ZP MV ČR předpokládá, že jejich podíl přesáhne 56,6 %.</w:t>
      </w:r>
      <w:r w:rsidRPr="005F1629">
        <w:rPr>
          <w:rFonts w:asciiTheme="minorHAnsi" w:hAnsiTheme="minorHAnsi" w:cs="Arial"/>
          <w:color w:val="FF0000"/>
        </w:rPr>
        <w:t xml:space="preserve"> </w:t>
      </w:r>
      <w:r w:rsidRPr="005F1629">
        <w:rPr>
          <w:rFonts w:asciiTheme="minorHAnsi" w:hAnsiTheme="minorHAnsi" w:cs="Arial"/>
        </w:rPr>
        <w:t>Plánovaný absolutní počet pojištěnců k 31. 12. 2014</w:t>
      </w:r>
      <w:r w:rsidRPr="005F1629">
        <w:rPr>
          <w:rFonts w:asciiTheme="minorHAnsi" w:hAnsiTheme="minorHAnsi" w:cs="Arial"/>
          <w:color w:val="FF0000"/>
        </w:rPr>
        <w:t xml:space="preserve"> </w:t>
      </w:r>
      <w:r w:rsidRPr="005F1629">
        <w:rPr>
          <w:rFonts w:asciiTheme="minorHAnsi" w:hAnsiTheme="minorHAnsi" w:cs="Arial"/>
        </w:rPr>
        <w:t>činí 1 233 500 pojištěnců s meziročním nárůstem o 2,1 % (tj. o 25 800 pojištěnců).</w:t>
      </w:r>
      <w:r w:rsidRPr="005F1629">
        <w:rPr>
          <w:rFonts w:asciiTheme="minorHAnsi" w:hAnsiTheme="minorHAnsi" w:cs="Arial"/>
          <w:color w:val="FF0000"/>
        </w:rPr>
        <w:t xml:space="preserve"> </w:t>
      </w:r>
      <w:r w:rsidRPr="005F1629">
        <w:rPr>
          <w:rFonts w:asciiTheme="minorHAnsi" w:hAnsiTheme="minorHAnsi" w:cs="Arial"/>
        </w:rPr>
        <w:t>Na jednoho zaměstnance připadá v průměru</w:t>
      </w:r>
      <w:r w:rsidRPr="005F1629">
        <w:rPr>
          <w:rFonts w:asciiTheme="minorHAnsi" w:hAnsiTheme="minorHAnsi" w:cs="Arial"/>
          <w:color w:val="FF0000"/>
        </w:rPr>
        <w:t xml:space="preserve"> </w:t>
      </w:r>
      <w:r w:rsidRPr="005F1629">
        <w:rPr>
          <w:rFonts w:asciiTheme="minorHAnsi" w:hAnsiTheme="minorHAnsi" w:cs="Arial"/>
        </w:rPr>
        <w:t>1 989 pojištěnců, což je meziročně více o 51 pojištěnců.</w:t>
      </w:r>
    </w:p>
    <w:p w:rsidR="00466108" w:rsidRPr="005F1629" w:rsidRDefault="00466108" w:rsidP="00466108">
      <w:pPr>
        <w:rPr>
          <w:rFonts w:asciiTheme="minorHAnsi" w:hAnsiTheme="minorHAnsi" w:cs="Arial"/>
          <w:b/>
          <w:i/>
          <w:color w:val="FF0000"/>
          <w:u w:val="single"/>
        </w:rPr>
      </w:pPr>
    </w:p>
    <w:p w:rsidR="00466108" w:rsidRPr="005F1629" w:rsidRDefault="0083705E" w:rsidP="0083705E">
      <w:pPr>
        <w:rPr>
          <w:rFonts w:asciiTheme="minorHAnsi" w:hAnsiTheme="minorHAnsi" w:cs="Arial"/>
          <w:b/>
          <w:i/>
          <w:u w:val="single"/>
        </w:rPr>
      </w:pPr>
      <w:r w:rsidRPr="005F1629">
        <w:rPr>
          <w:rFonts w:asciiTheme="minorHAnsi" w:hAnsiTheme="minorHAnsi" w:cs="Arial"/>
          <w:b/>
          <w:i/>
          <w:u w:val="single"/>
        </w:rPr>
        <w:t>Plánované ukazatele</w:t>
      </w:r>
      <w:r w:rsidR="00466108" w:rsidRPr="005F1629">
        <w:rPr>
          <w:rFonts w:asciiTheme="minorHAnsi" w:hAnsiTheme="minorHAnsi" w:cs="Arial"/>
          <w:b/>
          <w:i/>
          <w:u w:val="single"/>
        </w:rPr>
        <w:t xml:space="preserve"> na rok 2014 </w:t>
      </w:r>
    </w:p>
    <w:p w:rsidR="00466108" w:rsidRPr="005F1629" w:rsidRDefault="00466108" w:rsidP="0083705E">
      <w:pPr>
        <w:pStyle w:val="Odstavecseseznamem"/>
        <w:numPr>
          <w:ilvl w:val="0"/>
          <w:numId w:val="28"/>
        </w:numPr>
        <w:suppressAutoHyphens/>
        <w:spacing w:after="0" w:line="240" w:lineRule="auto"/>
        <w:ind w:left="357" w:hanging="357"/>
        <w:contextualSpacing w:val="0"/>
        <w:jc w:val="both"/>
        <w:rPr>
          <w:rFonts w:asciiTheme="minorHAnsi" w:hAnsiTheme="minorHAnsi" w:cs="Arial"/>
          <w:sz w:val="24"/>
          <w:szCs w:val="24"/>
        </w:rPr>
      </w:pPr>
      <w:r w:rsidRPr="005F1629">
        <w:rPr>
          <w:rFonts w:asciiTheme="minorHAnsi" w:hAnsiTheme="minorHAnsi" w:cs="Arial"/>
          <w:b/>
          <w:sz w:val="24"/>
          <w:szCs w:val="24"/>
        </w:rPr>
        <w:t>Příjmy celkem včetně zdaňovaných</w:t>
      </w:r>
      <w:r w:rsidRPr="005F1629">
        <w:rPr>
          <w:rFonts w:asciiTheme="minorHAnsi" w:hAnsiTheme="minorHAnsi" w:cs="Arial"/>
          <w:sz w:val="24"/>
          <w:szCs w:val="24"/>
        </w:rPr>
        <w:t xml:space="preserve"> jsou odhadovány ve výši 24 658 619 tis. Kč s meziročním nárůstem o 4,8 %. Tyto plánované příjmy pokrývají plánované výdaje celkem včetně zdaňovaných z 95,4 %. </w:t>
      </w:r>
    </w:p>
    <w:p w:rsidR="00466108" w:rsidRPr="005F1629" w:rsidRDefault="00466108" w:rsidP="0083705E">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 xml:space="preserve">Příjmy z pojistného po přerozdělování </w:t>
      </w:r>
      <w:r w:rsidRPr="005F1629">
        <w:rPr>
          <w:rFonts w:asciiTheme="minorHAnsi" w:hAnsiTheme="minorHAnsi" w:cs="Arial"/>
          <w:sz w:val="24"/>
          <w:szCs w:val="24"/>
        </w:rPr>
        <w:t>jsou plánovány ve výši 24 471 000 tis.</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Kč s meziročním nárůstem o 5,1 %,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v tom </w:t>
      </w:r>
      <w:r w:rsidRPr="005F1629">
        <w:rPr>
          <w:rFonts w:asciiTheme="minorHAnsi" w:hAnsiTheme="minorHAnsi" w:cs="Arial"/>
          <w:b/>
          <w:sz w:val="24"/>
          <w:szCs w:val="24"/>
        </w:rPr>
        <w:t>příjmy z vlastního výběru pojistného</w:t>
      </w:r>
      <w:r w:rsidRPr="005F1629">
        <w:rPr>
          <w:rFonts w:asciiTheme="minorHAnsi" w:hAnsiTheme="minorHAnsi" w:cs="Arial"/>
          <w:sz w:val="24"/>
          <w:szCs w:val="24"/>
        </w:rPr>
        <w:t xml:space="preserve"> činí 23 071 000 tis. Kč</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s meziročním nárůstem o 1,9 % a peněžní prostředky</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plynoucí ZP MV ČR z přerozdělování v systému v. z. p. jsou odhadovány ve výši  1 400 000 tis. Kč s meziročním nárůstem o 84,2 %.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 xml:space="preserve">Odhad této meziroční změny je ovlivněn zejména zvýšením platby státu při očekávaném zvýšení počtu pojištěnců ZP MV ČR, za které je plátcem pojistného stát. </w:t>
      </w:r>
    </w:p>
    <w:p w:rsidR="00466108" w:rsidRPr="005F1629" w:rsidRDefault="00466108" w:rsidP="0083705E">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sz w:val="24"/>
          <w:szCs w:val="24"/>
        </w:rPr>
        <w:t>Průměrný příjem pojistného po přerozdělování na jednoho pojištěnce činí 19 874 Kč s meziročním nárůstem o 2,9 %.</w:t>
      </w:r>
    </w:p>
    <w:p w:rsidR="00466108" w:rsidRPr="005F1629" w:rsidRDefault="00466108" w:rsidP="0083705E">
      <w:pPr>
        <w:pStyle w:val="Odstavecseseznamem"/>
        <w:numPr>
          <w:ilvl w:val="0"/>
          <w:numId w:val="28"/>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Výdaje celkem včetně zdaňovaných</w:t>
      </w:r>
      <w:r w:rsidRPr="005F1629">
        <w:rPr>
          <w:rFonts w:asciiTheme="minorHAnsi" w:hAnsiTheme="minorHAnsi" w:cs="Arial"/>
          <w:sz w:val="24"/>
          <w:szCs w:val="24"/>
        </w:rPr>
        <w:t xml:space="preserve"> se plánují v částce 25 842 931 tis. Kč s  meziročním nárůstem o 5,5 %. Z toho největší podíl 96,3 % tvoří</w:t>
      </w:r>
      <w:r w:rsidRPr="005F1629">
        <w:rPr>
          <w:rFonts w:asciiTheme="minorHAnsi" w:hAnsiTheme="minorHAnsi" w:cs="Arial"/>
          <w:b/>
          <w:sz w:val="24"/>
          <w:szCs w:val="24"/>
        </w:rPr>
        <w:t xml:space="preserve"> výdaje na zdravotní služby hrazené</w:t>
      </w:r>
      <w:r w:rsidRPr="005F1629">
        <w:rPr>
          <w:rFonts w:asciiTheme="minorHAnsi" w:hAnsiTheme="minorHAnsi" w:cs="Arial"/>
          <w:sz w:val="24"/>
          <w:szCs w:val="24"/>
        </w:rPr>
        <w:t xml:space="preserve"> </w:t>
      </w:r>
      <w:r w:rsidRPr="005F1629">
        <w:rPr>
          <w:rFonts w:asciiTheme="minorHAnsi" w:hAnsiTheme="minorHAnsi" w:cs="Arial"/>
          <w:b/>
          <w:sz w:val="24"/>
          <w:szCs w:val="24"/>
        </w:rPr>
        <w:t>ze ZFZP</w:t>
      </w:r>
      <w:r w:rsidRPr="005F1629">
        <w:rPr>
          <w:rFonts w:asciiTheme="minorHAnsi" w:hAnsiTheme="minorHAnsi" w:cs="Arial"/>
          <w:sz w:val="24"/>
          <w:szCs w:val="24"/>
        </w:rPr>
        <w:t xml:space="preserve"> ve výši 24 896 000 tis. Kč s  meziročním nárůstem o 5,3 %,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kterým se naplňují záměry smluvní politiky ZP MV ČR pro rok 2014. (</w:t>
      </w:r>
      <w:r w:rsidRPr="005F1629">
        <w:rPr>
          <w:rFonts w:asciiTheme="minorHAnsi" w:hAnsiTheme="minorHAnsi" w:cs="Arial"/>
          <w:b/>
          <w:sz w:val="24"/>
          <w:szCs w:val="24"/>
        </w:rPr>
        <w:t>Výdaje na zdravotní služby na 1 pojištěnce ze ZFZP</w:t>
      </w:r>
      <w:r w:rsidRPr="005F1629">
        <w:rPr>
          <w:rFonts w:asciiTheme="minorHAnsi" w:hAnsiTheme="minorHAnsi" w:cs="Arial"/>
          <w:sz w:val="24"/>
          <w:szCs w:val="24"/>
        </w:rPr>
        <w:t xml:space="preserve"> činí 20 219 Kč s meziročním nárůstem o 3,1 %.) </w:t>
      </w:r>
      <w:r w:rsidRPr="005F1629">
        <w:rPr>
          <w:rFonts w:asciiTheme="minorHAnsi" w:hAnsiTheme="minorHAnsi" w:cs="Arial"/>
          <w:b/>
          <w:sz w:val="24"/>
          <w:szCs w:val="24"/>
        </w:rPr>
        <w:t xml:space="preserve">Výdaje </w:t>
      </w:r>
      <w:r w:rsidR="0083705E" w:rsidRPr="005F1629">
        <w:rPr>
          <w:rFonts w:asciiTheme="minorHAnsi" w:hAnsiTheme="minorHAnsi" w:cs="Arial"/>
          <w:b/>
          <w:sz w:val="24"/>
          <w:szCs w:val="24"/>
        </w:rPr>
        <w:t>na zdravotní služby hrazené z Fp</w:t>
      </w:r>
      <w:r w:rsidRPr="005F1629">
        <w:rPr>
          <w:rFonts w:asciiTheme="minorHAnsi" w:hAnsiTheme="minorHAnsi" w:cs="Arial"/>
          <w:b/>
          <w:sz w:val="24"/>
          <w:szCs w:val="24"/>
        </w:rPr>
        <w:t xml:space="preserve">rev  </w:t>
      </w:r>
      <w:r w:rsidRPr="005F1629">
        <w:rPr>
          <w:rFonts w:asciiTheme="minorHAnsi" w:hAnsiTheme="minorHAnsi" w:cs="Arial"/>
          <w:sz w:val="24"/>
          <w:szCs w:val="24"/>
        </w:rPr>
        <w:t>ve výši 105 095 tis. Kč vykazují  meziroční</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nárůst 0 %.</w:t>
      </w:r>
    </w:p>
    <w:p w:rsidR="00466108" w:rsidRPr="005F1629" w:rsidRDefault="00466108" w:rsidP="0083705E">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Výdaje PF</w:t>
      </w:r>
      <w:r w:rsidRPr="005F1629">
        <w:rPr>
          <w:rFonts w:asciiTheme="minorHAnsi" w:hAnsiTheme="minorHAnsi" w:cs="Arial"/>
          <w:sz w:val="24"/>
          <w:szCs w:val="24"/>
        </w:rPr>
        <w:t xml:space="preserve"> se plánují ve výši 1 159 025 tis. Kč s meziročním nárůstem o 21,7 %. Z toho výdaje na běžné provozní činnosti ve výši 705 218 tis. Kč rostou o 8,1 %.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Příděl ze ZFZP do PF</w:t>
      </w:r>
      <w:r w:rsidRPr="005F1629">
        <w:rPr>
          <w:rFonts w:asciiTheme="minorHAnsi" w:hAnsiTheme="minorHAnsi" w:cs="Arial"/>
          <w:b/>
          <w:sz w:val="24"/>
          <w:szCs w:val="24"/>
        </w:rPr>
        <w:t xml:space="preserve"> </w:t>
      </w:r>
      <w:r w:rsidRPr="005F1629">
        <w:rPr>
          <w:rFonts w:asciiTheme="minorHAnsi" w:hAnsiTheme="minorHAnsi" w:cs="Arial"/>
          <w:sz w:val="24"/>
          <w:szCs w:val="24"/>
        </w:rPr>
        <w:t>je plánován</w:t>
      </w:r>
      <w:r w:rsidRPr="005F1629">
        <w:rPr>
          <w:rFonts w:asciiTheme="minorHAnsi" w:hAnsiTheme="minorHAnsi" w:cs="Arial"/>
          <w:b/>
          <w:sz w:val="24"/>
          <w:szCs w:val="24"/>
        </w:rPr>
        <w:t xml:space="preserve"> </w:t>
      </w:r>
      <w:r w:rsidRPr="005F1629">
        <w:rPr>
          <w:rFonts w:asciiTheme="minorHAnsi" w:hAnsiTheme="minorHAnsi" w:cs="Arial"/>
          <w:sz w:val="24"/>
          <w:szCs w:val="24"/>
        </w:rPr>
        <w:t xml:space="preserve">ve výši </w:t>
      </w:r>
      <w:r w:rsidRPr="005F1629">
        <w:rPr>
          <w:rFonts w:asciiTheme="minorHAnsi" w:hAnsiTheme="minorHAnsi" w:cs="Arial"/>
          <w:b/>
          <w:sz w:val="24"/>
          <w:szCs w:val="24"/>
        </w:rPr>
        <w:t>3,38 %.</w:t>
      </w:r>
      <w:r w:rsidRPr="005F1629">
        <w:rPr>
          <w:rFonts w:asciiTheme="minorHAnsi" w:hAnsiTheme="minorHAnsi" w:cs="Arial"/>
          <w:sz w:val="24"/>
          <w:szCs w:val="24"/>
        </w:rPr>
        <w:t xml:space="preserve"> Plán skutečného přídělu ze ZFZP činí 660 400 tis. Kč </w:t>
      </w:r>
      <w:r w:rsidRPr="005F1629">
        <w:rPr>
          <w:rFonts w:asciiTheme="minorHAnsi" w:hAnsiTheme="minorHAnsi" w:cs="Arial"/>
          <w:sz w:val="24"/>
          <w:szCs w:val="24"/>
        </w:rPr>
        <w:lastRenderedPageBreak/>
        <w:t xml:space="preserve">s meziročním poklesem o 15,8 %. Proti maximálnímu možnému limitu tvorby PF je plánovaná úspora 171 000 tis. Kč. Tato úspora posílí zdroje ZFZP pro úhrady zdravotních služeb v cenových relacích vyplývajících z parametrů úhradové vyhlášky pro rok 2014. Limit převodu z PF do SF je dodržen. </w:t>
      </w:r>
    </w:p>
    <w:p w:rsidR="00466108" w:rsidRPr="005F1629" w:rsidRDefault="00466108" w:rsidP="0083705E">
      <w:pPr>
        <w:pStyle w:val="Odstavecseseznamem"/>
        <w:numPr>
          <w:ilvl w:val="0"/>
          <w:numId w:val="28"/>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i/>
          <w:sz w:val="24"/>
          <w:szCs w:val="24"/>
        </w:rPr>
        <w:t>S</w:t>
      </w:r>
      <w:r w:rsidRPr="005F1629">
        <w:rPr>
          <w:rFonts w:asciiTheme="minorHAnsi" w:hAnsiTheme="minorHAnsi" w:cs="Arial"/>
          <w:b/>
          <w:sz w:val="24"/>
          <w:szCs w:val="24"/>
        </w:rPr>
        <w:t xml:space="preserve">aldo plánovaných příjmů a výdajů celkem včetně zdaňovaných </w:t>
      </w:r>
      <w:r w:rsidRPr="005F1629">
        <w:rPr>
          <w:rFonts w:asciiTheme="minorHAnsi" w:hAnsiTheme="minorHAnsi" w:cs="Arial"/>
          <w:sz w:val="24"/>
          <w:szCs w:val="24"/>
        </w:rPr>
        <w:t>je záporné ve výši – 1 184 312 tis. Kč s meziročním nárůstem o 23 %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proti očekávanému zápornému saldu v roce 2013 ve výši – 962 993 tis. Kč. Toto saldo bude ZP MV ČR krýt snížením </w:t>
      </w:r>
      <w:r w:rsidR="0083705E" w:rsidRPr="005F1629">
        <w:rPr>
          <w:rFonts w:asciiTheme="minorHAnsi" w:hAnsiTheme="minorHAnsi" w:cs="Arial"/>
          <w:sz w:val="24"/>
          <w:szCs w:val="24"/>
        </w:rPr>
        <w:t>konečného zůstatku na BÚ ZFZP a</w:t>
      </w:r>
      <w:r w:rsidRPr="005F1629">
        <w:rPr>
          <w:rFonts w:asciiTheme="minorHAnsi" w:hAnsiTheme="minorHAnsi" w:cs="Arial"/>
          <w:sz w:val="24"/>
          <w:szCs w:val="24"/>
        </w:rPr>
        <w:t xml:space="preserve"> výrazným krácením zdrojů na provoz. </w:t>
      </w:r>
      <w:r w:rsidRPr="005F1629">
        <w:rPr>
          <w:rFonts w:asciiTheme="minorHAnsi" w:hAnsiTheme="minorHAnsi" w:cs="Arial"/>
          <w:b/>
          <w:sz w:val="24"/>
          <w:szCs w:val="24"/>
        </w:rPr>
        <w:t>Saldo plánovaných příjmů z pojistného po přerozdělování a výdajů ZFZP na zdravotní služby</w:t>
      </w:r>
      <w:r w:rsidRPr="005F1629">
        <w:rPr>
          <w:rFonts w:asciiTheme="minorHAnsi" w:hAnsiTheme="minorHAnsi" w:cs="Arial"/>
          <w:sz w:val="24"/>
          <w:szCs w:val="24"/>
        </w:rPr>
        <w:t xml:space="preserve"> vykazuje zápornou hodnotu - 425 000 tis. Kč, v přepočtu na 1 pojištěnce ve výši - 345 Kč.</w:t>
      </w:r>
    </w:p>
    <w:p w:rsidR="00466108" w:rsidRPr="005F1629" w:rsidRDefault="00466108" w:rsidP="0083705E">
      <w:pPr>
        <w:pStyle w:val="Odstavecseseznamem"/>
        <w:numPr>
          <w:ilvl w:val="0"/>
          <w:numId w:val="28"/>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Stav pohledávek celkem</w:t>
      </w:r>
      <w:r w:rsidRPr="005F1629">
        <w:rPr>
          <w:rFonts w:asciiTheme="minorHAnsi" w:hAnsiTheme="minorHAnsi" w:cs="Arial"/>
          <w:sz w:val="24"/>
          <w:szCs w:val="24"/>
        </w:rPr>
        <w:t xml:space="preserve"> k  31. 12. 2014 je odhadován ve výši 3 265 413 tis. Kč s meziročním nárůstem o 2,5 %.</w:t>
      </w:r>
      <w:r w:rsidRPr="005F1629">
        <w:rPr>
          <w:rFonts w:asciiTheme="minorHAnsi" w:hAnsiTheme="minorHAnsi" w:cs="Arial"/>
          <w:color w:val="FF0000"/>
          <w:sz w:val="24"/>
          <w:szCs w:val="24"/>
        </w:rPr>
        <w:t xml:space="preserve"> </w:t>
      </w:r>
      <w:r w:rsidRPr="005F1629">
        <w:rPr>
          <w:rFonts w:asciiTheme="minorHAnsi" w:hAnsiTheme="minorHAnsi" w:cs="Arial"/>
          <w:b/>
          <w:sz w:val="24"/>
          <w:szCs w:val="24"/>
        </w:rPr>
        <w:t>Z toho u pohledávek po lhůtě splatnosti za plátci pojistného</w:t>
      </w:r>
      <w:r w:rsidRPr="005F1629">
        <w:rPr>
          <w:rFonts w:asciiTheme="minorHAnsi" w:hAnsiTheme="minorHAnsi" w:cs="Arial"/>
          <w:sz w:val="24"/>
          <w:szCs w:val="24"/>
        </w:rPr>
        <w:t xml:space="preserve"> ZP MV ČR odhaduje zvýšení o 3 % na 1 203 856 tis. Kč.</w:t>
      </w:r>
      <w:r w:rsidRPr="005F1629">
        <w:rPr>
          <w:rFonts w:asciiTheme="minorHAnsi" w:hAnsiTheme="minorHAnsi" w:cs="Arial"/>
          <w:color w:val="FF0000"/>
          <w:sz w:val="24"/>
          <w:szCs w:val="24"/>
        </w:rPr>
        <w:t xml:space="preserve"> </w:t>
      </w:r>
      <w:r w:rsidRPr="005F1629">
        <w:rPr>
          <w:rFonts w:asciiTheme="minorHAnsi" w:hAnsiTheme="minorHAnsi" w:cs="Arial"/>
          <w:b/>
          <w:sz w:val="24"/>
          <w:szCs w:val="24"/>
        </w:rPr>
        <w:t>Dohadné položky aktivní</w:t>
      </w:r>
      <w:r w:rsidRPr="005F1629">
        <w:rPr>
          <w:rFonts w:asciiTheme="minorHAnsi" w:hAnsiTheme="minorHAnsi" w:cs="Arial"/>
          <w:sz w:val="24"/>
          <w:szCs w:val="24"/>
        </w:rPr>
        <w:t xml:space="preserve"> plánovány nejsou. </w:t>
      </w:r>
      <w:r w:rsidRPr="005F1629">
        <w:rPr>
          <w:rFonts w:asciiTheme="minorHAnsi" w:hAnsiTheme="minorHAnsi" w:cs="Arial"/>
          <w:b/>
          <w:sz w:val="24"/>
          <w:szCs w:val="24"/>
        </w:rPr>
        <w:t>Stav opravných položek</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k pohledávkám dosáhne částky 1 372 069 tis. Kč s meziročním nárůstem o 0,5 %.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Odpis pohledávek ze ZFZP je plánován ve výši 198 000 tis. Kč.</w:t>
      </w:r>
    </w:p>
    <w:p w:rsidR="00466108" w:rsidRPr="005F1629" w:rsidRDefault="00466108" w:rsidP="0083705E">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b/>
          <w:sz w:val="24"/>
          <w:szCs w:val="24"/>
        </w:rPr>
        <w:t>Stav závazků celkem</w:t>
      </w:r>
      <w:r w:rsidRPr="005F1629">
        <w:rPr>
          <w:rFonts w:asciiTheme="minorHAnsi" w:hAnsiTheme="minorHAnsi" w:cs="Arial"/>
          <w:sz w:val="24"/>
          <w:szCs w:val="24"/>
        </w:rPr>
        <w:t xml:space="preserve"> k 31. 12. 2014 je odhadován ve výši 3 349 035 tis. Kč s meziročním nárůstem o 7,1 %, v tom </w:t>
      </w:r>
      <w:r w:rsidRPr="005F1629">
        <w:rPr>
          <w:rFonts w:asciiTheme="minorHAnsi" w:hAnsiTheme="minorHAnsi" w:cs="Arial"/>
          <w:b/>
          <w:sz w:val="24"/>
          <w:szCs w:val="24"/>
        </w:rPr>
        <w:t>závazky ve lhůtě splatnosti</w:t>
      </w:r>
      <w:r w:rsidRPr="005F1629">
        <w:rPr>
          <w:rFonts w:asciiTheme="minorHAnsi" w:hAnsiTheme="minorHAnsi" w:cs="Arial"/>
          <w:sz w:val="24"/>
          <w:szCs w:val="24"/>
        </w:rPr>
        <w:t xml:space="preserve"> vůči poskytovatelům zdravotních služeb představují</w:t>
      </w:r>
      <w:r w:rsidRPr="005F1629">
        <w:rPr>
          <w:rFonts w:asciiTheme="minorHAnsi" w:hAnsiTheme="minorHAnsi"/>
          <w:sz w:val="24"/>
          <w:szCs w:val="24"/>
        </w:rPr>
        <w:t xml:space="preserve"> </w:t>
      </w:r>
      <w:r w:rsidRPr="005F1629">
        <w:rPr>
          <w:rFonts w:asciiTheme="minorHAnsi" w:hAnsiTheme="minorHAnsi" w:cs="Arial"/>
          <w:sz w:val="24"/>
          <w:szCs w:val="24"/>
        </w:rPr>
        <w:t>3 257 035 tis. Kč (tj. meziroční nárůst o 7,4 %) a ostatní závazky 92 000 tis. Kč (nárůst 0 %).</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ZP MV ČR</w:t>
      </w:r>
      <w:r w:rsidRPr="005F1629">
        <w:rPr>
          <w:rFonts w:asciiTheme="minorHAnsi" w:hAnsiTheme="minorHAnsi" w:cs="Arial"/>
          <w:color w:val="FF0000"/>
          <w:sz w:val="24"/>
          <w:szCs w:val="24"/>
        </w:rPr>
        <w:t xml:space="preserve"> </w:t>
      </w:r>
      <w:r w:rsidRPr="005F1629">
        <w:rPr>
          <w:rFonts w:asciiTheme="minorHAnsi" w:hAnsiTheme="minorHAnsi" w:cs="Arial"/>
          <w:sz w:val="24"/>
          <w:szCs w:val="24"/>
        </w:rPr>
        <w:t>nepočítá na konci roku 2014 se vznikem</w:t>
      </w:r>
      <w:r w:rsidRPr="005F1629">
        <w:rPr>
          <w:rFonts w:asciiTheme="minorHAnsi" w:hAnsiTheme="minorHAnsi" w:cs="Arial"/>
          <w:b/>
          <w:sz w:val="24"/>
          <w:szCs w:val="24"/>
        </w:rPr>
        <w:t xml:space="preserve"> závazků po lhůtě splatnosti vůči poskytovatelům zdravotních služeb</w:t>
      </w:r>
      <w:r w:rsidRPr="005F1629">
        <w:rPr>
          <w:rFonts w:asciiTheme="minorHAnsi" w:hAnsiTheme="minorHAnsi" w:cs="Arial"/>
          <w:sz w:val="24"/>
          <w:szCs w:val="24"/>
        </w:rPr>
        <w:t xml:space="preserve">. </w:t>
      </w:r>
      <w:r w:rsidRPr="005F1629">
        <w:rPr>
          <w:rFonts w:asciiTheme="minorHAnsi" w:hAnsiTheme="minorHAnsi" w:cs="Arial"/>
          <w:b/>
          <w:sz w:val="24"/>
          <w:szCs w:val="24"/>
        </w:rPr>
        <w:t>Dohadné položky pasivní</w:t>
      </w:r>
      <w:r w:rsidRPr="005F1629">
        <w:rPr>
          <w:rFonts w:asciiTheme="minorHAnsi" w:hAnsiTheme="minorHAnsi" w:cs="Arial"/>
          <w:b/>
          <w:color w:val="FF0000"/>
          <w:sz w:val="24"/>
          <w:szCs w:val="24"/>
        </w:rPr>
        <w:t xml:space="preserve"> </w:t>
      </w:r>
      <w:r w:rsidRPr="005F1629">
        <w:rPr>
          <w:rFonts w:asciiTheme="minorHAnsi" w:hAnsiTheme="minorHAnsi" w:cs="Arial"/>
          <w:sz w:val="24"/>
          <w:szCs w:val="24"/>
        </w:rPr>
        <w:t xml:space="preserve">ve výši 655 700 tis. Kč se meziročně zvýší o 1,1 %. </w:t>
      </w:r>
    </w:p>
    <w:p w:rsidR="00466108" w:rsidRPr="005F1629" w:rsidRDefault="00466108" w:rsidP="0083705E">
      <w:pPr>
        <w:pStyle w:val="Odstavecseseznamem"/>
        <w:numPr>
          <w:ilvl w:val="0"/>
          <w:numId w:val="28"/>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 xml:space="preserve">Stav peněžních prostředků na všech BÚ fondů </w:t>
      </w:r>
      <w:r w:rsidRPr="005F1629">
        <w:rPr>
          <w:rFonts w:asciiTheme="minorHAnsi" w:hAnsiTheme="minorHAnsi" w:cs="Arial"/>
          <w:sz w:val="24"/>
          <w:szCs w:val="24"/>
        </w:rPr>
        <w:t xml:space="preserve">k  31. 12. 2014 je odhadován ve výši 2 432 295 tis. Kč s meziročním poklesem o 32,7 % (tj. o 1 182 272 tis. Kč). Plánovaný zůstatek na BÚ ZFZP k 31. 12. 2014 ve výši 342 137 tis. Kč se meziročně výrazně snižuje o 76 % očekávaného zůstatku na konci roku 2013 (snížení o 1 081 634 tis. Kč). Limit RF bude naplněn peněžním zůstatkem k 31. 12. 2014 ve výši 355 772 tis. Kč. </w:t>
      </w:r>
    </w:p>
    <w:p w:rsidR="00466108" w:rsidRPr="005F1629" w:rsidRDefault="00466108" w:rsidP="0083705E">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sz w:val="24"/>
          <w:szCs w:val="24"/>
        </w:rPr>
        <w:t xml:space="preserve">ZP MV ČR není zatížena splátkami úvěrů ani návratné finanční výpomoci a neplánuje jejich přijetí ani v roce 2014. </w:t>
      </w:r>
    </w:p>
    <w:p w:rsidR="00466108" w:rsidRPr="005F1629" w:rsidRDefault="00466108" w:rsidP="0083705E">
      <w:pPr>
        <w:pStyle w:val="Odstavecseseznamem"/>
        <w:numPr>
          <w:ilvl w:val="0"/>
          <w:numId w:val="28"/>
        </w:numPr>
        <w:suppressAutoHyphens/>
        <w:spacing w:after="0" w:line="240" w:lineRule="auto"/>
        <w:ind w:left="330" w:hanging="330"/>
        <w:contextualSpacing w:val="0"/>
        <w:jc w:val="both"/>
        <w:rPr>
          <w:rFonts w:asciiTheme="minorHAnsi" w:hAnsiTheme="minorHAnsi" w:cs="Arial"/>
          <w:sz w:val="24"/>
          <w:szCs w:val="24"/>
        </w:rPr>
      </w:pPr>
      <w:r w:rsidRPr="005F1629">
        <w:rPr>
          <w:rFonts w:asciiTheme="minorHAnsi" w:hAnsiTheme="minorHAnsi" w:cs="Arial"/>
          <w:b/>
          <w:sz w:val="24"/>
          <w:szCs w:val="24"/>
        </w:rPr>
        <w:t xml:space="preserve">Ostatní zdaňovaná činnost </w:t>
      </w:r>
      <w:r w:rsidRPr="005F1629">
        <w:rPr>
          <w:rFonts w:asciiTheme="minorHAnsi" w:hAnsiTheme="minorHAnsi" w:cs="Arial"/>
          <w:sz w:val="24"/>
          <w:szCs w:val="24"/>
        </w:rPr>
        <w:t xml:space="preserve">představuje pronájem nevyužitých provozních prostor a provizi při zprostředkování komerčního připojištění a pojištění. Její výnosy jsou plánovány ve výši 10 975 tis. Kč (tj. meziroční pokles o 20,3 %) a náklady ve výši 10 068 tis. Kč (tj. meziroční pokles o 13,6 %). Odhadovaný hospodářský výsledek před zdaněním 907 tis. Kč tak meziročně klesá o 57,3 %. </w:t>
      </w:r>
    </w:p>
    <w:p w:rsidR="00466108" w:rsidRPr="005F1629" w:rsidRDefault="00466108" w:rsidP="0083705E">
      <w:pPr>
        <w:pStyle w:val="Odstavecseseznamem"/>
        <w:numPr>
          <w:ilvl w:val="0"/>
          <w:numId w:val="28"/>
        </w:numPr>
        <w:suppressAutoHyphens/>
        <w:spacing w:after="0" w:line="240" w:lineRule="auto"/>
        <w:ind w:left="330" w:hanging="330"/>
        <w:contextualSpacing w:val="0"/>
        <w:jc w:val="both"/>
        <w:rPr>
          <w:rFonts w:asciiTheme="minorHAnsi" w:hAnsiTheme="minorHAnsi" w:cs="Arial"/>
          <w:b/>
          <w:sz w:val="24"/>
          <w:szCs w:val="24"/>
        </w:rPr>
      </w:pPr>
      <w:r w:rsidRPr="005F1629">
        <w:rPr>
          <w:rFonts w:asciiTheme="minorHAnsi" w:hAnsiTheme="minorHAnsi" w:cs="Arial"/>
          <w:b/>
          <w:sz w:val="24"/>
          <w:szCs w:val="24"/>
        </w:rPr>
        <w:t>Specifické informace</w:t>
      </w:r>
    </w:p>
    <w:p w:rsidR="00466108" w:rsidRPr="005F1629" w:rsidRDefault="00466108" w:rsidP="00F76ECB">
      <w:pPr>
        <w:ind w:left="330"/>
        <w:jc w:val="both"/>
        <w:rPr>
          <w:rFonts w:asciiTheme="minorHAnsi" w:hAnsiTheme="minorHAnsi" w:cs="Arial"/>
        </w:rPr>
      </w:pPr>
      <w:r w:rsidRPr="005F1629">
        <w:rPr>
          <w:rFonts w:asciiTheme="minorHAnsi" w:hAnsiTheme="minorHAnsi" w:cs="Arial"/>
        </w:rPr>
        <w:t xml:space="preserve">Založení dceřiné společnosti, nadačního fondu nebo jiné účasti v cizí společnosti ZP MV ČR dosud nerealizovala a ani neplánuje rozšíření své činnosti tímto směrem. </w:t>
      </w:r>
    </w:p>
    <w:p w:rsidR="00466108" w:rsidRPr="005F1629" w:rsidRDefault="00466108" w:rsidP="00F76ECB">
      <w:pPr>
        <w:ind w:firstLine="330"/>
        <w:jc w:val="both"/>
        <w:rPr>
          <w:rFonts w:asciiTheme="minorHAnsi" w:hAnsiTheme="minorHAnsi" w:cs="Arial"/>
        </w:rPr>
      </w:pPr>
      <w:r w:rsidRPr="005F1629">
        <w:rPr>
          <w:rFonts w:asciiTheme="minorHAnsi" w:hAnsiTheme="minorHAnsi" w:cs="Arial"/>
        </w:rPr>
        <w:t>ZP MV ČR nevytváří specifické fondy.</w:t>
      </w:r>
    </w:p>
    <w:p w:rsidR="00F76ECB" w:rsidRPr="005F1629" w:rsidRDefault="00466108" w:rsidP="00F76ECB">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sz w:val="24"/>
          <w:szCs w:val="24"/>
        </w:rPr>
        <w:t>V roce 2014 ZP MV ČR plánuje finanční investice do cenných papírů z prostředků PF a RF v celkové výši 160 416 tis. Kč (stejně jako v roce 2013).</w:t>
      </w:r>
      <w:r w:rsidR="00F76ECB" w:rsidRPr="005F1629">
        <w:rPr>
          <w:rFonts w:asciiTheme="minorHAnsi" w:hAnsiTheme="minorHAnsi" w:cs="Arial"/>
          <w:sz w:val="24"/>
          <w:szCs w:val="24"/>
        </w:rPr>
        <w:t xml:space="preserve"> </w:t>
      </w:r>
    </w:p>
    <w:p w:rsidR="00466108" w:rsidRDefault="00466108" w:rsidP="00F76ECB">
      <w:pPr>
        <w:pStyle w:val="Odstavecseseznamem"/>
        <w:spacing w:line="240" w:lineRule="auto"/>
        <w:ind w:left="330"/>
        <w:jc w:val="both"/>
        <w:rPr>
          <w:rFonts w:asciiTheme="minorHAnsi" w:hAnsiTheme="minorHAnsi" w:cs="Arial"/>
          <w:sz w:val="24"/>
          <w:szCs w:val="24"/>
        </w:rPr>
      </w:pPr>
      <w:r w:rsidRPr="005F1629">
        <w:rPr>
          <w:rFonts w:asciiTheme="minorHAnsi" w:hAnsiTheme="minorHAnsi" w:cs="Arial"/>
          <w:sz w:val="24"/>
          <w:szCs w:val="24"/>
        </w:rPr>
        <w:t>Jedním ze základních cílů ZP MV ČR je rozvoj moderních komunikačních technologií, aktivně nabízí elektronickou formu komunikace, nadále rozvíjí Kartu života a její funkce.</w:t>
      </w:r>
      <w:r w:rsidR="00F76ECB" w:rsidRPr="005F1629">
        <w:rPr>
          <w:rFonts w:asciiTheme="minorHAnsi" w:hAnsiTheme="minorHAnsi" w:cs="Arial"/>
          <w:sz w:val="24"/>
          <w:szCs w:val="24"/>
        </w:rPr>
        <w:t xml:space="preserve"> </w:t>
      </w:r>
      <w:r w:rsidRPr="005F1629">
        <w:rPr>
          <w:rFonts w:asciiTheme="minorHAnsi" w:hAnsiTheme="minorHAnsi" w:cs="Arial"/>
          <w:sz w:val="24"/>
          <w:szCs w:val="24"/>
        </w:rPr>
        <w:t>ZP MV ČR jako první ze zdravotních pojišťoven získává údaje o plátcích a pojištěncích ze základních registrů (zejména základního registru obyvatel).</w:t>
      </w:r>
    </w:p>
    <w:p w:rsidR="00F80F37" w:rsidRPr="005F1629" w:rsidRDefault="00F80F37" w:rsidP="00F76ECB">
      <w:pPr>
        <w:pStyle w:val="Odstavecseseznamem"/>
        <w:spacing w:line="240" w:lineRule="auto"/>
        <w:ind w:left="330"/>
        <w:jc w:val="both"/>
        <w:rPr>
          <w:rFonts w:asciiTheme="minorHAnsi" w:hAnsiTheme="minorHAnsi" w:cs="Arial"/>
          <w:sz w:val="24"/>
          <w:szCs w:val="24"/>
        </w:rPr>
      </w:pPr>
    </w:p>
    <w:p w:rsidR="00466108" w:rsidRPr="005F1629" w:rsidRDefault="00466108" w:rsidP="0034709A">
      <w:pPr>
        <w:jc w:val="both"/>
        <w:rPr>
          <w:rFonts w:asciiTheme="minorHAnsi" w:hAnsiTheme="minorHAnsi" w:cs="Arial"/>
        </w:rPr>
      </w:pPr>
    </w:p>
    <w:p w:rsidR="0034709A" w:rsidRPr="005F1629" w:rsidRDefault="0034709A" w:rsidP="0034709A">
      <w:pPr>
        <w:jc w:val="both"/>
        <w:rPr>
          <w:rFonts w:asciiTheme="minorHAnsi" w:hAnsiTheme="minorHAnsi" w:cs="Arial"/>
          <w:b/>
          <w:sz w:val="28"/>
          <w:szCs w:val="28"/>
          <w:u w:val="single"/>
        </w:rPr>
      </w:pPr>
      <w:r w:rsidRPr="005F1629">
        <w:rPr>
          <w:rFonts w:asciiTheme="minorHAnsi" w:hAnsiTheme="minorHAnsi" w:cs="Arial"/>
          <w:b/>
          <w:sz w:val="28"/>
          <w:szCs w:val="28"/>
          <w:u w:val="single"/>
        </w:rPr>
        <w:lastRenderedPageBreak/>
        <w:t xml:space="preserve">Hodnocení </w:t>
      </w:r>
      <w:r w:rsidR="00466108" w:rsidRPr="005F1629">
        <w:rPr>
          <w:rFonts w:asciiTheme="minorHAnsi" w:hAnsiTheme="minorHAnsi" w:cs="Arial"/>
          <w:b/>
          <w:sz w:val="28"/>
          <w:szCs w:val="28"/>
          <w:u w:val="single"/>
        </w:rPr>
        <w:t>zdravotní</w:t>
      </w:r>
    </w:p>
    <w:p w:rsidR="0034709A" w:rsidRPr="005F1629" w:rsidRDefault="0034709A" w:rsidP="0034709A">
      <w:pPr>
        <w:jc w:val="both"/>
        <w:rPr>
          <w:rFonts w:asciiTheme="minorHAnsi" w:hAnsiTheme="minorHAnsi" w:cs="Arial"/>
          <w:i/>
          <w:sz w:val="20"/>
          <w:szCs w:val="20"/>
        </w:rPr>
      </w:pPr>
      <w:r w:rsidRPr="005F1629">
        <w:rPr>
          <w:rFonts w:asciiTheme="minorHAnsi" w:hAnsiTheme="minorHAnsi" w:cs="Arial"/>
          <w:i/>
          <w:sz w:val="20"/>
          <w:szCs w:val="20"/>
        </w:rPr>
        <w:t>(použité číselné údaje jsou obsaženy v příloze, v tabulkách č. 4, 4a), 4b), 4c), příp. ve ZPP 2014</w:t>
      </w:r>
    </w:p>
    <w:p w:rsidR="009139B3" w:rsidRPr="005F1629" w:rsidRDefault="009139B3" w:rsidP="0034709A">
      <w:pPr>
        <w:jc w:val="both"/>
        <w:rPr>
          <w:rFonts w:asciiTheme="minorHAnsi" w:hAnsiTheme="minorHAnsi" w:cs="Arial"/>
          <w:i/>
          <w:sz w:val="20"/>
          <w:szCs w:val="20"/>
        </w:rPr>
      </w:pPr>
    </w:p>
    <w:p w:rsidR="001C28C6" w:rsidRPr="005F1629" w:rsidRDefault="001C28C6" w:rsidP="0083705E">
      <w:pPr>
        <w:spacing w:after="120"/>
        <w:ind w:firstLine="357"/>
        <w:jc w:val="both"/>
        <w:rPr>
          <w:rFonts w:asciiTheme="minorHAnsi" w:hAnsiTheme="minorHAnsi" w:cs="Arial"/>
        </w:rPr>
      </w:pPr>
      <w:r w:rsidRPr="005F1629">
        <w:rPr>
          <w:rFonts w:asciiTheme="minorHAnsi" w:hAnsiTheme="minorHAnsi" w:cs="Arial"/>
        </w:rPr>
        <w:t>ZP MV ČR uvádí, že cílem</w:t>
      </w:r>
      <w:r w:rsidR="009139B3" w:rsidRPr="005F1629">
        <w:rPr>
          <w:rFonts w:asciiTheme="minorHAnsi" w:hAnsiTheme="minorHAnsi" w:cs="Arial"/>
        </w:rPr>
        <w:t xml:space="preserve"> </w:t>
      </w:r>
      <w:r w:rsidRPr="005F1629">
        <w:rPr>
          <w:rFonts w:asciiTheme="minorHAnsi" w:hAnsiTheme="minorHAnsi" w:cs="Arial"/>
        </w:rPr>
        <w:t>jej</w:t>
      </w:r>
      <w:r w:rsidR="00950D68" w:rsidRPr="005F1629">
        <w:rPr>
          <w:rFonts w:asciiTheme="minorHAnsi" w:hAnsiTheme="minorHAnsi" w:cs="Arial"/>
        </w:rPr>
        <w:t>í</w:t>
      </w:r>
      <w:r w:rsidRPr="005F1629">
        <w:rPr>
          <w:rFonts w:asciiTheme="minorHAnsi" w:hAnsiTheme="minorHAnsi" w:cs="Arial"/>
        </w:rPr>
        <w:t xml:space="preserve"> </w:t>
      </w:r>
      <w:r w:rsidRPr="005F1629">
        <w:rPr>
          <w:rFonts w:asciiTheme="minorHAnsi" w:hAnsiTheme="minorHAnsi" w:cs="Arial"/>
          <w:b/>
        </w:rPr>
        <w:t>smluvní politiky</w:t>
      </w:r>
      <w:r w:rsidRPr="005F1629">
        <w:rPr>
          <w:rFonts w:asciiTheme="minorHAnsi" w:hAnsiTheme="minorHAnsi" w:cs="Arial"/>
        </w:rPr>
        <w:t xml:space="preserve"> </w:t>
      </w:r>
      <w:r w:rsidR="009139B3" w:rsidRPr="005F1629">
        <w:rPr>
          <w:rFonts w:asciiTheme="minorHAnsi" w:hAnsiTheme="minorHAnsi" w:cs="Arial"/>
        </w:rPr>
        <w:t xml:space="preserve">je zajistit pro pojištěnce dostupnost hrazených zdravotních služeb v maximální kvalitě, a to především kultivací sítě stávajících smluvních PZS. </w:t>
      </w:r>
    </w:p>
    <w:p w:rsidR="009139B3" w:rsidRPr="005F1629" w:rsidRDefault="009139B3" w:rsidP="0083705E">
      <w:pPr>
        <w:spacing w:after="120"/>
        <w:ind w:firstLine="357"/>
        <w:jc w:val="both"/>
        <w:rPr>
          <w:rFonts w:asciiTheme="minorHAnsi" w:hAnsiTheme="minorHAnsi" w:cs="Arial"/>
        </w:rPr>
      </w:pPr>
      <w:r w:rsidRPr="005F1629">
        <w:rPr>
          <w:rFonts w:asciiTheme="minorHAnsi" w:hAnsiTheme="minorHAnsi" w:cs="Arial"/>
        </w:rPr>
        <w:t>Pojišťovna neplánuje zásadní změny v síti smluvních PZS</w:t>
      </w:r>
      <w:r w:rsidR="005D1D21" w:rsidRPr="005F1629">
        <w:rPr>
          <w:rFonts w:asciiTheme="minorHAnsi" w:hAnsiTheme="minorHAnsi" w:cs="Arial"/>
        </w:rPr>
        <w:t xml:space="preserve"> (Tabulka č. 1)</w:t>
      </w:r>
      <w:r w:rsidRPr="005F1629">
        <w:rPr>
          <w:rFonts w:asciiTheme="minorHAnsi" w:hAnsiTheme="minorHAnsi" w:cs="Arial"/>
        </w:rPr>
        <w:t xml:space="preserve">. </w:t>
      </w:r>
      <w:r w:rsidR="001C28C6" w:rsidRPr="005F1629">
        <w:rPr>
          <w:rFonts w:asciiTheme="minorHAnsi" w:hAnsiTheme="minorHAnsi" w:cs="Arial"/>
        </w:rPr>
        <w:t xml:space="preserve">Dojde pouze k mírnému nárůstu smluvních poskytovatelů, což odpovídá trendu minulých let. </w:t>
      </w:r>
      <w:r w:rsidRPr="005F1629">
        <w:rPr>
          <w:rFonts w:asciiTheme="minorHAnsi" w:hAnsiTheme="minorHAnsi" w:cs="Arial"/>
        </w:rPr>
        <w:t>U ambulantních PZS lze jak v primární péči, tak u specialistů předpokládat jen m</w:t>
      </w:r>
      <w:r w:rsidR="001C28C6" w:rsidRPr="005F1629">
        <w:rPr>
          <w:rFonts w:asciiTheme="minorHAnsi" w:hAnsiTheme="minorHAnsi" w:cs="Arial"/>
        </w:rPr>
        <w:t xml:space="preserve">inimální navýšení jejich počtu. </w:t>
      </w:r>
      <w:r w:rsidRPr="005F1629">
        <w:rPr>
          <w:rFonts w:asciiTheme="minorHAnsi" w:hAnsiTheme="minorHAnsi" w:cs="Arial"/>
        </w:rPr>
        <w:t>U lůžkových PZS se očekává mírný nárůst v případě rehabilitačních OLÚ, neboť část kapacit lázní se zřejmě bude transformovat na léčebně rehabilitační péči typu OLÚ.</w:t>
      </w:r>
    </w:p>
    <w:p w:rsidR="00E75549" w:rsidRPr="005F1629" w:rsidRDefault="00E75549" w:rsidP="00E75549">
      <w:pPr>
        <w:pStyle w:val="Zkladntext210"/>
        <w:spacing w:before="120"/>
        <w:rPr>
          <w:rFonts w:asciiTheme="minorHAnsi" w:hAnsiTheme="minorHAnsi" w:cs="Arial"/>
          <w:szCs w:val="24"/>
        </w:rPr>
      </w:pPr>
      <w:r w:rsidRPr="005F1629">
        <w:rPr>
          <w:rFonts w:asciiTheme="minorHAnsi" w:hAnsiTheme="minorHAnsi" w:cs="Arial"/>
          <w:szCs w:val="24"/>
        </w:rPr>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E75549" w:rsidRPr="005F1629" w:rsidTr="00E75549">
        <w:tc>
          <w:tcPr>
            <w:tcW w:w="534" w:type="dxa"/>
            <w:shd w:val="solid" w:color="000080" w:fill="FFFFFF"/>
          </w:tcPr>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E75549" w:rsidRPr="005F1629" w:rsidRDefault="00E75549" w:rsidP="00E75549">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22 169</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22 329</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22 447</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22 480</w:t>
            </w:r>
          </w:p>
        </w:tc>
        <w:tc>
          <w:tcPr>
            <w:tcW w:w="1016" w:type="dxa"/>
            <w:shd w:val="clear" w:color="auto" w:fill="auto"/>
            <w:vAlign w:val="bottom"/>
          </w:tcPr>
          <w:p w:rsidR="00E75549" w:rsidRPr="005F1629" w:rsidRDefault="00E75549" w:rsidP="00DE0C41">
            <w:pPr>
              <w:jc w:val="right"/>
              <w:rPr>
                <w:rFonts w:asciiTheme="minorHAnsi" w:hAnsiTheme="minorHAnsi" w:cs="Arial"/>
                <w:bCs/>
                <w:iCs/>
                <w:sz w:val="22"/>
                <w:szCs w:val="22"/>
              </w:rPr>
            </w:pPr>
            <w:r w:rsidRPr="005F1629">
              <w:rPr>
                <w:rFonts w:asciiTheme="minorHAnsi" w:hAnsiTheme="minorHAnsi" w:cs="Arial"/>
                <w:bCs/>
                <w:iCs/>
                <w:sz w:val="22"/>
                <w:szCs w:val="22"/>
              </w:rPr>
              <w:t>22 493</w:t>
            </w:r>
          </w:p>
        </w:tc>
        <w:tc>
          <w:tcPr>
            <w:tcW w:w="1016" w:type="dxa"/>
            <w:shd w:val="clear" w:color="auto" w:fill="auto"/>
            <w:vAlign w:val="bottom"/>
          </w:tcPr>
          <w:p w:rsidR="00E75549" w:rsidRPr="005F1629" w:rsidRDefault="00E75549" w:rsidP="00DE0C41">
            <w:pPr>
              <w:jc w:val="right"/>
              <w:rPr>
                <w:rFonts w:asciiTheme="minorHAnsi" w:hAnsiTheme="minorHAnsi" w:cs="Arial"/>
                <w:bCs/>
                <w:iCs/>
                <w:sz w:val="22"/>
                <w:szCs w:val="22"/>
              </w:rPr>
            </w:pPr>
            <w:r w:rsidRPr="005F1629">
              <w:rPr>
                <w:rFonts w:asciiTheme="minorHAnsi" w:hAnsiTheme="minorHAnsi" w:cs="Arial"/>
                <w:bCs/>
                <w:iCs/>
                <w:sz w:val="22"/>
                <w:szCs w:val="22"/>
              </w:rPr>
              <w:t>22 540</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p>
        </w:tc>
        <w:tc>
          <w:tcPr>
            <w:tcW w:w="1016" w:type="dxa"/>
            <w:shd w:val="clear" w:color="auto" w:fill="auto"/>
            <w:vAlign w:val="bottom"/>
          </w:tcPr>
          <w:p w:rsidR="00E75549" w:rsidRPr="005F1629" w:rsidRDefault="00E75549" w:rsidP="00DE0C41">
            <w:pPr>
              <w:jc w:val="right"/>
              <w:rPr>
                <w:rFonts w:asciiTheme="minorHAnsi" w:hAnsiTheme="minorHAnsi" w:cs="Arial"/>
                <w:color w:val="000000"/>
                <w:sz w:val="22"/>
                <w:szCs w:val="22"/>
              </w:rPr>
            </w:pPr>
          </w:p>
        </w:tc>
        <w:tc>
          <w:tcPr>
            <w:tcW w:w="1016" w:type="dxa"/>
            <w:shd w:val="clear" w:color="auto" w:fill="auto"/>
            <w:vAlign w:val="bottom"/>
          </w:tcPr>
          <w:p w:rsidR="00E75549" w:rsidRPr="005F1629" w:rsidRDefault="00E75549" w:rsidP="00DE0C41">
            <w:pPr>
              <w:jc w:val="right"/>
              <w:rPr>
                <w:rFonts w:asciiTheme="minorHAnsi" w:hAnsiTheme="minorHAnsi" w:cs="Arial"/>
                <w:bCs/>
                <w:iCs/>
                <w:sz w:val="22"/>
                <w:szCs w:val="22"/>
              </w:rPr>
            </w:pP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4 532</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4 553</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4 573</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4 570</w:t>
            </w:r>
          </w:p>
        </w:tc>
        <w:tc>
          <w:tcPr>
            <w:tcW w:w="1016" w:type="dxa"/>
            <w:shd w:val="clear" w:color="auto" w:fill="auto"/>
            <w:vAlign w:val="bottom"/>
          </w:tcPr>
          <w:p w:rsidR="00E75549" w:rsidRPr="005F1629" w:rsidRDefault="00E75549" w:rsidP="00DE0C41">
            <w:pPr>
              <w:jc w:val="right"/>
              <w:rPr>
                <w:rFonts w:asciiTheme="minorHAnsi" w:hAnsiTheme="minorHAnsi" w:cs="Arial"/>
                <w:color w:val="000000"/>
                <w:sz w:val="22"/>
                <w:szCs w:val="22"/>
              </w:rPr>
            </w:pPr>
            <w:r w:rsidRPr="005F1629">
              <w:rPr>
                <w:rFonts w:asciiTheme="minorHAnsi" w:hAnsiTheme="minorHAnsi" w:cs="Arial"/>
                <w:color w:val="000000"/>
                <w:sz w:val="22"/>
                <w:szCs w:val="22"/>
              </w:rPr>
              <w:t>4 585</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4 595</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2 048</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2 069</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2 053</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2 040</w:t>
            </w:r>
          </w:p>
        </w:tc>
        <w:tc>
          <w:tcPr>
            <w:tcW w:w="1016" w:type="dxa"/>
            <w:shd w:val="clear" w:color="auto" w:fill="auto"/>
            <w:vAlign w:val="bottom"/>
          </w:tcPr>
          <w:p w:rsidR="00E75549" w:rsidRPr="005F1629" w:rsidRDefault="00E75549" w:rsidP="00DE0C41">
            <w:pPr>
              <w:jc w:val="right"/>
              <w:rPr>
                <w:rFonts w:asciiTheme="minorHAnsi" w:hAnsiTheme="minorHAnsi" w:cs="Arial"/>
                <w:bCs/>
                <w:iCs/>
                <w:sz w:val="22"/>
                <w:szCs w:val="22"/>
              </w:rPr>
            </w:pPr>
            <w:r w:rsidRPr="005F1629">
              <w:rPr>
                <w:rFonts w:asciiTheme="minorHAnsi" w:hAnsiTheme="minorHAnsi" w:cs="Arial"/>
                <w:bCs/>
                <w:iCs/>
                <w:sz w:val="22"/>
                <w:szCs w:val="22"/>
              </w:rPr>
              <w:t>2 030</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2 032</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5 695</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5 718</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5 747</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5 764</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5 760</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5 766</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9 894</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9 989</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10 074</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10 106</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10 118</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10 147</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283</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277</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283</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286</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287</w:t>
            </w:r>
          </w:p>
        </w:tc>
        <w:tc>
          <w:tcPr>
            <w:tcW w:w="1016" w:type="dxa"/>
            <w:shd w:val="clear" w:color="auto" w:fill="auto"/>
            <w:vAlign w:val="bottom"/>
          </w:tcPr>
          <w:p w:rsidR="00E75549" w:rsidRPr="005F1629" w:rsidRDefault="00E75549" w:rsidP="00DE0C41">
            <w:pPr>
              <w:jc w:val="right"/>
              <w:rPr>
                <w:rFonts w:asciiTheme="minorHAnsi" w:hAnsiTheme="minorHAnsi" w:cs="Arial"/>
                <w:iCs/>
                <w:sz w:val="22"/>
                <w:szCs w:val="22"/>
              </w:rPr>
            </w:pPr>
            <w:r w:rsidRPr="005F1629">
              <w:rPr>
                <w:rFonts w:asciiTheme="minorHAnsi" w:hAnsiTheme="minorHAnsi" w:cs="Arial"/>
                <w:iCs/>
                <w:sz w:val="22"/>
                <w:szCs w:val="22"/>
              </w:rPr>
              <w:t>292</w:t>
            </w:r>
          </w:p>
        </w:tc>
      </w:tr>
      <w:tr w:rsidR="00E75549" w:rsidRPr="005F1629" w:rsidTr="00DE0C41">
        <w:tc>
          <w:tcPr>
            <w:tcW w:w="534" w:type="dxa"/>
            <w:shd w:val="clear" w:color="auto" w:fill="auto"/>
          </w:tcPr>
          <w:p w:rsidR="00E75549" w:rsidRPr="005F1629" w:rsidRDefault="00E75549" w:rsidP="00E75549">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2 969</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3 060</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3 061</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3 150</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3 211</w:t>
            </w:r>
          </w:p>
        </w:tc>
        <w:tc>
          <w:tcPr>
            <w:tcW w:w="1016" w:type="dxa"/>
            <w:shd w:val="clear" w:color="auto" w:fill="auto"/>
            <w:vAlign w:val="bottom"/>
          </w:tcPr>
          <w:p w:rsidR="00E75549" w:rsidRPr="005F1629" w:rsidRDefault="00E75549" w:rsidP="00DE0C41">
            <w:pPr>
              <w:jc w:val="right"/>
              <w:rPr>
                <w:rFonts w:asciiTheme="minorHAnsi" w:hAnsiTheme="minorHAnsi" w:cs="Arial"/>
                <w:bCs/>
                <w:sz w:val="22"/>
                <w:szCs w:val="22"/>
              </w:rPr>
            </w:pPr>
            <w:r w:rsidRPr="005F1629">
              <w:rPr>
                <w:rFonts w:asciiTheme="minorHAnsi" w:hAnsiTheme="minorHAnsi" w:cs="Arial"/>
                <w:bCs/>
                <w:sz w:val="22"/>
                <w:szCs w:val="22"/>
              </w:rPr>
              <w:t>3 271</w:t>
            </w:r>
          </w:p>
        </w:tc>
      </w:tr>
      <w:tr w:rsidR="00E75549" w:rsidRPr="005F1629" w:rsidTr="00DE0C41">
        <w:tc>
          <w:tcPr>
            <w:tcW w:w="534"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vAlign w:val="bottom"/>
          </w:tcPr>
          <w:p w:rsidR="00E75549" w:rsidRPr="005F1629" w:rsidRDefault="00E75549" w:rsidP="00DE0C41">
            <w:pPr>
              <w:jc w:val="right"/>
              <w:rPr>
                <w:rFonts w:asciiTheme="minorHAnsi" w:hAnsiTheme="minorHAnsi" w:cs="Arial"/>
                <w:b/>
                <w:bCs/>
                <w:iCs/>
                <w:sz w:val="22"/>
                <w:szCs w:val="22"/>
              </w:rPr>
            </w:pPr>
            <w:r w:rsidRPr="005F1629">
              <w:rPr>
                <w:rFonts w:asciiTheme="minorHAnsi" w:hAnsiTheme="minorHAnsi" w:cs="Arial"/>
                <w:b/>
                <w:bCs/>
                <w:iCs/>
                <w:sz w:val="22"/>
                <w:szCs w:val="22"/>
              </w:rPr>
              <w:t>25 421</w:t>
            </w:r>
          </w:p>
        </w:tc>
        <w:tc>
          <w:tcPr>
            <w:tcW w:w="1016" w:type="dxa"/>
            <w:shd w:val="clear" w:color="auto" w:fill="auto"/>
            <w:vAlign w:val="bottom"/>
          </w:tcPr>
          <w:p w:rsidR="00E75549" w:rsidRPr="005F1629" w:rsidRDefault="00E75549" w:rsidP="00DE0C41">
            <w:pPr>
              <w:jc w:val="right"/>
              <w:rPr>
                <w:rFonts w:asciiTheme="minorHAnsi" w:hAnsiTheme="minorHAnsi" w:cs="Arial"/>
                <w:b/>
                <w:bCs/>
                <w:iCs/>
                <w:sz w:val="22"/>
                <w:szCs w:val="22"/>
              </w:rPr>
            </w:pPr>
            <w:r w:rsidRPr="005F1629">
              <w:rPr>
                <w:rFonts w:asciiTheme="minorHAnsi" w:hAnsiTheme="minorHAnsi" w:cs="Arial"/>
                <w:b/>
                <w:bCs/>
                <w:iCs/>
                <w:sz w:val="22"/>
                <w:szCs w:val="22"/>
              </w:rPr>
              <w:t>25 666</w:t>
            </w:r>
          </w:p>
        </w:tc>
        <w:tc>
          <w:tcPr>
            <w:tcW w:w="1016" w:type="dxa"/>
            <w:shd w:val="clear" w:color="auto" w:fill="auto"/>
            <w:vAlign w:val="bottom"/>
          </w:tcPr>
          <w:p w:rsidR="00E75549" w:rsidRPr="005F1629" w:rsidRDefault="00E75549" w:rsidP="00DE0C41">
            <w:pPr>
              <w:jc w:val="right"/>
              <w:rPr>
                <w:rFonts w:asciiTheme="minorHAnsi" w:hAnsiTheme="minorHAnsi" w:cs="Arial"/>
                <w:b/>
                <w:bCs/>
                <w:iCs/>
                <w:sz w:val="22"/>
                <w:szCs w:val="22"/>
              </w:rPr>
            </w:pPr>
            <w:r w:rsidRPr="005F1629">
              <w:rPr>
                <w:rFonts w:asciiTheme="minorHAnsi" w:hAnsiTheme="minorHAnsi" w:cs="Arial"/>
                <w:b/>
                <w:bCs/>
                <w:iCs/>
                <w:sz w:val="22"/>
                <w:szCs w:val="22"/>
              </w:rPr>
              <w:t>25 791</w:t>
            </w:r>
          </w:p>
        </w:tc>
        <w:tc>
          <w:tcPr>
            <w:tcW w:w="1016" w:type="dxa"/>
            <w:shd w:val="clear" w:color="auto" w:fill="auto"/>
            <w:vAlign w:val="bottom"/>
          </w:tcPr>
          <w:p w:rsidR="00E75549" w:rsidRPr="005F1629" w:rsidRDefault="00E75549" w:rsidP="00DE0C41">
            <w:pPr>
              <w:jc w:val="right"/>
              <w:rPr>
                <w:rFonts w:asciiTheme="minorHAnsi" w:hAnsiTheme="minorHAnsi" w:cs="Arial"/>
                <w:b/>
                <w:bCs/>
                <w:iCs/>
                <w:sz w:val="22"/>
                <w:szCs w:val="22"/>
              </w:rPr>
            </w:pPr>
            <w:r w:rsidRPr="005F1629">
              <w:rPr>
                <w:rFonts w:asciiTheme="minorHAnsi" w:hAnsiTheme="minorHAnsi" w:cs="Arial"/>
                <w:b/>
                <w:bCs/>
                <w:iCs/>
                <w:sz w:val="22"/>
                <w:szCs w:val="22"/>
              </w:rPr>
              <w:t>25 916</w:t>
            </w:r>
          </w:p>
        </w:tc>
        <w:tc>
          <w:tcPr>
            <w:tcW w:w="1016" w:type="dxa"/>
            <w:shd w:val="clear" w:color="auto" w:fill="auto"/>
            <w:vAlign w:val="bottom"/>
          </w:tcPr>
          <w:p w:rsidR="00E75549" w:rsidRPr="005F1629" w:rsidRDefault="00E75549" w:rsidP="00DE0C41">
            <w:pPr>
              <w:jc w:val="right"/>
              <w:rPr>
                <w:rFonts w:asciiTheme="minorHAnsi" w:hAnsiTheme="minorHAnsi" w:cs="Arial"/>
                <w:b/>
                <w:bCs/>
                <w:iCs/>
                <w:sz w:val="22"/>
                <w:szCs w:val="22"/>
              </w:rPr>
            </w:pPr>
            <w:r w:rsidRPr="005F1629">
              <w:rPr>
                <w:rFonts w:asciiTheme="minorHAnsi" w:hAnsiTheme="minorHAnsi" w:cs="Arial"/>
                <w:b/>
                <w:bCs/>
                <w:iCs/>
                <w:sz w:val="22"/>
                <w:szCs w:val="22"/>
              </w:rPr>
              <w:t>25 991</w:t>
            </w:r>
          </w:p>
        </w:tc>
        <w:tc>
          <w:tcPr>
            <w:tcW w:w="1016" w:type="dxa"/>
            <w:shd w:val="clear" w:color="auto" w:fill="auto"/>
            <w:vAlign w:val="bottom"/>
          </w:tcPr>
          <w:p w:rsidR="00E75549" w:rsidRPr="005F1629" w:rsidRDefault="00E75549" w:rsidP="00DE0C41">
            <w:pPr>
              <w:jc w:val="right"/>
              <w:rPr>
                <w:rFonts w:asciiTheme="minorHAnsi" w:hAnsiTheme="minorHAnsi" w:cs="Arial"/>
                <w:b/>
                <w:bCs/>
                <w:iCs/>
                <w:sz w:val="22"/>
                <w:szCs w:val="22"/>
              </w:rPr>
            </w:pPr>
            <w:r w:rsidRPr="005F1629">
              <w:rPr>
                <w:rFonts w:asciiTheme="minorHAnsi" w:hAnsiTheme="minorHAnsi" w:cs="Arial"/>
                <w:b/>
                <w:bCs/>
                <w:iCs/>
                <w:sz w:val="22"/>
                <w:szCs w:val="22"/>
              </w:rPr>
              <w:t>26 103</w:t>
            </w:r>
          </w:p>
        </w:tc>
      </w:tr>
    </w:tbl>
    <w:p w:rsidR="00E75549" w:rsidRPr="005F1629" w:rsidRDefault="00E75549" w:rsidP="009139B3">
      <w:pPr>
        <w:spacing w:after="120"/>
        <w:ind w:firstLine="567"/>
        <w:jc w:val="both"/>
        <w:rPr>
          <w:rFonts w:asciiTheme="minorHAnsi" w:hAnsiTheme="minorHAnsi" w:cs="Arial"/>
        </w:rPr>
      </w:pPr>
    </w:p>
    <w:p w:rsidR="001C28C6" w:rsidRPr="005F1629" w:rsidRDefault="001C28C6" w:rsidP="0083705E">
      <w:pPr>
        <w:spacing w:after="120"/>
        <w:ind w:firstLine="357"/>
        <w:jc w:val="both"/>
        <w:rPr>
          <w:rFonts w:asciiTheme="minorHAnsi" w:hAnsiTheme="minorHAnsi" w:cs="Arial"/>
          <w:bCs/>
          <w:spacing w:val="-4"/>
        </w:rPr>
      </w:pPr>
      <w:r w:rsidRPr="005F1629">
        <w:rPr>
          <w:rFonts w:asciiTheme="minorHAnsi" w:hAnsiTheme="minorHAnsi" w:cs="Arial"/>
          <w:b/>
          <w:bCs/>
          <w:spacing w:val="-4"/>
        </w:rPr>
        <w:t xml:space="preserve">Revizní </w:t>
      </w:r>
      <w:r w:rsidR="005D1D21" w:rsidRPr="005F1629">
        <w:rPr>
          <w:rFonts w:asciiTheme="minorHAnsi" w:hAnsiTheme="minorHAnsi" w:cs="Arial"/>
          <w:b/>
          <w:bCs/>
          <w:spacing w:val="-4"/>
        </w:rPr>
        <w:t xml:space="preserve">a kontrolní </w:t>
      </w:r>
      <w:r w:rsidRPr="005F1629">
        <w:rPr>
          <w:rFonts w:asciiTheme="minorHAnsi" w:hAnsiTheme="minorHAnsi" w:cs="Arial"/>
          <w:b/>
          <w:bCs/>
          <w:spacing w:val="-4"/>
        </w:rPr>
        <w:t xml:space="preserve">činnost </w:t>
      </w:r>
      <w:r w:rsidRPr="005F1629">
        <w:rPr>
          <w:rFonts w:asciiTheme="minorHAnsi" w:hAnsiTheme="minorHAnsi" w:cs="Arial"/>
          <w:bCs/>
          <w:spacing w:val="-4"/>
        </w:rPr>
        <w:t>v roce 2014 se bude nadále především věnovat segmentů</w:t>
      </w:r>
      <w:r w:rsidR="00950D68" w:rsidRPr="005F1629">
        <w:rPr>
          <w:rFonts w:asciiTheme="minorHAnsi" w:hAnsiTheme="minorHAnsi" w:cs="Arial"/>
          <w:bCs/>
          <w:spacing w:val="-4"/>
        </w:rPr>
        <w:t>m</w:t>
      </w:r>
      <w:r w:rsidRPr="005F1629">
        <w:rPr>
          <w:rFonts w:asciiTheme="minorHAnsi" w:hAnsiTheme="minorHAnsi" w:cs="Arial"/>
          <w:bCs/>
          <w:spacing w:val="-4"/>
        </w:rPr>
        <w:t xml:space="preserve"> zdravotních služeb</w:t>
      </w:r>
      <w:r w:rsidR="00D4758C" w:rsidRPr="005F1629">
        <w:rPr>
          <w:rFonts w:asciiTheme="minorHAnsi" w:hAnsiTheme="minorHAnsi" w:cs="Arial"/>
          <w:bCs/>
          <w:spacing w:val="-4"/>
        </w:rPr>
        <w:t xml:space="preserve">, které jsou z hlediska nákladů na zdravotní služby významné (lůžková péče, ambulantní péče, léčiva a </w:t>
      </w:r>
      <w:r w:rsidR="00466108" w:rsidRPr="005F1629">
        <w:rPr>
          <w:rFonts w:asciiTheme="minorHAnsi" w:hAnsiTheme="minorHAnsi" w:cs="Arial"/>
          <w:bCs/>
          <w:spacing w:val="-4"/>
        </w:rPr>
        <w:t>zdravotnické prostředky). Veškerá</w:t>
      </w:r>
      <w:r w:rsidR="00D4758C" w:rsidRPr="005F1629">
        <w:rPr>
          <w:rFonts w:asciiTheme="minorHAnsi" w:hAnsiTheme="minorHAnsi" w:cs="Arial"/>
          <w:bCs/>
          <w:spacing w:val="-4"/>
        </w:rPr>
        <w:t xml:space="preserve"> vyúčtov</w:t>
      </w:r>
      <w:r w:rsidR="00466108" w:rsidRPr="005F1629">
        <w:rPr>
          <w:rFonts w:asciiTheme="minorHAnsi" w:hAnsiTheme="minorHAnsi" w:cs="Arial"/>
          <w:bCs/>
          <w:spacing w:val="-4"/>
        </w:rPr>
        <w:t>ání</w:t>
      </w:r>
      <w:r w:rsidR="00D4758C" w:rsidRPr="005F1629">
        <w:rPr>
          <w:rFonts w:asciiTheme="minorHAnsi" w:hAnsiTheme="minorHAnsi" w:cs="Arial"/>
          <w:bCs/>
          <w:spacing w:val="-4"/>
        </w:rPr>
        <w:t xml:space="preserve"> zdravotní</w:t>
      </w:r>
      <w:r w:rsidR="00466108" w:rsidRPr="005F1629">
        <w:rPr>
          <w:rFonts w:asciiTheme="minorHAnsi" w:hAnsiTheme="minorHAnsi" w:cs="Arial"/>
          <w:bCs/>
          <w:spacing w:val="-4"/>
        </w:rPr>
        <w:t>ch služeb</w:t>
      </w:r>
      <w:r w:rsidR="00D4758C" w:rsidRPr="005F1629">
        <w:rPr>
          <w:rFonts w:asciiTheme="minorHAnsi" w:hAnsiTheme="minorHAnsi" w:cs="Arial"/>
          <w:bCs/>
          <w:spacing w:val="-4"/>
        </w:rPr>
        <w:t xml:space="preserve"> hrazen</w:t>
      </w:r>
      <w:r w:rsidR="00466108" w:rsidRPr="005F1629">
        <w:rPr>
          <w:rFonts w:asciiTheme="minorHAnsi" w:hAnsiTheme="minorHAnsi" w:cs="Arial"/>
          <w:bCs/>
          <w:spacing w:val="-4"/>
        </w:rPr>
        <w:t>ých</w:t>
      </w:r>
      <w:r w:rsidR="00D4758C" w:rsidRPr="005F1629">
        <w:rPr>
          <w:rFonts w:asciiTheme="minorHAnsi" w:hAnsiTheme="minorHAnsi" w:cs="Arial"/>
          <w:bCs/>
          <w:spacing w:val="-4"/>
        </w:rPr>
        <w:t xml:space="preserve"> z prostředků ZFZP procházejí řadou automatických kontrol nastavených v IS pojišťovny s cílem identifikovat formální i věcné chyby. Dále se budou provádět i fyzické revize přímo u PZS a to zejména u PZS, kteří vykazují nejvyšší náklady nebo v souvislosti se stížnostmi pojištěnců.</w:t>
      </w:r>
    </w:p>
    <w:p w:rsidR="00D4758C" w:rsidRPr="005F1629" w:rsidRDefault="00D4758C" w:rsidP="00950D68">
      <w:pPr>
        <w:spacing w:after="240"/>
        <w:ind w:firstLine="357"/>
        <w:jc w:val="both"/>
        <w:rPr>
          <w:rFonts w:asciiTheme="minorHAnsi" w:hAnsiTheme="minorHAnsi" w:cs="Arial"/>
          <w:bCs/>
          <w:spacing w:val="-4"/>
        </w:rPr>
      </w:pPr>
      <w:r w:rsidRPr="005F1629">
        <w:rPr>
          <w:rFonts w:asciiTheme="minorHAnsi" w:hAnsiTheme="minorHAnsi" w:cs="Arial"/>
          <w:b/>
          <w:bCs/>
          <w:spacing w:val="-4"/>
        </w:rPr>
        <w:t>Struktura a výše nákladů na zdravotní služby</w:t>
      </w:r>
      <w:r w:rsidRPr="005F1629">
        <w:rPr>
          <w:rFonts w:asciiTheme="minorHAnsi" w:hAnsiTheme="minorHAnsi" w:cs="Arial"/>
          <w:bCs/>
          <w:spacing w:val="-4"/>
        </w:rPr>
        <w:t xml:space="preserve"> je určena </w:t>
      </w:r>
      <w:r w:rsidR="003C5527" w:rsidRPr="005F1629">
        <w:rPr>
          <w:rFonts w:asciiTheme="minorHAnsi" w:hAnsiTheme="minorHAnsi" w:cs="Arial"/>
          <w:bCs/>
          <w:spacing w:val="-4"/>
        </w:rPr>
        <w:t xml:space="preserve">zejména </w:t>
      </w:r>
      <w:r w:rsidRPr="005F1629">
        <w:rPr>
          <w:rFonts w:asciiTheme="minorHAnsi" w:hAnsiTheme="minorHAnsi" w:cs="Arial"/>
          <w:bCs/>
          <w:spacing w:val="-4"/>
        </w:rPr>
        <w:t>na základě vývoje v minulých obdobích</w:t>
      </w:r>
      <w:r w:rsidR="003C5527" w:rsidRPr="005F1629">
        <w:rPr>
          <w:rFonts w:asciiTheme="minorHAnsi" w:hAnsiTheme="minorHAnsi" w:cs="Arial"/>
          <w:bCs/>
          <w:spacing w:val="-4"/>
        </w:rPr>
        <w:t>, očekávaného růstu počtu pojištěnců a návrhu úhradové vyhlášky.</w:t>
      </w:r>
    </w:p>
    <w:p w:rsidR="005D1D21" w:rsidRPr="005F1629" w:rsidRDefault="003C5527" w:rsidP="0083705E">
      <w:pPr>
        <w:ind w:firstLine="357"/>
        <w:jc w:val="both"/>
        <w:rPr>
          <w:rFonts w:asciiTheme="minorHAnsi" w:hAnsiTheme="minorHAnsi" w:cs="Arial"/>
        </w:rPr>
      </w:pPr>
      <w:r w:rsidRPr="005F1629">
        <w:rPr>
          <w:rFonts w:asciiTheme="minorHAnsi" w:hAnsiTheme="minorHAnsi" w:cs="Arial"/>
          <w:b/>
          <w:bCs/>
          <w:spacing w:val="-4"/>
        </w:rPr>
        <w:t>Celkové n</w:t>
      </w:r>
      <w:r w:rsidR="0034709A" w:rsidRPr="005F1629">
        <w:rPr>
          <w:rFonts w:asciiTheme="minorHAnsi" w:hAnsiTheme="minorHAnsi" w:cs="Arial"/>
          <w:b/>
          <w:bCs/>
          <w:spacing w:val="-4"/>
        </w:rPr>
        <w:t>áklady na zdravotní služby</w:t>
      </w:r>
      <w:r w:rsidR="0034709A" w:rsidRPr="005F1629">
        <w:rPr>
          <w:rFonts w:asciiTheme="minorHAnsi" w:hAnsiTheme="minorHAnsi" w:cs="Arial"/>
          <w:spacing w:val="-4"/>
        </w:rPr>
        <w:t xml:space="preserve"> čerpané ze ZFZP </w:t>
      </w:r>
      <w:r w:rsidR="0034709A" w:rsidRPr="005F1629">
        <w:rPr>
          <w:rFonts w:asciiTheme="minorHAnsi" w:hAnsiTheme="minorHAnsi" w:cs="Arial"/>
        </w:rPr>
        <w:t>plánuje</w:t>
      </w:r>
      <w:r w:rsidRPr="005F1629">
        <w:rPr>
          <w:rFonts w:asciiTheme="minorHAnsi" w:hAnsiTheme="minorHAnsi" w:cs="Arial"/>
        </w:rPr>
        <w:t xml:space="preserve"> ZP MV ČR ve výši 25 112 mil</w:t>
      </w:r>
      <w:r w:rsidR="0034709A" w:rsidRPr="005F1629">
        <w:rPr>
          <w:rFonts w:asciiTheme="minorHAnsi" w:hAnsiTheme="minorHAnsi" w:cs="Arial"/>
        </w:rPr>
        <w:t xml:space="preserve">. Kč, což představuje meziroční nárůst </w:t>
      </w:r>
      <w:r w:rsidRPr="005F1629">
        <w:rPr>
          <w:rFonts w:asciiTheme="minorHAnsi" w:hAnsiTheme="minorHAnsi" w:cs="Arial"/>
        </w:rPr>
        <w:t>o 5,69</w:t>
      </w:r>
      <w:r w:rsidR="0034709A" w:rsidRPr="005F1629">
        <w:rPr>
          <w:rFonts w:asciiTheme="minorHAnsi" w:hAnsiTheme="minorHAnsi" w:cs="Arial"/>
        </w:rPr>
        <w:t xml:space="preserve"> %</w:t>
      </w:r>
      <w:r w:rsidRPr="005F1629">
        <w:rPr>
          <w:rFonts w:asciiTheme="minorHAnsi" w:hAnsiTheme="minorHAnsi" w:cs="Arial"/>
        </w:rPr>
        <w:t xml:space="preserve"> oproti očekávané skutečnosti roku 2013</w:t>
      </w:r>
      <w:r w:rsidR="0034709A" w:rsidRPr="005F1629">
        <w:rPr>
          <w:rFonts w:asciiTheme="minorHAnsi" w:hAnsiTheme="minorHAnsi" w:cs="Arial"/>
        </w:rPr>
        <w:t xml:space="preserve">. </w:t>
      </w:r>
      <w:r w:rsidR="003D0A60" w:rsidRPr="005F1629">
        <w:rPr>
          <w:rFonts w:asciiTheme="minorHAnsi" w:hAnsiTheme="minorHAnsi" w:cs="Arial"/>
        </w:rPr>
        <w:t>Z Tabulky č. 2</w:t>
      </w:r>
      <w:r w:rsidR="00B378A1" w:rsidRPr="005F1629">
        <w:rPr>
          <w:rFonts w:asciiTheme="minorHAnsi" w:hAnsiTheme="minorHAnsi" w:cs="Arial"/>
        </w:rPr>
        <w:t xml:space="preserve"> a 3 a Grafu č. 1</w:t>
      </w:r>
      <w:r w:rsidR="003D0A60" w:rsidRPr="005F1629">
        <w:rPr>
          <w:rFonts w:asciiTheme="minorHAnsi" w:hAnsiTheme="minorHAnsi" w:cs="Arial"/>
        </w:rPr>
        <w:t xml:space="preserve"> vyplývá, že i v roce 2014 bude pokračovat</w:t>
      </w:r>
      <w:r w:rsidR="005D1D21" w:rsidRPr="005F1629">
        <w:rPr>
          <w:rFonts w:asciiTheme="minorHAnsi" w:hAnsiTheme="minorHAnsi" w:cs="Arial"/>
        </w:rPr>
        <w:t xml:space="preserve"> rostoucí trend z minulých let. </w:t>
      </w:r>
      <w:r w:rsidR="005D1D21" w:rsidRPr="005F1629">
        <w:rPr>
          <w:rFonts w:asciiTheme="minorHAnsi" w:hAnsiTheme="minorHAnsi" w:cs="Arial"/>
          <w:b/>
          <w:spacing w:val="-4"/>
        </w:rPr>
        <w:t>Průměrné náklady na zdravotní služby na 1 pojištěnce</w:t>
      </w:r>
      <w:r w:rsidR="005D1D21" w:rsidRPr="005F1629">
        <w:rPr>
          <w:rFonts w:asciiTheme="minorHAnsi" w:hAnsiTheme="minorHAnsi" w:cs="Arial"/>
          <w:spacing w:val="-4"/>
        </w:rPr>
        <w:t xml:space="preserve"> jsou plánovány ve výši 20 395</w:t>
      </w:r>
      <w:r w:rsidR="005D1D21" w:rsidRPr="005F1629">
        <w:rPr>
          <w:rFonts w:asciiTheme="minorHAnsi" w:hAnsiTheme="minorHAnsi" w:cs="Arial"/>
        </w:rPr>
        <w:t xml:space="preserve"> Kč, což znamená meziroční nárůst o 3,48 % oproti očekávané skutečnosti roku 2013 (Tabulka č. 4). </w:t>
      </w:r>
    </w:p>
    <w:p w:rsidR="00675A51" w:rsidRPr="005F1629" w:rsidRDefault="0034709A" w:rsidP="0083705E">
      <w:pPr>
        <w:ind w:firstLine="357"/>
        <w:jc w:val="both"/>
        <w:rPr>
          <w:rFonts w:asciiTheme="minorHAnsi" w:hAnsiTheme="minorHAnsi" w:cs="Arial"/>
        </w:rPr>
      </w:pPr>
      <w:r w:rsidRPr="005F1629">
        <w:rPr>
          <w:rFonts w:asciiTheme="minorHAnsi" w:hAnsiTheme="minorHAnsi" w:cs="Arial"/>
        </w:rPr>
        <w:t>Meziroční nárůst nákladů je očekáván ve většině segmentů zdravotní péče</w:t>
      </w:r>
      <w:r w:rsidR="00B378A1" w:rsidRPr="005F1629">
        <w:rPr>
          <w:rFonts w:asciiTheme="minorHAnsi" w:hAnsiTheme="minorHAnsi" w:cs="Arial"/>
        </w:rPr>
        <w:t xml:space="preserve"> (Graf č. 2</w:t>
      </w:r>
      <w:r w:rsidR="00A0098C" w:rsidRPr="005F1629">
        <w:rPr>
          <w:rFonts w:asciiTheme="minorHAnsi" w:hAnsiTheme="minorHAnsi" w:cs="Arial"/>
        </w:rPr>
        <w:t>)</w:t>
      </w:r>
      <w:r w:rsidRPr="005F1629">
        <w:rPr>
          <w:rFonts w:asciiTheme="minorHAnsi" w:hAnsiTheme="minorHAnsi" w:cs="Arial"/>
        </w:rPr>
        <w:t>. U </w:t>
      </w:r>
      <w:r w:rsidRPr="005F1629">
        <w:rPr>
          <w:rFonts w:asciiTheme="minorHAnsi" w:hAnsiTheme="minorHAnsi" w:cs="Arial"/>
          <w:b/>
        </w:rPr>
        <w:t>ambulantní péče</w:t>
      </w:r>
      <w:r w:rsidRPr="005F1629">
        <w:rPr>
          <w:rFonts w:asciiTheme="minorHAnsi" w:hAnsiTheme="minorHAnsi" w:cs="Arial"/>
        </w:rPr>
        <w:t xml:space="preserve"> ZP MV ČR plánuje navýšení celkem o  </w:t>
      </w:r>
      <w:r w:rsidR="00706E54" w:rsidRPr="005F1629">
        <w:rPr>
          <w:rFonts w:asciiTheme="minorHAnsi" w:hAnsiTheme="minorHAnsi" w:cs="Arial"/>
        </w:rPr>
        <w:t>2</w:t>
      </w:r>
      <w:r w:rsidRPr="005F1629">
        <w:rPr>
          <w:rFonts w:asciiTheme="minorHAnsi" w:hAnsiTheme="minorHAnsi" w:cs="Arial"/>
        </w:rPr>
        <w:t>,</w:t>
      </w:r>
      <w:r w:rsidR="00706E54" w:rsidRPr="005F1629">
        <w:rPr>
          <w:rFonts w:asciiTheme="minorHAnsi" w:hAnsiTheme="minorHAnsi" w:cs="Arial"/>
        </w:rPr>
        <w:t>1</w:t>
      </w:r>
      <w:r w:rsidR="003C5527" w:rsidRPr="005F1629">
        <w:rPr>
          <w:rFonts w:asciiTheme="minorHAnsi" w:hAnsiTheme="minorHAnsi" w:cs="Arial"/>
        </w:rPr>
        <w:t>0 %. V</w:t>
      </w:r>
      <w:r w:rsidRPr="005F1629">
        <w:rPr>
          <w:rFonts w:asciiTheme="minorHAnsi" w:hAnsiTheme="minorHAnsi" w:cs="Arial"/>
        </w:rPr>
        <w:t xml:space="preserve"> objemově největším </w:t>
      </w:r>
      <w:r w:rsidRPr="005F1629">
        <w:rPr>
          <w:rFonts w:asciiTheme="minorHAnsi" w:hAnsiTheme="minorHAnsi" w:cs="Arial"/>
        </w:rPr>
        <w:lastRenderedPageBreak/>
        <w:t xml:space="preserve">segmentu </w:t>
      </w:r>
      <w:r w:rsidRPr="005F1629">
        <w:rPr>
          <w:rFonts w:asciiTheme="minorHAnsi" w:hAnsiTheme="minorHAnsi" w:cs="Arial"/>
          <w:b/>
        </w:rPr>
        <w:t>lůžkové zdravotní péče</w:t>
      </w:r>
      <w:r w:rsidRPr="005F1629">
        <w:rPr>
          <w:rFonts w:asciiTheme="minorHAnsi" w:hAnsiTheme="minorHAnsi" w:cs="Arial"/>
        </w:rPr>
        <w:t xml:space="preserve"> </w:t>
      </w:r>
      <w:r w:rsidR="003C5527" w:rsidRPr="005F1629">
        <w:rPr>
          <w:rFonts w:asciiTheme="minorHAnsi" w:hAnsiTheme="minorHAnsi" w:cs="Arial"/>
        </w:rPr>
        <w:t xml:space="preserve">je předpokládán nárůst nákladů </w:t>
      </w:r>
      <w:r w:rsidRPr="005F1629">
        <w:rPr>
          <w:rFonts w:asciiTheme="minorHAnsi" w:hAnsiTheme="minorHAnsi" w:cs="Arial"/>
        </w:rPr>
        <w:t>o </w:t>
      </w:r>
      <w:r w:rsidR="00706E54" w:rsidRPr="005F1629">
        <w:rPr>
          <w:rFonts w:asciiTheme="minorHAnsi" w:hAnsiTheme="minorHAnsi" w:cs="Arial"/>
        </w:rPr>
        <w:t>10</w:t>
      </w:r>
      <w:r w:rsidRPr="005F1629">
        <w:rPr>
          <w:rFonts w:asciiTheme="minorHAnsi" w:hAnsiTheme="minorHAnsi" w:cs="Arial"/>
        </w:rPr>
        <w:t>,0</w:t>
      </w:r>
      <w:r w:rsidR="003C5527" w:rsidRPr="005F1629">
        <w:rPr>
          <w:rFonts w:asciiTheme="minorHAnsi" w:hAnsiTheme="minorHAnsi" w:cs="Arial"/>
        </w:rPr>
        <w:t>4</w:t>
      </w:r>
      <w:r w:rsidRPr="005F1629">
        <w:rPr>
          <w:rFonts w:asciiTheme="minorHAnsi" w:hAnsiTheme="minorHAnsi" w:cs="Arial"/>
        </w:rPr>
        <w:t xml:space="preserve"> %. </w:t>
      </w:r>
      <w:r w:rsidR="003D0A60" w:rsidRPr="005F1629">
        <w:rPr>
          <w:rFonts w:asciiTheme="minorHAnsi" w:hAnsiTheme="minorHAnsi" w:cs="Arial"/>
        </w:rPr>
        <w:t>Oba segmenty budou i nadále vykazovat rostoucí trend.</w:t>
      </w:r>
      <w:r w:rsidR="005D1D21" w:rsidRPr="005F1629">
        <w:rPr>
          <w:rFonts w:asciiTheme="minorHAnsi" w:hAnsiTheme="minorHAnsi" w:cs="Arial"/>
        </w:rPr>
        <w:t xml:space="preserve"> V nákladech na ambulantní péči v přepočtu na 1 pojištěnce se předpokládá stagnace a zachování úrovně očekávané skutečnosti. Náklady na lůžkovou péči meziročně vzrostou o 7,74 %. Celkové náklady i náklady v jednotlivých segmentech v přepočtu na 1 pojištěnce vykazují dlouhodobě rostoucí trend.</w:t>
      </w:r>
    </w:p>
    <w:p w:rsidR="00466108" w:rsidRPr="005F1629" w:rsidRDefault="00466108" w:rsidP="005D1D21">
      <w:pPr>
        <w:ind w:firstLine="708"/>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E75549" w:rsidRPr="005F1629" w:rsidTr="00E75549">
        <w:tc>
          <w:tcPr>
            <w:tcW w:w="1951" w:type="dxa"/>
            <w:shd w:val="solid" w:color="000080" w:fill="FFFFFF"/>
          </w:tcPr>
          <w:p w:rsidR="00E75549" w:rsidRPr="005F1629" w:rsidRDefault="00E75549"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E75549" w:rsidRPr="005F1629" w:rsidRDefault="00DA2DE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r w:rsidR="00E75549" w:rsidRPr="005F1629">
              <w:rPr>
                <w:rFonts w:asciiTheme="minorHAnsi" w:hAnsiTheme="minorHAnsi" w:cs="Arial"/>
                <w:b/>
                <w:bCs/>
                <w:color w:val="FFFFFF"/>
                <w:sz w:val="22"/>
                <w:szCs w:val="22"/>
              </w:rPr>
              <w:t>)</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5 890</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6 188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6 469</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6 716</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7 098</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7 247</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8 975</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9 652</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9 869</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10 418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11 215</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12 341</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4 843</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4 788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4 934</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5 398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5 447</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5 524</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19 708</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20 628</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21 272</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22 532</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23 760</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25 112</w:t>
            </w:r>
          </w:p>
        </w:tc>
      </w:tr>
    </w:tbl>
    <w:p w:rsidR="00E75549" w:rsidRPr="005F1629" w:rsidRDefault="00E75549" w:rsidP="00E75549">
      <w:pPr>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E75549" w:rsidRPr="005F1629" w:rsidTr="00E75549">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E75549" w:rsidRPr="005F1629" w:rsidTr="00DE0C41">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105,06</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104,54</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103,82</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105,69</w:t>
            </w:r>
          </w:p>
        </w:tc>
        <w:tc>
          <w:tcPr>
            <w:tcW w:w="1647"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102,10</w:t>
            </w:r>
          </w:p>
        </w:tc>
      </w:tr>
      <w:tr w:rsidR="00E75549" w:rsidRPr="005F1629" w:rsidTr="00DE0C41">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107,54</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102,25</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105,56</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107,65</w:t>
            </w:r>
          </w:p>
        </w:tc>
        <w:tc>
          <w:tcPr>
            <w:tcW w:w="1647"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110,04</w:t>
            </w:r>
          </w:p>
        </w:tc>
      </w:tr>
      <w:tr w:rsidR="00E75549" w:rsidRPr="005F1629" w:rsidTr="00DE0C41">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98,86</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103,05</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109,40</w:t>
            </w:r>
          </w:p>
        </w:tc>
        <w:tc>
          <w:tcPr>
            <w:tcW w:w="1535"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100,91</w:t>
            </w:r>
          </w:p>
        </w:tc>
        <w:tc>
          <w:tcPr>
            <w:tcW w:w="1647" w:type="dxa"/>
            <w:shd w:val="clear" w:color="auto" w:fill="auto"/>
            <w:vAlign w:val="bottom"/>
          </w:tcPr>
          <w:p w:rsidR="00E75549" w:rsidRPr="005F1629" w:rsidRDefault="00E75549" w:rsidP="00DE0C41">
            <w:pPr>
              <w:jc w:val="right"/>
              <w:rPr>
                <w:rFonts w:asciiTheme="minorHAnsi" w:hAnsiTheme="minorHAnsi" w:cs="Arial"/>
                <w:sz w:val="20"/>
                <w:szCs w:val="20"/>
              </w:rPr>
            </w:pPr>
            <w:r w:rsidRPr="005F1629">
              <w:rPr>
                <w:rFonts w:asciiTheme="minorHAnsi" w:hAnsiTheme="minorHAnsi" w:cs="Arial"/>
                <w:sz w:val="20"/>
                <w:szCs w:val="20"/>
              </w:rPr>
              <w:t>101,41</w:t>
            </w:r>
          </w:p>
        </w:tc>
      </w:tr>
      <w:tr w:rsidR="00E75549" w:rsidRPr="005F1629" w:rsidTr="00DE0C41">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E75549" w:rsidRPr="005F1629" w:rsidRDefault="00E75549" w:rsidP="00DE0C41">
            <w:pPr>
              <w:jc w:val="right"/>
              <w:rPr>
                <w:rFonts w:asciiTheme="minorHAnsi" w:hAnsiTheme="minorHAnsi" w:cs="Arial"/>
                <w:b/>
                <w:sz w:val="20"/>
                <w:szCs w:val="20"/>
              </w:rPr>
            </w:pPr>
            <w:r w:rsidRPr="005F1629">
              <w:rPr>
                <w:rFonts w:asciiTheme="minorHAnsi" w:hAnsiTheme="minorHAnsi" w:cs="Arial"/>
                <w:b/>
                <w:sz w:val="20"/>
                <w:szCs w:val="20"/>
              </w:rPr>
              <w:t>104,67</w:t>
            </w:r>
          </w:p>
        </w:tc>
        <w:tc>
          <w:tcPr>
            <w:tcW w:w="1535" w:type="dxa"/>
            <w:shd w:val="clear" w:color="auto" w:fill="auto"/>
            <w:vAlign w:val="bottom"/>
          </w:tcPr>
          <w:p w:rsidR="00E75549" w:rsidRPr="005F1629" w:rsidRDefault="00E75549" w:rsidP="00DE0C41">
            <w:pPr>
              <w:jc w:val="right"/>
              <w:rPr>
                <w:rFonts w:asciiTheme="minorHAnsi" w:hAnsiTheme="minorHAnsi" w:cs="Arial"/>
                <w:b/>
                <w:sz w:val="20"/>
                <w:szCs w:val="20"/>
              </w:rPr>
            </w:pPr>
            <w:r w:rsidRPr="005F1629">
              <w:rPr>
                <w:rFonts w:asciiTheme="minorHAnsi" w:hAnsiTheme="minorHAnsi" w:cs="Arial"/>
                <w:b/>
                <w:sz w:val="20"/>
                <w:szCs w:val="20"/>
              </w:rPr>
              <w:t>103,12</w:t>
            </w:r>
          </w:p>
        </w:tc>
        <w:tc>
          <w:tcPr>
            <w:tcW w:w="1535" w:type="dxa"/>
            <w:shd w:val="clear" w:color="auto" w:fill="auto"/>
            <w:vAlign w:val="bottom"/>
          </w:tcPr>
          <w:p w:rsidR="00E75549" w:rsidRPr="005F1629" w:rsidRDefault="00E75549" w:rsidP="00DE0C41">
            <w:pPr>
              <w:jc w:val="right"/>
              <w:rPr>
                <w:rFonts w:asciiTheme="minorHAnsi" w:hAnsiTheme="minorHAnsi" w:cs="Arial"/>
                <w:b/>
                <w:sz w:val="20"/>
                <w:szCs w:val="20"/>
              </w:rPr>
            </w:pPr>
            <w:r w:rsidRPr="005F1629">
              <w:rPr>
                <w:rFonts w:asciiTheme="minorHAnsi" w:hAnsiTheme="minorHAnsi" w:cs="Arial"/>
                <w:b/>
                <w:sz w:val="20"/>
                <w:szCs w:val="20"/>
              </w:rPr>
              <w:t>105,92</w:t>
            </w:r>
          </w:p>
        </w:tc>
        <w:tc>
          <w:tcPr>
            <w:tcW w:w="1535" w:type="dxa"/>
            <w:shd w:val="clear" w:color="auto" w:fill="auto"/>
            <w:vAlign w:val="bottom"/>
          </w:tcPr>
          <w:p w:rsidR="00E75549" w:rsidRPr="005F1629" w:rsidRDefault="00E75549" w:rsidP="00DE0C41">
            <w:pPr>
              <w:jc w:val="right"/>
              <w:rPr>
                <w:rFonts w:asciiTheme="minorHAnsi" w:hAnsiTheme="minorHAnsi" w:cs="Arial"/>
                <w:b/>
                <w:sz w:val="20"/>
                <w:szCs w:val="20"/>
              </w:rPr>
            </w:pPr>
            <w:r w:rsidRPr="005F1629">
              <w:rPr>
                <w:rFonts w:asciiTheme="minorHAnsi" w:hAnsiTheme="minorHAnsi" w:cs="Arial"/>
                <w:b/>
                <w:sz w:val="20"/>
                <w:szCs w:val="20"/>
              </w:rPr>
              <w:t>105,45</w:t>
            </w:r>
          </w:p>
        </w:tc>
        <w:tc>
          <w:tcPr>
            <w:tcW w:w="1647" w:type="dxa"/>
            <w:shd w:val="clear" w:color="auto" w:fill="auto"/>
            <w:vAlign w:val="bottom"/>
          </w:tcPr>
          <w:p w:rsidR="00E75549" w:rsidRPr="005F1629" w:rsidRDefault="00E75549" w:rsidP="00DE0C41">
            <w:pPr>
              <w:jc w:val="right"/>
              <w:rPr>
                <w:rFonts w:asciiTheme="minorHAnsi" w:hAnsiTheme="minorHAnsi" w:cs="Arial"/>
                <w:b/>
                <w:sz w:val="20"/>
                <w:szCs w:val="20"/>
              </w:rPr>
            </w:pPr>
            <w:r w:rsidRPr="005F1629">
              <w:rPr>
                <w:rFonts w:asciiTheme="minorHAnsi" w:hAnsiTheme="minorHAnsi" w:cs="Arial"/>
                <w:b/>
                <w:sz w:val="20"/>
                <w:szCs w:val="20"/>
              </w:rPr>
              <w:t>105,69</w:t>
            </w:r>
          </w:p>
        </w:tc>
      </w:tr>
    </w:tbl>
    <w:p w:rsidR="00961A3D" w:rsidRPr="005F1629" w:rsidRDefault="00961A3D" w:rsidP="00E75549">
      <w:pPr>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E75549" w:rsidRPr="005F1629" w:rsidTr="00E75549">
        <w:tc>
          <w:tcPr>
            <w:tcW w:w="1809" w:type="dxa"/>
            <w:shd w:val="solid" w:color="000080" w:fill="FFFFFF"/>
          </w:tcPr>
          <w:p w:rsidR="00E75549" w:rsidRPr="005F1629" w:rsidRDefault="00E75549"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5 292</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5 465</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5 648</w:t>
            </w:r>
          </w:p>
        </w:tc>
        <w:tc>
          <w:tcPr>
            <w:tcW w:w="127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5 659</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5 888</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5 885</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8 063</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8 525</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8 616</w:t>
            </w:r>
          </w:p>
        </w:tc>
        <w:tc>
          <w:tcPr>
            <w:tcW w:w="127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8 778</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9 303</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10 023</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4 352</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4 229</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4 306</w:t>
            </w:r>
          </w:p>
        </w:tc>
        <w:tc>
          <w:tcPr>
            <w:tcW w:w="127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4 549</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4 518</w:t>
            </w:r>
          </w:p>
        </w:tc>
        <w:tc>
          <w:tcPr>
            <w:tcW w:w="127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4 487</w:t>
            </w:r>
          </w:p>
        </w:tc>
      </w:tr>
      <w:tr w:rsidR="00E75549" w:rsidRPr="005F1629" w:rsidTr="00DE0C41">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17 707</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18 219</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18 570</w:t>
            </w:r>
          </w:p>
        </w:tc>
        <w:tc>
          <w:tcPr>
            <w:tcW w:w="1275"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18 986</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19 709</w:t>
            </w:r>
          </w:p>
        </w:tc>
        <w:tc>
          <w:tcPr>
            <w:tcW w:w="1276"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20 395</w:t>
            </w:r>
          </w:p>
        </w:tc>
      </w:tr>
    </w:tbl>
    <w:p w:rsidR="00153F86" w:rsidRPr="005F1629" w:rsidRDefault="00153F86" w:rsidP="00153F86">
      <w:pPr>
        <w:spacing w:after="120"/>
        <w:jc w:val="both"/>
        <w:rPr>
          <w:rFonts w:asciiTheme="minorHAnsi" w:hAnsiTheme="minorHAnsi" w:cs="Arial"/>
        </w:rPr>
      </w:pPr>
    </w:p>
    <w:p w:rsidR="00DA2DE9" w:rsidRPr="005F1629" w:rsidRDefault="00DA2DE9" w:rsidP="00153F86">
      <w:pPr>
        <w:spacing w:after="120"/>
        <w:jc w:val="both"/>
        <w:rPr>
          <w:rFonts w:asciiTheme="minorHAnsi" w:hAnsiTheme="minorHAnsi" w:cs="Arial"/>
        </w:rPr>
      </w:pPr>
    </w:p>
    <w:p w:rsidR="00DA2DE9" w:rsidRPr="005F1629" w:rsidRDefault="00DA2DE9" w:rsidP="00153F86">
      <w:pPr>
        <w:spacing w:after="120"/>
        <w:jc w:val="both"/>
        <w:rPr>
          <w:rFonts w:asciiTheme="minorHAnsi" w:hAnsiTheme="minorHAnsi" w:cs="Arial"/>
        </w:rPr>
      </w:pPr>
    </w:p>
    <w:p w:rsidR="00DA2DE9" w:rsidRDefault="00DA2DE9" w:rsidP="00153F86">
      <w:pPr>
        <w:spacing w:after="120"/>
        <w:jc w:val="both"/>
        <w:rPr>
          <w:rFonts w:asciiTheme="minorHAnsi" w:hAnsiTheme="minorHAnsi" w:cs="Arial"/>
        </w:rPr>
      </w:pPr>
    </w:p>
    <w:p w:rsidR="00F80F37" w:rsidRDefault="00F80F37" w:rsidP="00153F86">
      <w:pPr>
        <w:spacing w:after="120"/>
        <w:jc w:val="both"/>
        <w:rPr>
          <w:rFonts w:asciiTheme="minorHAnsi" w:hAnsiTheme="minorHAnsi" w:cs="Arial"/>
        </w:rPr>
      </w:pPr>
    </w:p>
    <w:p w:rsidR="00F80F37" w:rsidRPr="005F1629" w:rsidRDefault="00F80F37" w:rsidP="00153F86">
      <w:pPr>
        <w:spacing w:after="120"/>
        <w:jc w:val="both"/>
        <w:rPr>
          <w:rFonts w:asciiTheme="minorHAnsi" w:hAnsiTheme="minorHAnsi" w:cs="Arial"/>
        </w:rPr>
      </w:pPr>
    </w:p>
    <w:p w:rsidR="00DA2DE9" w:rsidRPr="005F1629" w:rsidRDefault="00DA2DE9" w:rsidP="00DA2DE9">
      <w:pPr>
        <w:jc w:val="both"/>
        <w:rPr>
          <w:rFonts w:asciiTheme="minorHAnsi" w:hAnsiTheme="minorHAnsi" w:cs="Arial"/>
        </w:rPr>
      </w:pPr>
      <w:r w:rsidRPr="005F1629">
        <w:rPr>
          <w:rFonts w:asciiTheme="minorHAnsi" w:hAnsiTheme="minorHAnsi" w:cs="Arial"/>
        </w:rPr>
        <w:lastRenderedPageBreak/>
        <w:t>Graf č. 1:</w:t>
      </w:r>
    </w:p>
    <w:p w:rsidR="00961A3D" w:rsidRPr="005F1629" w:rsidRDefault="00466108" w:rsidP="00BA4E7E">
      <w:pPr>
        <w:spacing w:after="120"/>
        <w:jc w:val="both"/>
        <w:rPr>
          <w:rFonts w:asciiTheme="minorHAnsi" w:hAnsiTheme="minorHAnsi" w:cs="Arial"/>
          <w:noProof/>
        </w:rPr>
      </w:pPr>
      <w:r w:rsidRPr="005F1629">
        <w:rPr>
          <w:rFonts w:asciiTheme="minorHAnsi" w:hAnsiTheme="minorHAnsi" w:cs="Arial"/>
          <w:noProof/>
        </w:rPr>
        <w:drawing>
          <wp:inline distT="0" distB="0" distL="0" distR="0">
            <wp:extent cx="5753819" cy="3045125"/>
            <wp:effectExtent l="0" t="0" r="18415" b="22225"/>
            <wp:docPr id="7"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78A1" w:rsidRPr="005F1629" w:rsidRDefault="00DA2DE9" w:rsidP="00B378A1">
      <w:pPr>
        <w:jc w:val="both"/>
        <w:rPr>
          <w:rFonts w:asciiTheme="minorHAnsi" w:hAnsiTheme="minorHAnsi" w:cs="Arial"/>
          <w:noProof/>
        </w:rPr>
      </w:pPr>
      <w:r w:rsidRPr="005F1629">
        <w:rPr>
          <w:rFonts w:asciiTheme="minorHAnsi" w:hAnsiTheme="minorHAnsi" w:cs="Arial"/>
          <w:noProof/>
        </w:rPr>
        <w:t>Graf č. 2:</w:t>
      </w:r>
    </w:p>
    <w:p w:rsidR="00DA2DE9" w:rsidRPr="005F1629" w:rsidRDefault="00466108" w:rsidP="00BA4E7E">
      <w:pPr>
        <w:spacing w:after="120"/>
        <w:jc w:val="both"/>
        <w:rPr>
          <w:rFonts w:asciiTheme="minorHAnsi" w:hAnsiTheme="minorHAnsi" w:cs="Arial"/>
        </w:rPr>
      </w:pPr>
      <w:r w:rsidRPr="005F1629">
        <w:rPr>
          <w:rFonts w:asciiTheme="minorHAnsi" w:hAnsiTheme="minorHAnsi" w:cs="Arial"/>
          <w:noProof/>
        </w:rPr>
        <w:drawing>
          <wp:inline distT="0" distB="0" distL="0" distR="0">
            <wp:extent cx="5753819" cy="3398807"/>
            <wp:effectExtent l="0" t="0" r="18415" b="11430"/>
            <wp:docPr id="8"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5549" w:rsidRDefault="0034709A" w:rsidP="0083705E">
      <w:pPr>
        <w:spacing w:after="120"/>
        <w:ind w:firstLine="357"/>
        <w:jc w:val="both"/>
        <w:rPr>
          <w:rFonts w:asciiTheme="minorHAnsi" w:hAnsiTheme="minorHAnsi" w:cs="Arial"/>
        </w:rPr>
      </w:pPr>
      <w:r w:rsidRPr="005F1629">
        <w:rPr>
          <w:rFonts w:asciiTheme="minorHAnsi" w:hAnsiTheme="minorHAnsi" w:cs="Arial"/>
          <w:b/>
        </w:rPr>
        <w:t>Objem finančních prostředků (vratek)</w:t>
      </w:r>
      <w:r w:rsidRPr="005F1629">
        <w:rPr>
          <w:rFonts w:asciiTheme="minorHAnsi" w:hAnsiTheme="minorHAnsi" w:cs="Arial"/>
        </w:rPr>
        <w:t xml:space="preserve"> podle § 16b zákona č. 48/1997 Sb. </w:t>
      </w:r>
      <w:r w:rsidR="00706E54" w:rsidRPr="005F1629">
        <w:rPr>
          <w:rFonts w:asciiTheme="minorHAnsi" w:hAnsiTheme="minorHAnsi" w:cs="Arial"/>
        </w:rPr>
        <w:t>ZP MV ČR</w:t>
      </w:r>
      <w:r w:rsidRPr="005F1629">
        <w:rPr>
          <w:rFonts w:asciiTheme="minorHAnsi" w:hAnsiTheme="minorHAnsi" w:cs="Arial"/>
        </w:rPr>
        <w:t xml:space="preserve"> plánuje ve výši </w:t>
      </w:r>
      <w:r w:rsidR="00706E54" w:rsidRPr="005F1629">
        <w:rPr>
          <w:rFonts w:asciiTheme="minorHAnsi" w:hAnsiTheme="minorHAnsi" w:cs="Arial"/>
        </w:rPr>
        <w:t>29</w:t>
      </w:r>
      <w:r w:rsidRPr="005F1629">
        <w:rPr>
          <w:rFonts w:asciiTheme="minorHAnsi" w:hAnsiTheme="minorHAnsi" w:cs="Arial"/>
        </w:rPr>
        <w:t xml:space="preserve"> 500 tis. Kč pro </w:t>
      </w:r>
      <w:r w:rsidR="00706E54" w:rsidRPr="005F1629">
        <w:rPr>
          <w:rFonts w:asciiTheme="minorHAnsi" w:hAnsiTheme="minorHAnsi" w:cs="Arial"/>
        </w:rPr>
        <w:t>20</w:t>
      </w:r>
      <w:r w:rsidRPr="005F1629">
        <w:rPr>
          <w:rFonts w:asciiTheme="minorHAnsi" w:hAnsiTheme="minorHAnsi" w:cs="Arial"/>
        </w:rPr>
        <w:t> </w:t>
      </w:r>
      <w:r w:rsidR="00706E54" w:rsidRPr="005F1629">
        <w:rPr>
          <w:rFonts w:asciiTheme="minorHAnsi" w:hAnsiTheme="minorHAnsi" w:cs="Arial"/>
        </w:rPr>
        <w:t>0</w:t>
      </w:r>
      <w:r w:rsidRPr="005F1629">
        <w:rPr>
          <w:rFonts w:asciiTheme="minorHAnsi" w:hAnsiTheme="minorHAnsi" w:cs="Arial"/>
        </w:rPr>
        <w:t xml:space="preserve">00 pojištěnců, kteří v daném období překročí zákonný limit 5 000 Kč, resp. 2 500 Kč. </w:t>
      </w:r>
      <w:r w:rsidR="00BB59A2" w:rsidRPr="005F1629">
        <w:rPr>
          <w:rFonts w:asciiTheme="minorHAnsi" w:hAnsiTheme="minorHAnsi" w:cs="Arial"/>
        </w:rPr>
        <w:t>V přepočtu na jednoho pojištěnce se tato částka výrazně nezmění ve srovnání s očekávanou situací roku 2013</w:t>
      </w:r>
      <w:r w:rsidR="0083705E" w:rsidRPr="005F1629">
        <w:rPr>
          <w:rFonts w:asciiTheme="minorHAnsi" w:hAnsiTheme="minorHAnsi" w:cs="Arial"/>
        </w:rPr>
        <w:t xml:space="preserve"> (Tabulka č. </w:t>
      </w:r>
      <w:r w:rsidR="00A0098C" w:rsidRPr="005F1629">
        <w:rPr>
          <w:rFonts w:asciiTheme="minorHAnsi" w:hAnsiTheme="minorHAnsi" w:cs="Arial"/>
        </w:rPr>
        <w:t>5)</w:t>
      </w:r>
      <w:r w:rsidR="00BB59A2" w:rsidRPr="005F1629">
        <w:rPr>
          <w:rFonts w:asciiTheme="minorHAnsi" w:hAnsiTheme="minorHAnsi" w:cs="Arial"/>
        </w:rPr>
        <w:t>.</w:t>
      </w:r>
    </w:p>
    <w:p w:rsidR="00F80F37" w:rsidRDefault="00F80F37" w:rsidP="0083705E">
      <w:pPr>
        <w:spacing w:after="120"/>
        <w:ind w:firstLine="357"/>
        <w:jc w:val="both"/>
        <w:rPr>
          <w:rFonts w:asciiTheme="minorHAnsi" w:hAnsiTheme="minorHAnsi" w:cs="Arial"/>
        </w:rPr>
      </w:pPr>
    </w:p>
    <w:p w:rsidR="00F80F37" w:rsidRDefault="00F80F37" w:rsidP="0083705E">
      <w:pPr>
        <w:spacing w:after="120"/>
        <w:ind w:firstLine="357"/>
        <w:jc w:val="both"/>
        <w:rPr>
          <w:rFonts w:asciiTheme="minorHAnsi" w:hAnsiTheme="minorHAnsi" w:cs="Arial"/>
        </w:rPr>
      </w:pPr>
    </w:p>
    <w:p w:rsidR="00F80F37" w:rsidRDefault="00F80F37" w:rsidP="0083705E">
      <w:pPr>
        <w:spacing w:after="120"/>
        <w:ind w:firstLine="357"/>
        <w:jc w:val="both"/>
        <w:rPr>
          <w:rFonts w:asciiTheme="minorHAnsi" w:hAnsiTheme="minorHAnsi" w:cs="Arial"/>
        </w:rPr>
      </w:pPr>
    </w:p>
    <w:p w:rsidR="00F80F37" w:rsidRPr="005F1629" w:rsidRDefault="00F80F37" w:rsidP="0083705E">
      <w:pPr>
        <w:spacing w:after="120"/>
        <w:ind w:firstLine="357"/>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lastRenderedPageBreak/>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E75549" w:rsidRPr="005F1629" w:rsidTr="00E75549">
        <w:tc>
          <w:tcPr>
            <w:tcW w:w="251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115"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116"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115"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115" w:type="dxa"/>
            <w:shd w:val="solid" w:color="000080" w:fill="FFFFFF"/>
          </w:tcPr>
          <w:p w:rsidR="000D1B0B"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1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2518" w:type="dxa"/>
            <w:shd w:val="clear" w:color="auto" w:fill="auto"/>
          </w:tcPr>
          <w:p w:rsidR="00E75549" w:rsidRPr="005F1629" w:rsidRDefault="00E75549" w:rsidP="000D1B0B">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r w:rsidR="000D1B0B">
              <w:rPr>
                <w:rFonts w:asciiTheme="minorHAnsi" w:hAnsiTheme="minorHAnsi" w:cs="Arial"/>
                <w:b/>
                <w:sz w:val="22"/>
                <w:szCs w:val="22"/>
              </w:rPr>
              <w:t xml:space="preserve"> </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31 095</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52 215</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59 889</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44 528</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19 500</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20 00</w:t>
            </w:r>
            <w:r w:rsidR="00BB59A2" w:rsidRPr="005F1629">
              <w:rPr>
                <w:rFonts w:asciiTheme="minorHAnsi" w:hAnsiTheme="minorHAnsi" w:cs="Arial"/>
                <w:sz w:val="22"/>
                <w:szCs w:val="22"/>
              </w:rPr>
              <w:t>0</w:t>
            </w:r>
          </w:p>
        </w:tc>
      </w:tr>
      <w:tr w:rsidR="00E75549" w:rsidRPr="005F1629" w:rsidTr="00DE0C41">
        <w:tc>
          <w:tcPr>
            <w:tcW w:w="2518" w:type="dxa"/>
            <w:shd w:val="clear" w:color="auto" w:fill="auto"/>
          </w:tcPr>
          <w:p w:rsidR="00E75549" w:rsidRPr="005F1629" w:rsidRDefault="00E75549" w:rsidP="00E75549">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sidR="000D1B0B">
              <w:rPr>
                <w:rFonts w:asciiTheme="minorHAnsi" w:hAnsiTheme="minorHAnsi" w:cs="Arial"/>
                <w:b/>
                <w:sz w:val="22"/>
                <w:szCs w:val="22"/>
              </w:rPr>
              <w:t xml:space="preserve"> </w:t>
            </w:r>
            <w:r w:rsidR="001C36AC">
              <w:rPr>
                <w:rFonts w:asciiTheme="minorHAnsi" w:hAnsiTheme="minorHAnsi" w:cs="Arial"/>
                <w:b/>
                <w:bCs/>
                <w:sz w:val="22"/>
                <w:szCs w:val="22"/>
              </w:rPr>
              <w:t>(</w:t>
            </w:r>
            <w:r w:rsidR="000D1B0B" w:rsidRPr="000D1B0B">
              <w:rPr>
                <w:rFonts w:asciiTheme="minorHAnsi" w:hAnsiTheme="minorHAnsi" w:cs="Arial"/>
                <w:b/>
                <w:bCs/>
                <w:sz w:val="22"/>
                <w:szCs w:val="22"/>
              </w:rPr>
              <w:t>tis. Kč)</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21 624</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38 622</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47 016</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32 025</w:t>
            </w:r>
          </w:p>
        </w:tc>
        <w:tc>
          <w:tcPr>
            <w:tcW w:w="1115"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28 000</w:t>
            </w:r>
          </w:p>
        </w:tc>
        <w:tc>
          <w:tcPr>
            <w:tcW w:w="1116" w:type="dxa"/>
            <w:shd w:val="clear" w:color="auto" w:fill="auto"/>
            <w:vAlign w:val="bottom"/>
          </w:tcPr>
          <w:p w:rsidR="00E75549" w:rsidRPr="005F1629" w:rsidRDefault="00E75549" w:rsidP="00DE0C41">
            <w:pPr>
              <w:spacing w:after="120"/>
              <w:jc w:val="right"/>
              <w:rPr>
                <w:rFonts w:asciiTheme="minorHAnsi" w:hAnsiTheme="minorHAnsi" w:cs="Arial"/>
                <w:sz w:val="22"/>
                <w:szCs w:val="22"/>
              </w:rPr>
            </w:pPr>
            <w:r w:rsidRPr="005F1629">
              <w:rPr>
                <w:rFonts w:asciiTheme="minorHAnsi" w:hAnsiTheme="minorHAnsi" w:cs="Arial"/>
                <w:sz w:val="22"/>
                <w:szCs w:val="22"/>
              </w:rPr>
              <w:t>29 500</w:t>
            </w:r>
          </w:p>
        </w:tc>
      </w:tr>
      <w:tr w:rsidR="00E75549" w:rsidRPr="005F1629" w:rsidTr="00DE0C41">
        <w:tc>
          <w:tcPr>
            <w:tcW w:w="2518" w:type="dxa"/>
            <w:shd w:val="clear" w:color="auto" w:fill="auto"/>
          </w:tcPr>
          <w:p w:rsidR="00E75549" w:rsidRPr="005F1629" w:rsidRDefault="00E75549" w:rsidP="00E75549">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sidR="000D1B0B">
              <w:rPr>
                <w:rFonts w:asciiTheme="minorHAnsi" w:hAnsiTheme="minorHAnsi" w:cs="Arial"/>
                <w:b/>
                <w:sz w:val="22"/>
                <w:szCs w:val="22"/>
              </w:rPr>
              <w:t xml:space="preserve"> </w:t>
            </w:r>
            <w:r w:rsidR="001C36AC">
              <w:rPr>
                <w:rFonts w:asciiTheme="minorHAnsi" w:hAnsiTheme="minorHAnsi" w:cs="Arial"/>
                <w:b/>
                <w:bCs/>
                <w:sz w:val="22"/>
                <w:szCs w:val="22"/>
              </w:rPr>
              <w:t>(</w:t>
            </w:r>
            <w:r w:rsidR="000D1B0B" w:rsidRPr="000D1B0B">
              <w:rPr>
                <w:rFonts w:asciiTheme="minorHAnsi" w:hAnsiTheme="minorHAnsi" w:cs="Arial"/>
                <w:b/>
                <w:bCs/>
                <w:sz w:val="22"/>
                <w:szCs w:val="22"/>
              </w:rPr>
              <w:t>tis. Kč)</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0,70</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0,74</w:t>
            </w:r>
          </w:p>
        </w:tc>
        <w:tc>
          <w:tcPr>
            <w:tcW w:w="111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0,79</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0,72</w:t>
            </w:r>
          </w:p>
        </w:tc>
        <w:tc>
          <w:tcPr>
            <w:tcW w:w="1115"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1,44</w:t>
            </w:r>
          </w:p>
        </w:tc>
        <w:tc>
          <w:tcPr>
            <w:tcW w:w="1116"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w:t>
            </w:r>
            <w:r w:rsidR="00BB59A2" w:rsidRPr="005F1629">
              <w:rPr>
                <w:rFonts w:asciiTheme="minorHAnsi" w:hAnsiTheme="minorHAnsi" w:cs="Arial"/>
                <w:sz w:val="22"/>
                <w:szCs w:val="22"/>
              </w:rPr>
              <w:t>,48</w:t>
            </w:r>
          </w:p>
        </w:tc>
      </w:tr>
    </w:tbl>
    <w:p w:rsidR="00E75549" w:rsidRPr="005F1629" w:rsidRDefault="00E75549" w:rsidP="0034709A">
      <w:pPr>
        <w:spacing w:after="120"/>
        <w:ind w:firstLine="709"/>
        <w:jc w:val="both"/>
        <w:rPr>
          <w:rFonts w:asciiTheme="minorHAnsi" w:hAnsiTheme="minorHAnsi" w:cs="Arial"/>
          <w:b/>
        </w:rPr>
      </w:pPr>
    </w:p>
    <w:p w:rsidR="003B1797" w:rsidRPr="005F1629" w:rsidRDefault="00BB59A2" w:rsidP="0083705E">
      <w:pPr>
        <w:ind w:firstLine="357"/>
        <w:jc w:val="both"/>
        <w:rPr>
          <w:rFonts w:asciiTheme="minorHAnsi" w:hAnsiTheme="minorHAnsi" w:cs="Arial"/>
        </w:rPr>
      </w:pPr>
      <w:r w:rsidRPr="005F1629">
        <w:rPr>
          <w:rFonts w:asciiTheme="minorHAnsi" w:hAnsiTheme="minorHAnsi" w:cs="Arial"/>
          <w:b/>
          <w:bCs/>
        </w:rPr>
        <w:t>Náklady na</w:t>
      </w:r>
      <w:r w:rsidR="0034709A" w:rsidRPr="005F1629">
        <w:rPr>
          <w:rFonts w:asciiTheme="minorHAnsi" w:hAnsiTheme="minorHAnsi" w:cs="Arial"/>
          <w:b/>
          <w:bCs/>
        </w:rPr>
        <w:t xml:space="preserve"> léčení cizinců,</w:t>
      </w:r>
      <w:r w:rsidR="0034709A" w:rsidRPr="005F1629">
        <w:rPr>
          <w:rFonts w:asciiTheme="minorHAnsi" w:hAnsiTheme="minorHAnsi" w:cs="Arial"/>
        </w:rPr>
        <w:t xml:space="preserve"> kteří si jako výpomocnou zdravotní pojišťovnu zvolí ZP MV ČR,</w:t>
      </w:r>
      <w:r w:rsidR="006836EE" w:rsidRPr="005F1629">
        <w:rPr>
          <w:rFonts w:asciiTheme="minorHAnsi" w:hAnsiTheme="minorHAnsi" w:cs="Arial"/>
        </w:rPr>
        <w:t xml:space="preserve"> jsou plánovány</w:t>
      </w:r>
      <w:r w:rsidR="006836EE" w:rsidRPr="005F1629">
        <w:rPr>
          <w:rFonts w:asciiTheme="minorHAnsi" w:hAnsiTheme="minorHAnsi" w:cs="Arial"/>
          <w:b/>
        </w:rPr>
        <w:t xml:space="preserve"> </w:t>
      </w:r>
      <w:r w:rsidR="006836EE" w:rsidRPr="005F1629">
        <w:rPr>
          <w:rFonts w:asciiTheme="minorHAnsi" w:hAnsiTheme="minorHAnsi" w:cs="Arial"/>
        </w:rPr>
        <w:t>ve výši 29 800 tis. Kč</w:t>
      </w:r>
      <w:r w:rsidRPr="005F1629">
        <w:rPr>
          <w:rFonts w:asciiTheme="minorHAnsi" w:hAnsiTheme="minorHAnsi" w:cs="Arial"/>
        </w:rPr>
        <w:t>. Oproti</w:t>
      </w:r>
      <w:r w:rsidR="006836EE" w:rsidRPr="005F1629">
        <w:rPr>
          <w:rFonts w:asciiTheme="minorHAnsi" w:hAnsiTheme="minorHAnsi" w:cs="Arial"/>
        </w:rPr>
        <w:t xml:space="preserve"> </w:t>
      </w:r>
      <w:r w:rsidRPr="005F1629">
        <w:rPr>
          <w:rFonts w:asciiTheme="minorHAnsi" w:hAnsiTheme="minorHAnsi" w:cs="Arial"/>
        </w:rPr>
        <w:t>očekávané skutečnosti předchozího roku se jedná o nárůst o</w:t>
      </w:r>
      <w:r w:rsidR="006836EE" w:rsidRPr="005F1629">
        <w:rPr>
          <w:rFonts w:asciiTheme="minorHAnsi" w:hAnsiTheme="minorHAnsi" w:cs="Arial"/>
        </w:rPr>
        <w:t xml:space="preserve"> 6,0</w:t>
      </w:r>
      <w:r w:rsidR="00A0098C" w:rsidRPr="005F1629">
        <w:rPr>
          <w:rFonts w:asciiTheme="minorHAnsi" w:hAnsiTheme="minorHAnsi" w:cs="Arial"/>
        </w:rPr>
        <w:t>5</w:t>
      </w:r>
      <w:r w:rsidR="006836EE" w:rsidRPr="005F1629">
        <w:rPr>
          <w:rFonts w:asciiTheme="minorHAnsi" w:hAnsiTheme="minorHAnsi" w:cs="Arial"/>
        </w:rPr>
        <w:t xml:space="preserve"> %. Při plánovaném p</w:t>
      </w:r>
      <w:r w:rsidR="001716D4" w:rsidRPr="005F1629">
        <w:rPr>
          <w:rFonts w:asciiTheme="minorHAnsi" w:hAnsiTheme="minorHAnsi" w:cs="Arial"/>
        </w:rPr>
        <w:t>očtu 6 700 ošetřených cizinců vzroste</w:t>
      </w:r>
      <w:r w:rsidR="006836EE" w:rsidRPr="005F1629">
        <w:rPr>
          <w:rFonts w:asciiTheme="minorHAnsi" w:hAnsiTheme="minorHAnsi" w:cs="Arial"/>
        </w:rPr>
        <w:t xml:space="preserve"> průměrný náklad na jednoho ošetřeného cizince </w:t>
      </w:r>
      <w:r w:rsidR="001716D4" w:rsidRPr="005F1629">
        <w:rPr>
          <w:rFonts w:asciiTheme="minorHAnsi" w:hAnsiTheme="minorHAnsi" w:cs="Arial"/>
        </w:rPr>
        <w:t xml:space="preserve">o </w:t>
      </w:r>
      <w:r w:rsidR="00A0098C" w:rsidRPr="005F1629">
        <w:rPr>
          <w:rFonts w:asciiTheme="minorHAnsi" w:hAnsiTheme="minorHAnsi" w:cs="Arial"/>
        </w:rPr>
        <w:t>2,89</w:t>
      </w:r>
      <w:r w:rsidR="003B1797" w:rsidRPr="005F1629">
        <w:rPr>
          <w:rFonts w:asciiTheme="minorHAnsi" w:hAnsiTheme="minorHAnsi" w:cs="Arial"/>
        </w:rPr>
        <w:t xml:space="preserve"> %</w:t>
      </w:r>
      <w:r w:rsidR="001716D4" w:rsidRPr="005F1629">
        <w:rPr>
          <w:rFonts w:asciiTheme="minorHAnsi" w:hAnsiTheme="minorHAnsi" w:cs="Arial"/>
        </w:rPr>
        <w:t xml:space="preserve"> oproti očekávané skutečnosti roku 2013</w:t>
      </w:r>
      <w:r w:rsidR="00A0098C" w:rsidRPr="005F1629">
        <w:rPr>
          <w:rFonts w:asciiTheme="minorHAnsi" w:hAnsiTheme="minorHAnsi" w:cs="Arial"/>
        </w:rPr>
        <w:t xml:space="preserve"> (Tabulka č. 6)</w:t>
      </w:r>
      <w:r w:rsidR="003B1797" w:rsidRPr="005F1629">
        <w:rPr>
          <w:rFonts w:asciiTheme="minorHAnsi" w:hAnsiTheme="minorHAnsi" w:cs="Arial"/>
        </w:rPr>
        <w:t>.</w:t>
      </w:r>
    </w:p>
    <w:p w:rsidR="00E75549" w:rsidRPr="005F1629" w:rsidRDefault="006836EE" w:rsidP="0083705E">
      <w:pPr>
        <w:spacing w:after="120" w:line="280" w:lineRule="atLeast"/>
        <w:ind w:firstLine="357"/>
        <w:jc w:val="both"/>
        <w:rPr>
          <w:rFonts w:asciiTheme="minorHAnsi" w:hAnsiTheme="minorHAnsi" w:cs="Arial"/>
        </w:rPr>
      </w:pPr>
      <w:r w:rsidRPr="005F1629">
        <w:rPr>
          <w:rFonts w:asciiTheme="minorHAnsi" w:hAnsiTheme="minorHAnsi" w:cs="Arial"/>
        </w:rPr>
        <w:t xml:space="preserve">Na ZFZP je plánováno přijmout od zahraničních pojišťoven za léčení cizinců (včetně plateb vypořádaných tzv. paušálem) </w:t>
      </w:r>
      <w:r w:rsidR="003B1797" w:rsidRPr="005F1629">
        <w:rPr>
          <w:rFonts w:asciiTheme="minorHAnsi" w:hAnsiTheme="minorHAnsi" w:cs="Arial"/>
        </w:rPr>
        <w:t>15</w:t>
      </w:r>
      <w:r w:rsidRPr="005F1629">
        <w:rPr>
          <w:rFonts w:asciiTheme="minorHAnsi" w:hAnsiTheme="minorHAnsi" w:cs="Arial"/>
        </w:rPr>
        <w:t xml:space="preserve"> </w:t>
      </w:r>
      <w:r w:rsidR="003B1797" w:rsidRPr="005F1629">
        <w:rPr>
          <w:rFonts w:asciiTheme="minorHAnsi" w:hAnsiTheme="minorHAnsi" w:cs="Arial"/>
        </w:rPr>
        <w:t>1</w:t>
      </w:r>
      <w:r w:rsidR="001716D4" w:rsidRPr="005F1629">
        <w:rPr>
          <w:rFonts w:asciiTheme="minorHAnsi" w:hAnsiTheme="minorHAnsi" w:cs="Arial"/>
        </w:rPr>
        <w:t>00 tis.</w:t>
      </w:r>
      <w:r w:rsidRPr="005F1629">
        <w:rPr>
          <w:rFonts w:asciiTheme="minorHAnsi" w:hAnsiTheme="minorHAnsi" w:cs="Arial"/>
        </w:rPr>
        <w:t xml:space="preserve"> Kč a z prostředků ZFZP uhradit za léčení cizinců PZS </w:t>
      </w:r>
      <w:r w:rsidR="003B1797" w:rsidRPr="005F1629">
        <w:rPr>
          <w:rFonts w:asciiTheme="minorHAnsi" w:hAnsiTheme="minorHAnsi" w:cs="Arial"/>
        </w:rPr>
        <w:t>29</w:t>
      </w:r>
      <w:r w:rsidRPr="005F1629">
        <w:rPr>
          <w:rFonts w:asciiTheme="minorHAnsi" w:hAnsiTheme="minorHAnsi" w:cs="Arial"/>
        </w:rPr>
        <w:t xml:space="preserve"> </w:t>
      </w:r>
      <w:r w:rsidR="003B1797" w:rsidRPr="005F1629">
        <w:rPr>
          <w:rFonts w:asciiTheme="minorHAnsi" w:hAnsiTheme="minorHAnsi" w:cs="Arial"/>
        </w:rPr>
        <w:t>8</w:t>
      </w:r>
      <w:r w:rsidRPr="005F1629">
        <w:rPr>
          <w:rFonts w:asciiTheme="minorHAnsi" w:hAnsiTheme="minorHAnsi" w:cs="Arial"/>
        </w:rPr>
        <w:t>00 tis. Kč, což znamená rozdíl mezi těmito pohledávkami a závazky ve výši -</w:t>
      </w:r>
      <w:r w:rsidR="003B1797" w:rsidRPr="005F1629">
        <w:rPr>
          <w:rFonts w:asciiTheme="minorHAnsi" w:hAnsiTheme="minorHAnsi" w:cs="Arial"/>
        </w:rPr>
        <w:t>14</w:t>
      </w:r>
      <w:r w:rsidRPr="005F1629">
        <w:rPr>
          <w:rFonts w:asciiTheme="minorHAnsi" w:hAnsiTheme="minorHAnsi" w:cs="Arial"/>
        </w:rPr>
        <w:t xml:space="preserve"> </w:t>
      </w:r>
      <w:r w:rsidR="003B1797" w:rsidRPr="005F1629">
        <w:rPr>
          <w:rFonts w:asciiTheme="minorHAnsi" w:hAnsiTheme="minorHAnsi" w:cs="Arial"/>
        </w:rPr>
        <w:t>7</w:t>
      </w:r>
      <w:r w:rsidRPr="005F1629">
        <w:rPr>
          <w:rFonts w:asciiTheme="minorHAnsi" w:hAnsiTheme="minorHAnsi" w:cs="Arial"/>
        </w:rPr>
        <w:t>00 tis. Kč. Tato částka</w:t>
      </w:r>
      <w:r w:rsidR="00BB59A2" w:rsidRPr="005F1629">
        <w:rPr>
          <w:rFonts w:asciiTheme="minorHAnsi" w:hAnsiTheme="minorHAnsi" w:cs="Arial"/>
        </w:rPr>
        <w:t xml:space="preserve"> snižuje konečný zůstatek ZFZP.</w:t>
      </w:r>
    </w:p>
    <w:p w:rsidR="00E75549" w:rsidRPr="005F1629" w:rsidRDefault="00E75549" w:rsidP="00E75549">
      <w:pPr>
        <w:pStyle w:val="Zkladntext"/>
        <w:spacing w:after="0" w:line="280" w:lineRule="atLeast"/>
        <w:jc w:val="both"/>
        <w:rPr>
          <w:rFonts w:asciiTheme="minorHAnsi" w:hAnsiTheme="minorHAnsi" w:cs="Arial"/>
          <w:sz w:val="24"/>
        </w:rPr>
      </w:pPr>
      <w:r w:rsidRPr="005F1629">
        <w:rPr>
          <w:rFonts w:asciiTheme="minorHAnsi" w:hAnsiTheme="minorHAnsi" w:cs="Arial"/>
          <w:sz w:val="24"/>
        </w:rPr>
        <w:t>Tabulka č. 6: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E75549" w:rsidRPr="005F1629" w:rsidTr="00E75549">
        <w:tc>
          <w:tcPr>
            <w:tcW w:w="1951"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210"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210"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210"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0D1B0B" w:rsidP="000D1B0B">
            <w:pPr>
              <w:pStyle w:val="Zkladntext"/>
              <w:spacing w:after="0" w:line="280" w:lineRule="atLeast"/>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E75549" w:rsidRPr="005F1629">
              <w:rPr>
                <w:rFonts w:asciiTheme="minorHAnsi" w:hAnsiTheme="minorHAnsi" w:cs="Arial"/>
                <w:b/>
                <w:bCs/>
                <w:color w:val="FFFFFF"/>
                <w:sz w:val="22"/>
                <w:szCs w:val="22"/>
              </w:rPr>
              <w:t>(oč. skut.)</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0D1B0B"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w:t>
            </w:r>
            <w:r w:rsidR="00E75549" w:rsidRPr="005F1629">
              <w:rPr>
                <w:rFonts w:asciiTheme="minorHAnsi" w:hAnsiTheme="minorHAnsi" w:cs="Arial"/>
                <w:b/>
                <w:bCs/>
                <w:color w:val="FFFFFF"/>
                <w:sz w:val="22"/>
                <w:szCs w:val="22"/>
              </w:rPr>
              <w:t>(ZPP)</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Náklady na léčení cizinců</w:t>
            </w:r>
            <w:r w:rsidR="000D1B0B">
              <w:rPr>
                <w:rFonts w:asciiTheme="minorHAnsi" w:hAnsiTheme="minorHAnsi" w:cs="Arial"/>
                <w:b/>
                <w:sz w:val="22"/>
                <w:szCs w:val="22"/>
              </w:rPr>
              <w:t xml:space="preserve"> </w:t>
            </w:r>
            <w:r w:rsidR="000D1B0B" w:rsidRPr="000D1B0B">
              <w:rPr>
                <w:rFonts w:asciiTheme="minorHAnsi" w:hAnsiTheme="minorHAnsi" w:cs="Arial"/>
                <w:b/>
                <w:bCs/>
                <w:sz w:val="22"/>
                <w:szCs w:val="22"/>
              </w:rPr>
              <w:t>(tis. Kč)</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13 790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11 332</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24 381</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28 567</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28 100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29 800</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Počet ošetřených cizinců</w:t>
            </w:r>
          </w:p>
        </w:tc>
        <w:tc>
          <w:tcPr>
            <w:tcW w:w="1209"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2 738</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3 238</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3 937</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5 683</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6 500</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6 700</w:t>
            </w:r>
          </w:p>
        </w:tc>
      </w:tr>
      <w:tr w:rsidR="00E75549" w:rsidRPr="005F1629" w:rsidTr="00DE0C41">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sidR="000D1B0B">
              <w:rPr>
                <w:rFonts w:asciiTheme="minorHAnsi" w:hAnsiTheme="minorHAnsi" w:cs="Arial"/>
                <w:b/>
                <w:sz w:val="22"/>
                <w:szCs w:val="22"/>
              </w:rPr>
              <w:t xml:space="preserve"> </w:t>
            </w:r>
            <w:r w:rsidR="000D1B0B" w:rsidRPr="000D1B0B">
              <w:rPr>
                <w:rFonts w:asciiTheme="minorHAnsi" w:hAnsiTheme="minorHAnsi" w:cs="Arial"/>
                <w:b/>
                <w:bCs/>
                <w:sz w:val="22"/>
                <w:szCs w:val="22"/>
              </w:rPr>
              <w:t>(tis. Kč)</w:t>
            </w:r>
          </w:p>
        </w:tc>
        <w:tc>
          <w:tcPr>
            <w:tcW w:w="1209" w:type="dxa"/>
            <w:shd w:val="clear" w:color="auto" w:fill="auto"/>
            <w:vAlign w:val="bottom"/>
          </w:tcPr>
          <w:p w:rsidR="00E75549" w:rsidRPr="005F1629" w:rsidRDefault="00A0098C"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w:t>
            </w:r>
            <w:r w:rsidR="00E75549" w:rsidRPr="005F1629">
              <w:rPr>
                <w:rFonts w:asciiTheme="minorHAnsi" w:hAnsiTheme="minorHAnsi" w:cs="Arial"/>
                <w:sz w:val="22"/>
                <w:szCs w:val="22"/>
              </w:rPr>
              <w:t>0</w:t>
            </w:r>
            <w:r w:rsidRPr="005F1629">
              <w:rPr>
                <w:rFonts w:asciiTheme="minorHAnsi" w:hAnsiTheme="minorHAnsi" w:cs="Arial"/>
                <w:sz w:val="22"/>
                <w:szCs w:val="22"/>
              </w:rPr>
              <w:t>4</w:t>
            </w:r>
          </w:p>
        </w:tc>
        <w:tc>
          <w:tcPr>
            <w:tcW w:w="1210" w:type="dxa"/>
            <w:shd w:val="clear" w:color="auto" w:fill="auto"/>
            <w:vAlign w:val="bottom"/>
          </w:tcPr>
          <w:p w:rsidR="00E75549" w:rsidRPr="005F1629" w:rsidRDefault="00A0098C"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w:t>
            </w:r>
            <w:r w:rsidR="00E75549" w:rsidRPr="005F1629">
              <w:rPr>
                <w:rFonts w:asciiTheme="minorHAnsi" w:hAnsiTheme="minorHAnsi" w:cs="Arial"/>
                <w:sz w:val="22"/>
                <w:szCs w:val="22"/>
              </w:rPr>
              <w:t>50</w:t>
            </w:r>
          </w:p>
        </w:tc>
        <w:tc>
          <w:tcPr>
            <w:tcW w:w="1210" w:type="dxa"/>
            <w:shd w:val="clear" w:color="auto" w:fill="auto"/>
            <w:vAlign w:val="bottom"/>
          </w:tcPr>
          <w:p w:rsidR="00E75549" w:rsidRPr="005F1629" w:rsidRDefault="00A0098C"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w:t>
            </w:r>
            <w:r w:rsidR="00E75549" w:rsidRPr="005F1629">
              <w:rPr>
                <w:rFonts w:asciiTheme="minorHAnsi" w:hAnsiTheme="minorHAnsi" w:cs="Arial"/>
                <w:sz w:val="22"/>
                <w:szCs w:val="22"/>
              </w:rPr>
              <w:t>19</w:t>
            </w:r>
          </w:p>
        </w:tc>
        <w:tc>
          <w:tcPr>
            <w:tcW w:w="1210" w:type="dxa"/>
            <w:shd w:val="clear" w:color="auto" w:fill="auto"/>
            <w:vAlign w:val="bottom"/>
          </w:tcPr>
          <w:p w:rsidR="00E75549" w:rsidRPr="005F1629" w:rsidRDefault="00A0098C"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w:t>
            </w:r>
            <w:r w:rsidR="00E75549" w:rsidRPr="005F1629">
              <w:rPr>
                <w:rFonts w:asciiTheme="minorHAnsi" w:hAnsiTheme="minorHAnsi" w:cs="Arial"/>
                <w:sz w:val="22"/>
                <w:szCs w:val="22"/>
              </w:rPr>
              <w:t>0</w:t>
            </w:r>
            <w:r w:rsidRPr="005F1629">
              <w:rPr>
                <w:rFonts w:asciiTheme="minorHAnsi" w:hAnsiTheme="minorHAnsi" w:cs="Arial"/>
                <w:sz w:val="22"/>
                <w:szCs w:val="22"/>
              </w:rPr>
              <w:t>3</w:t>
            </w:r>
          </w:p>
        </w:tc>
        <w:tc>
          <w:tcPr>
            <w:tcW w:w="1210" w:type="dxa"/>
            <w:shd w:val="clear" w:color="auto" w:fill="auto"/>
            <w:vAlign w:val="bottom"/>
          </w:tcPr>
          <w:p w:rsidR="00E75549" w:rsidRPr="005F1629" w:rsidRDefault="00A0098C"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E75549" w:rsidRPr="005F1629">
              <w:rPr>
                <w:rFonts w:asciiTheme="minorHAnsi" w:hAnsiTheme="minorHAnsi" w:cs="Arial"/>
                <w:sz w:val="22"/>
                <w:szCs w:val="22"/>
              </w:rPr>
              <w:t>32</w:t>
            </w:r>
          </w:p>
        </w:tc>
        <w:tc>
          <w:tcPr>
            <w:tcW w:w="1210" w:type="dxa"/>
            <w:shd w:val="clear" w:color="auto" w:fill="auto"/>
            <w:vAlign w:val="bottom"/>
          </w:tcPr>
          <w:p w:rsidR="00E75549" w:rsidRPr="005F1629" w:rsidRDefault="00E75549" w:rsidP="00DE0C41">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A0098C" w:rsidRPr="005F1629">
              <w:rPr>
                <w:rFonts w:asciiTheme="minorHAnsi" w:hAnsiTheme="minorHAnsi" w:cs="Arial"/>
                <w:sz w:val="22"/>
                <w:szCs w:val="22"/>
              </w:rPr>
              <w:t>,</w:t>
            </w:r>
            <w:r w:rsidRPr="005F1629">
              <w:rPr>
                <w:rFonts w:asciiTheme="minorHAnsi" w:hAnsiTheme="minorHAnsi" w:cs="Arial"/>
                <w:sz w:val="22"/>
                <w:szCs w:val="22"/>
              </w:rPr>
              <w:t>4</w:t>
            </w:r>
            <w:r w:rsidR="00A0098C" w:rsidRPr="005F1629">
              <w:rPr>
                <w:rFonts w:asciiTheme="minorHAnsi" w:hAnsiTheme="minorHAnsi" w:cs="Arial"/>
                <w:sz w:val="22"/>
                <w:szCs w:val="22"/>
              </w:rPr>
              <w:t>5</w:t>
            </w:r>
          </w:p>
        </w:tc>
      </w:tr>
    </w:tbl>
    <w:p w:rsidR="00E75549" w:rsidRPr="005F1629" w:rsidRDefault="00E75549" w:rsidP="003B1797">
      <w:pPr>
        <w:spacing w:after="120" w:line="280" w:lineRule="atLeast"/>
        <w:ind w:firstLine="708"/>
        <w:jc w:val="both"/>
        <w:rPr>
          <w:rFonts w:asciiTheme="minorHAnsi" w:hAnsiTheme="minorHAnsi" w:cs="Arial"/>
        </w:rPr>
      </w:pPr>
    </w:p>
    <w:p w:rsidR="003B1797" w:rsidRPr="005F1629" w:rsidRDefault="003B1797" w:rsidP="0083705E">
      <w:pPr>
        <w:pStyle w:val="Hladktext"/>
        <w:ind w:firstLine="357"/>
        <w:rPr>
          <w:rFonts w:asciiTheme="minorHAnsi" w:hAnsiTheme="minorHAnsi" w:cs="Arial"/>
          <w:szCs w:val="24"/>
        </w:rPr>
      </w:pPr>
      <w:r w:rsidRPr="005F1629">
        <w:rPr>
          <w:rFonts w:asciiTheme="minorHAnsi" w:hAnsiTheme="minorHAnsi" w:cs="Arial"/>
          <w:b/>
          <w:bCs/>
          <w:szCs w:val="24"/>
        </w:rPr>
        <w:t>Náklady na preventivní péči</w:t>
      </w:r>
      <w:r w:rsidRPr="005F1629">
        <w:rPr>
          <w:rFonts w:asciiTheme="minorHAnsi" w:hAnsiTheme="minorHAnsi" w:cs="Arial"/>
          <w:szCs w:val="24"/>
        </w:rPr>
        <w:t xml:space="preserve"> čerpané z Fprev plánuje </w:t>
      </w:r>
      <w:r w:rsidRPr="005F1629">
        <w:rPr>
          <w:rFonts w:asciiTheme="minorHAnsi" w:hAnsiTheme="minorHAnsi" w:cs="Arial"/>
        </w:rPr>
        <w:t>ZP MV ČR</w:t>
      </w:r>
      <w:r w:rsidRPr="005F1629">
        <w:rPr>
          <w:rFonts w:asciiTheme="minorHAnsi" w:hAnsiTheme="minorHAnsi" w:cs="Arial"/>
          <w:szCs w:val="24"/>
        </w:rPr>
        <w:t xml:space="preserve"> ve výši 105 095 tis. Kč, tj. </w:t>
      </w:r>
      <w:r w:rsidR="00A377FC" w:rsidRPr="005F1629">
        <w:rPr>
          <w:rFonts w:asciiTheme="minorHAnsi" w:hAnsiTheme="minorHAnsi" w:cs="Arial"/>
          <w:szCs w:val="24"/>
        </w:rPr>
        <w:t xml:space="preserve">téměř stejné jako v </w:t>
      </w:r>
      <w:r w:rsidR="001716D4" w:rsidRPr="005F1629">
        <w:rPr>
          <w:rFonts w:asciiTheme="minorHAnsi" w:hAnsiTheme="minorHAnsi" w:cs="Arial"/>
        </w:rPr>
        <w:t>očekávané skutečnosti roku</w:t>
      </w:r>
      <w:r w:rsidR="00A377FC" w:rsidRPr="005F1629">
        <w:rPr>
          <w:rFonts w:asciiTheme="minorHAnsi" w:hAnsiTheme="minorHAnsi" w:cs="Arial"/>
        </w:rPr>
        <w:t xml:space="preserve"> 2013</w:t>
      </w:r>
      <w:r w:rsidR="001716D4" w:rsidRPr="005F1629">
        <w:rPr>
          <w:rFonts w:asciiTheme="minorHAnsi" w:hAnsiTheme="minorHAnsi" w:cs="Arial"/>
        </w:rPr>
        <w:t xml:space="preserve"> (</w:t>
      </w:r>
      <w:r w:rsidR="00BB0D55" w:rsidRPr="005F1629">
        <w:rPr>
          <w:rFonts w:asciiTheme="minorHAnsi" w:hAnsiTheme="minorHAnsi" w:cs="Arial"/>
        </w:rPr>
        <w:t>T</w:t>
      </w:r>
      <w:r w:rsidR="001716D4" w:rsidRPr="005F1629">
        <w:rPr>
          <w:rFonts w:asciiTheme="minorHAnsi" w:hAnsiTheme="minorHAnsi" w:cs="Arial"/>
        </w:rPr>
        <w:t>abulka č. 7)</w:t>
      </w:r>
      <w:r w:rsidRPr="005F1629">
        <w:rPr>
          <w:rFonts w:asciiTheme="minorHAnsi" w:hAnsiTheme="minorHAnsi" w:cs="Arial"/>
          <w:szCs w:val="24"/>
        </w:rPr>
        <w:t>.</w:t>
      </w:r>
    </w:p>
    <w:p w:rsidR="001716D4" w:rsidRDefault="001716D4" w:rsidP="0083705E">
      <w:pPr>
        <w:ind w:firstLine="357"/>
        <w:jc w:val="both"/>
        <w:rPr>
          <w:rFonts w:asciiTheme="minorHAnsi" w:hAnsiTheme="minorHAnsi" w:cs="Arial"/>
        </w:rPr>
      </w:pPr>
      <w:r w:rsidRPr="005F1629">
        <w:rPr>
          <w:rFonts w:asciiTheme="minorHAnsi" w:hAnsiTheme="minorHAnsi" w:cs="Arial"/>
        </w:rPr>
        <w:t>Program prevence pro r. 2014 je členěn do tří základních skupin. První skupina zahrnuje zdravotně preventivní programy, jejichž náklady na rok 2014 budou nižší než v roce 2013. Do druhé skupiny jsou zařazeny ozdravné pobyty, u nichž by mělo dojít k zvýšení nákladů oproti očekávané skutečnosti roku 2013. Do třetí skupiny jsou zařazeny ostatní činnosti, na které bude vydáno 2 500 tis. Kč.</w:t>
      </w:r>
    </w:p>
    <w:p w:rsidR="00F80F37" w:rsidRDefault="00F80F37" w:rsidP="0083705E">
      <w:pPr>
        <w:ind w:firstLine="357"/>
        <w:jc w:val="both"/>
        <w:rPr>
          <w:rFonts w:asciiTheme="minorHAnsi" w:hAnsiTheme="minorHAnsi" w:cs="Arial"/>
        </w:rPr>
      </w:pPr>
    </w:p>
    <w:p w:rsidR="000D1B0B" w:rsidRDefault="000D1B0B" w:rsidP="0083705E">
      <w:pPr>
        <w:ind w:firstLine="357"/>
        <w:jc w:val="both"/>
        <w:rPr>
          <w:rFonts w:asciiTheme="minorHAnsi" w:hAnsiTheme="minorHAnsi" w:cs="Arial"/>
        </w:rPr>
      </w:pPr>
    </w:p>
    <w:p w:rsidR="00F80F37" w:rsidRPr="005F1629" w:rsidRDefault="00F80F37" w:rsidP="0083705E">
      <w:pPr>
        <w:ind w:firstLine="357"/>
        <w:jc w:val="both"/>
        <w:rPr>
          <w:rFonts w:asciiTheme="minorHAnsi" w:hAnsiTheme="minorHAnsi" w:cs="Arial"/>
        </w:rPr>
      </w:pPr>
    </w:p>
    <w:p w:rsidR="00B378A1" w:rsidRPr="005F1629" w:rsidRDefault="00B378A1" w:rsidP="001716D4">
      <w:pPr>
        <w:ind w:firstLine="720"/>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lastRenderedPageBreak/>
        <w:t>Tabulka č. 7: Náklady na preventivní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E75549" w:rsidRPr="005F1629" w:rsidTr="00E75549">
        <w:tc>
          <w:tcPr>
            <w:tcW w:w="2660"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DE0C41">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152 581</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26 254</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77 993</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65 481</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76 000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72 270</w:t>
            </w:r>
          </w:p>
        </w:tc>
      </w:tr>
      <w:tr w:rsidR="00E75549" w:rsidRPr="005F1629" w:rsidTr="00DE0C41">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32 051</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30 787</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25 104</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26 634</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29 100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30 325</w:t>
            </w:r>
          </w:p>
        </w:tc>
      </w:tr>
      <w:tr w:rsidR="00E75549" w:rsidRPr="005F1629" w:rsidTr="00DE0C41">
        <w:tc>
          <w:tcPr>
            <w:tcW w:w="2660" w:type="dxa"/>
            <w:tcBorders>
              <w:top w:val="nil"/>
              <w:left w:val="single" w:sz="8" w:space="0" w:color="auto"/>
              <w:bottom w:val="single" w:sz="4"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4 065</w:t>
            </w:r>
          </w:p>
        </w:tc>
        <w:tc>
          <w:tcPr>
            <w:tcW w:w="1091"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0</w:t>
            </w:r>
          </w:p>
        </w:tc>
        <w:tc>
          <w:tcPr>
            <w:tcW w:w="1092"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2 500</w:t>
            </w:r>
          </w:p>
        </w:tc>
      </w:tr>
      <w:tr w:rsidR="00E75549" w:rsidRPr="005F1629" w:rsidTr="00DE0C41">
        <w:tc>
          <w:tcPr>
            <w:tcW w:w="2660" w:type="dxa"/>
            <w:tcBorders>
              <w:top w:val="single" w:sz="4" w:space="0" w:color="auto"/>
              <w:left w:val="single" w:sz="4" w:space="0" w:color="auto"/>
              <w:bottom w:val="single" w:sz="4" w:space="0" w:color="auto"/>
              <w:right w:val="single" w:sz="4"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Celkové náklady na preventivní zdravotní péči</w:t>
            </w:r>
          </w:p>
        </w:tc>
        <w:tc>
          <w:tcPr>
            <w:tcW w:w="1091" w:type="dxa"/>
            <w:tcBorders>
              <w:left w:val="single" w:sz="4" w:space="0" w:color="auto"/>
            </w:tcBorders>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184 632</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57 041</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107 162</w:t>
            </w:r>
          </w:p>
        </w:tc>
        <w:tc>
          <w:tcPr>
            <w:tcW w:w="1091"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92 015</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105 100</w:t>
            </w:r>
          </w:p>
        </w:tc>
        <w:tc>
          <w:tcPr>
            <w:tcW w:w="1092"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105 095</w:t>
            </w:r>
          </w:p>
        </w:tc>
      </w:tr>
    </w:tbl>
    <w:p w:rsidR="00E75549" w:rsidRPr="005F1629" w:rsidRDefault="00E75549" w:rsidP="003B1797">
      <w:pPr>
        <w:pStyle w:val="Hladktext"/>
        <w:ind w:firstLine="720"/>
        <w:rPr>
          <w:rFonts w:asciiTheme="minorHAnsi" w:hAnsiTheme="minorHAnsi" w:cs="Arial"/>
          <w:szCs w:val="24"/>
        </w:rPr>
      </w:pPr>
    </w:p>
    <w:p w:rsidR="00A0098C" w:rsidRPr="005F1629" w:rsidRDefault="00930A91" w:rsidP="0083705E">
      <w:pPr>
        <w:spacing w:after="240"/>
        <w:ind w:firstLine="357"/>
        <w:jc w:val="both"/>
        <w:rPr>
          <w:rFonts w:asciiTheme="minorHAnsi" w:hAnsiTheme="minorHAnsi" w:cs="Arial"/>
        </w:rPr>
      </w:pPr>
      <w:r w:rsidRPr="005F1629">
        <w:rPr>
          <w:rFonts w:asciiTheme="minorHAnsi" w:hAnsiTheme="minorHAnsi" w:cs="Arial"/>
        </w:rPr>
        <w:t>Zdravotně preventivní programy jsou zaměřeny na vyhledávání počáteční fáze onkologických či jiných závažných onemocnění, na podporu dárcovství krve,</w:t>
      </w:r>
      <w:r w:rsidR="00376D29" w:rsidRPr="005F1629">
        <w:rPr>
          <w:rFonts w:asciiTheme="minorHAnsi" w:hAnsiTheme="minorHAnsi" w:cs="Arial"/>
        </w:rPr>
        <w:t xml:space="preserve"> na </w:t>
      </w:r>
      <w:r w:rsidRPr="005F1629">
        <w:rPr>
          <w:rFonts w:asciiTheme="minorHAnsi" w:hAnsiTheme="minorHAnsi" w:cs="Arial"/>
        </w:rPr>
        <w:t xml:space="preserve">chronicky nemocné a </w:t>
      </w:r>
      <w:r w:rsidR="00376D29" w:rsidRPr="005F1629">
        <w:rPr>
          <w:rFonts w:asciiTheme="minorHAnsi" w:hAnsiTheme="minorHAnsi" w:cs="Arial"/>
        </w:rPr>
        <w:t xml:space="preserve">na </w:t>
      </w:r>
      <w:r w:rsidRPr="005F1629">
        <w:rPr>
          <w:rFonts w:asciiTheme="minorHAnsi" w:hAnsiTheme="minorHAnsi" w:cs="Arial"/>
        </w:rPr>
        <w:t>předcháze</w:t>
      </w:r>
      <w:r w:rsidR="00376D29" w:rsidRPr="005F1629">
        <w:rPr>
          <w:rFonts w:asciiTheme="minorHAnsi" w:hAnsiTheme="minorHAnsi" w:cs="Arial"/>
        </w:rPr>
        <w:t>ní</w:t>
      </w:r>
      <w:r w:rsidRPr="005F1629">
        <w:rPr>
          <w:rFonts w:asciiTheme="minorHAnsi" w:hAnsiTheme="minorHAnsi" w:cs="Arial"/>
        </w:rPr>
        <w:t xml:space="preserve"> komplikacím jejich nemocí, </w:t>
      </w:r>
      <w:r w:rsidR="00376D29" w:rsidRPr="005F1629">
        <w:rPr>
          <w:rFonts w:asciiTheme="minorHAnsi" w:hAnsiTheme="minorHAnsi" w:cs="Arial"/>
        </w:rPr>
        <w:t xml:space="preserve">na </w:t>
      </w:r>
      <w:r w:rsidRPr="005F1629">
        <w:rPr>
          <w:rFonts w:asciiTheme="minorHAnsi" w:hAnsiTheme="minorHAnsi" w:cs="Arial"/>
        </w:rPr>
        <w:t>minimalizov</w:t>
      </w:r>
      <w:r w:rsidR="00376D29" w:rsidRPr="005F1629">
        <w:rPr>
          <w:rFonts w:asciiTheme="minorHAnsi" w:hAnsiTheme="minorHAnsi" w:cs="Arial"/>
        </w:rPr>
        <w:t>ání</w:t>
      </w:r>
      <w:r w:rsidRPr="005F1629">
        <w:rPr>
          <w:rFonts w:asciiTheme="minorHAnsi" w:hAnsiTheme="minorHAnsi" w:cs="Arial"/>
        </w:rPr>
        <w:t xml:space="preserve"> negativní</w:t>
      </w:r>
      <w:r w:rsidR="00376D29" w:rsidRPr="005F1629">
        <w:rPr>
          <w:rFonts w:asciiTheme="minorHAnsi" w:hAnsiTheme="minorHAnsi" w:cs="Arial"/>
        </w:rPr>
        <w:t>ch</w:t>
      </w:r>
      <w:r w:rsidRPr="005F1629">
        <w:rPr>
          <w:rFonts w:asciiTheme="minorHAnsi" w:hAnsiTheme="minorHAnsi" w:cs="Arial"/>
        </w:rPr>
        <w:t xml:space="preserve"> důsledk</w:t>
      </w:r>
      <w:r w:rsidR="00376D29" w:rsidRPr="005F1629">
        <w:rPr>
          <w:rFonts w:asciiTheme="minorHAnsi" w:hAnsiTheme="minorHAnsi" w:cs="Arial"/>
        </w:rPr>
        <w:t>ů</w:t>
      </w:r>
      <w:r w:rsidRPr="005F1629">
        <w:rPr>
          <w:rFonts w:asciiTheme="minorHAnsi" w:hAnsiTheme="minorHAnsi" w:cs="Arial"/>
        </w:rPr>
        <w:t xml:space="preserve"> fyzických i psychických pracovních zátěží na zdravotní stav pojištěnců, kteří jsou ohrožení charakterem vykonávané práce.</w:t>
      </w:r>
      <w:r w:rsidR="00376D29" w:rsidRPr="005F1629">
        <w:rPr>
          <w:rFonts w:asciiTheme="minorHAnsi" w:hAnsiTheme="minorHAnsi" w:cs="Arial"/>
        </w:rPr>
        <w:t xml:space="preserve"> </w:t>
      </w:r>
      <w:r w:rsidRPr="005F1629">
        <w:rPr>
          <w:rFonts w:asciiTheme="minorHAnsi" w:hAnsiTheme="minorHAnsi" w:cs="Arial"/>
        </w:rPr>
        <w:t>Prostředky budou využity především na podporu preventivních onkologických vyšetření nehrazených z</w:t>
      </w:r>
      <w:r w:rsidR="00E276B6">
        <w:rPr>
          <w:rFonts w:asciiTheme="minorHAnsi" w:hAnsiTheme="minorHAnsi" w:cs="Arial"/>
        </w:rPr>
        <w:t xml:space="preserve"> </w:t>
      </w:r>
      <w:r w:rsidRPr="005F1629">
        <w:rPr>
          <w:rFonts w:asciiTheme="minorHAnsi" w:hAnsiTheme="minorHAnsi" w:cs="Arial"/>
        </w:rPr>
        <w:t> v.</w:t>
      </w:r>
      <w:r w:rsidR="00E276B6">
        <w:rPr>
          <w:rFonts w:asciiTheme="minorHAnsi" w:hAnsiTheme="minorHAnsi" w:cs="Arial"/>
        </w:rPr>
        <w:t xml:space="preserve"> </w:t>
      </w:r>
      <w:r w:rsidRPr="005F1629">
        <w:rPr>
          <w:rFonts w:asciiTheme="minorHAnsi" w:hAnsiTheme="minorHAnsi" w:cs="Arial"/>
        </w:rPr>
        <w:t>z.</w:t>
      </w:r>
      <w:r w:rsidR="00E276B6">
        <w:rPr>
          <w:rFonts w:asciiTheme="minorHAnsi" w:hAnsiTheme="minorHAnsi" w:cs="Arial"/>
        </w:rPr>
        <w:t xml:space="preserve"> </w:t>
      </w:r>
      <w:r w:rsidRPr="005F1629">
        <w:rPr>
          <w:rFonts w:asciiTheme="minorHAnsi" w:hAnsiTheme="minorHAnsi" w:cs="Arial"/>
        </w:rPr>
        <w:t xml:space="preserve">p. a na podporu zdravého životního stylu pojištěnců. </w:t>
      </w:r>
    </w:p>
    <w:p w:rsidR="00583109" w:rsidRPr="005F1629" w:rsidRDefault="00583109" w:rsidP="0083705E">
      <w:pPr>
        <w:ind w:firstLine="357"/>
        <w:jc w:val="both"/>
        <w:rPr>
          <w:rFonts w:asciiTheme="minorHAnsi" w:hAnsiTheme="minorHAnsi" w:cs="Arial"/>
        </w:rPr>
      </w:pPr>
      <w:r w:rsidRPr="005F1629">
        <w:rPr>
          <w:rFonts w:asciiTheme="minorHAnsi" w:hAnsiTheme="minorHAnsi" w:cs="Arial"/>
        </w:rPr>
        <w:t xml:space="preserve">Ministerstvo zdravotnictví vytváří vlastní modelaci </w:t>
      </w:r>
      <w:r w:rsidRPr="005F1629">
        <w:rPr>
          <w:rFonts w:asciiTheme="minorHAnsi" w:hAnsiTheme="minorHAnsi" w:cs="Arial"/>
          <w:b/>
        </w:rPr>
        <w:t>příjmů z pojistného</w:t>
      </w:r>
      <w:r w:rsidRPr="005F1629">
        <w:rPr>
          <w:rFonts w:asciiTheme="minorHAnsi" w:hAnsiTheme="minorHAnsi" w:cs="Arial"/>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583109" w:rsidRPr="005F1629" w:rsidRDefault="00583109" w:rsidP="0083705E">
      <w:pPr>
        <w:spacing w:after="240"/>
        <w:ind w:firstLine="357"/>
        <w:jc w:val="both"/>
        <w:rPr>
          <w:rFonts w:asciiTheme="minorHAnsi" w:hAnsiTheme="minorHAnsi" w:cs="Arial"/>
        </w:rPr>
      </w:pPr>
      <w:r w:rsidRPr="005F1629">
        <w:rPr>
          <w:rFonts w:asciiTheme="minorHAnsi" w:hAnsiTheme="minorHAnsi" w:cs="Arial"/>
        </w:rPr>
        <w:t>ZP</w:t>
      </w:r>
      <w:r w:rsidR="00BB0D55" w:rsidRPr="005F1629">
        <w:rPr>
          <w:rFonts w:asciiTheme="minorHAnsi" w:hAnsiTheme="minorHAnsi" w:cs="Arial"/>
        </w:rPr>
        <w:t xml:space="preserve"> </w:t>
      </w:r>
      <w:r w:rsidRPr="005F1629">
        <w:rPr>
          <w:rFonts w:asciiTheme="minorHAnsi" w:hAnsiTheme="minorHAnsi" w:cs="Arial"/>
        </w:rPr>
        <w:t>MV</w:t>
      </w:r>
      <w:r w:rsidR="00BB0D55" w:rsidRPr="005F1629">
        <w:rPr>
          <w:rFonts w:asciiTheme="minorHAnsi" w:hAnsiTheme="minorHAnsi" w:cs="Arial"/>
        </w:rPr>
        <w:t xml:space="preserve"> ČR</w:t>
      </w:r>
      <w:r w:rsidRPr="005F1629">
        <w:rPr>
          <w:rFonts w:asciiTheme="minorHAnsi" w:hAnsiTheme="minorHAnsi" w:cs="Arial"/>
        </w:rPr>
        <w:t xml:space="preserve"> plánuje na straně příjmů pro rok 2014 objem prostředků z pojistného po přerozdělení ve výši 24,47 mld. Kč. Lze konstatovat, že tento odhad je ve shodě s výše popsanou modelací Ministerstva zdravotnictví, které pro ZP</w:t>
      </w:r>
      <w:r w:rsidR="00BB0D55" w:rsidRPr="005F1629">
        <w:rPr>
          <w:rFonts w:asciiTheme="minorHAnsi" w:hAnsiTheme="minorHAnsi" w:cs="Arial"/>
        </w:rPr>
        <w:t xml:space="preserve"> </w:t>
      </w:r>
      <w:r w:rsidRPr="005F1629">
        <w:rPr>
          <w:rFonts w:asciiTheme="minorHAnsi" w:hAnsiTheme="minorHAnsi" w:cs="Arial"/>
        </w:rPr>
        <w:t>MV</w:t>
      </w:r>
      <w:r w:rsidR="00BB0D55" w:rsidRPr="005F1629">
        <w:rPr>
          <w:rFonts w:asciiTheme="minorHAnsi" w:hAnsiTheme="minorHAnsi" w:cs="Arial"/>
        </w:rPr>
        <w:t xml:space="preserve"> ČR</w:t>
      </w:r>
      <w:r w:rsidRPr="005F1629">
        <w:rPr>
          <w:rFonts w:asciiTheme="minorHAnsi" w:hAnsiTheme="minorHAnsi" w:cs="Arial"/>
        </w:rPr>
        <w:t xml:space="preserve"> předpokládá v roce 2014 příjmy ve výši 25,17 mld. Kč. Odhad ZP</w:t>
      </w:r>
      <w:r w:rsidR="00BB0D55" w:rsidRPr="005F1629">
        <w:rPr>
          <w:rFonts w:asciiTheme="minorHAnsi" w:hAnsiTheme="minorHAnsi" w:cs="Arial"/>
        </w:rPr>
        <w:t xml:space="preserve"> </w:t>
      </w:r>
      <w:r w:rsidRPr="005F1629">
        <w:rPr>
          <w:rFonts w:asciiTheme="minorHAnsi" w:hAnsiTheme="minorHAnsi" w:cs="Arial"/>
        </w:rPr>
        <w:t>MV</w:t>
      </w:r>
      <w:r w:rsidR="00BB0D55" w:rsidRPr="005F1629">
        <w:rPr>
          <w:rFonts w:asciiTheme="minorHAnsi" w:hAnsiTheme="minorHAnsi" w:cs="Arial"/>
        </w:rPr>
        <w:t xml:space="preserve"> ČR</w:t>
      </w:r>
      <w:r w:rsidRPr="005F1629">
        <w:rPr>
          <w:rFonts w:asciiTheme="minorHAnsi" w:hAnsiTheme="minorHAnsi" w:cs="Arial"/>
        </w:rPr>
        <w:t xml:space="preserve"> tvoří 97,2</w:t>
      </w:r>
      <w:r w:rsidR="00BB0D55" w:rsidRPr="005F1629">
        <w:rPr>
          <w:rFonts w:asciiTheme="minorHAnsi" w:hAnsiTheme="minorHAnsi" w:cs="Arial"/>
        </w:rPr>
        <w:t> </w:t>
      </w:r>
      <w:r w:rsidRPr="005F1629">
        <w:rPr>
          <w:rFonts w:asciiTheme="minorHAnsi" w:hAnsiTheme="minorHAnsi" w:cs="Arial"/>
          <w:lang w:val="en-US"/>
        </w:rPr>
        <w:t>%</w:t>
      </w:r>
      <w:r w:rsidRPr="005F1629">
        <w:rPr>
          <w:rFonts w:asciiTheme="minorHAnsi" w:hAnsiTheme="minorHAnsi" w:cs="Arial"/>
        </w:rPr>
        <w:t xml:space="preserve"> odhadu ministerstva</w:t>
      </w:r>
      <w:r w:rsidR="00505289" w:rsidRPr="005F1629">
        <w:rPr>
          <w:rFonts w:asciiTheme="minorHAnsi" w:hAnsiTheme="minorHAnsi" w:cs="Arial"/>
        </w:rPr>
        <w:t>,</w:t>
      </w:r>
      <w:r w:rsidRPr="005F1629">
        <w:rPr>
          <w:rFonts w:asciiTheme="minorHAnsi" w:hAnsiTheme="minorHAnsi" w:cs="Arial"/>
        </w:rPr>
        <w:t xml:space="preserve"> a splňuje tak stanovenou toleranci 10 </w:t>
      </w:r>
      <w:r w:rsidRPr="005F1629">
        <w:rPr>
          <w:rFonts w:asciiTheme="minorHAnsi" w:hAnsiTheme="minorHAnsi" w:cs="Arial"/>
          <w:lang w:val="en-US"/>
        </w:rPr>
        <w:t>%</w:t>
      </w:r>
      <w:r w:rsidRPr="005F1629">
        <w:rPr>
          <w:rFonts w:asciiTheme="minorHAnsi" w:hAnsiTheme="minorHAnsi" w:cs="Arial"/>
        </w:rPr>
        <w:t>.</w:t>
      </w:r>
    </w:p>
    <w:p w:rsidR="00583109" w:rsidRPr="005F1629" w:rsidRDefault="00583109" w:rsidP="0083705E">
      <w:pPr>
        <w:ind w:firstLine="357"/>
        <w:jc w:val="both"/>
        <w:rPr>
          <w:rFonts w:asciiTheme="minorHAnsi" w:hAnsiTheme="minorHAnsi" w:cs="Arial"/>
        </w:rPr>
      </w:pPr>
      <w:r w:rsidRPr="005F1629">
        <w:rPr>
          <w:rFonts w:asciiTheme="minorHAnsi" w:hAnsiTheme="minorHAnsi" w:cs="Arial"/>
        </w:rPr>
        <w:t xml:space="preserve">V oblasti zdravotní politiky Ministerstvo zdravotnictví hodnotí především </w:t>
      </w:r>
      <w:r w:rsidRPr="005F1629">
        <w:rPr>
          <w:rFonts w:asciiTheme="minorHAnsi" w:hAnsiTheme="minorHAnsi" w:cs="Arial"/>
          <w:b/>
        </w:rPr>
        <w:t>soulad s modelacemi dopadů úhradové vyhlášky na rok 2014</w:t>
      </w:r>
      <w:r w:rsidRPr="005F1629">
        <w:rPr>
          <w:rFonts w:asciiTheme="minorHAnsi" w:hAnsiTheme="minorHAnsi" w:cs="Arial"/>
        </w:rPr>
        <w:t>. Úhradová vyhláška je na smluvní vztahy aplikována pouze v případě, kdy nedojde k dohodě na úhradovém dodatku</w:t>
      </w:r>
      <w:r w:rsidR="005111C5">
        <w:rPr>
          <w:rFonts w:asciiTheme="minorHAnsi" w:hAnsiTheme="minorHAnsi" w:cs="Arial"/>
        </w:rPr>
        <w:t>. Pro</w:t>
      </w:r>
      <w:r w:rsidRPr="005F1629">
        <w:rPr>
          <w:rFonts w:asciiTheme="minorHAnsi" w:hAnsiTheme="minorHAnsi" w:cs="Arial"/>
        </w:rPr>
        <w:t xml:space="preserve"> hypotetický případ, kdy k dohodám nedojde, a kdy by celý systém fungoval právě podle úhradové vyhlášky, je nutné dohlédnout na konstrukci zdravotně pojistného plánu v takové podobě, aby úhrady podle úhradové vyhlášky umožňoval.</w:t>
      </w:r>
    </w:p>
    <w:p w:rsidR="00466108" w:rsidRPr="005F1629" w:rsidRDefault="00466108" w:rsidP="0083705E">
      <w:pPr>
        <w:ind w:firstLine="357"/>
        <w:jc w:val="both"/>
        <w:rPr>
          <w:rFonts w:asciiTheme="minorHAnsi" w:hAnsiTheme="minorHAnsi" w:cs="Arial"/>
        </w:rPr>
      </w:pPr>
    </w:p>
    <w:p w:rsidR="00583109" w:rsidRPr="005F1629" w:rsidRDefault="00583109" w:rsidP="0083705E">
      <w:pPr>
        <w:ind w:firstLine="357"/>
        <w:jc w:val="both"/>
        <w:rPr>
          <w:rFonts w:asciiTheme="minorHAnsi" w:hAnsiTheme="minorHAnsi" w:cs="Arial"/>
        </w:rPr>
      </w:pPr>
      <w:r w:rsidRPr="005F1629">
        <w:rPr>
          <w:rFonts w:asciiTheme="minorHAnsi" w:hAnsiTheme="minorHAnsi" w:cs="Arial"/>
        </w:rPr>
        <w:t>Ministerstvo hodnotí jednotlivé plánované položky dle segmentů uvedených v</w:t>
      </w:r>
      <w:r w:rsidR="00855A6A">
        <w:rPr>
          <w:rFonts w:asciiTheme="minorHAnsi" w:hAnsiTheme="minorHAnsi" w:cs="Arial"/>
        </w:rPr>
        <w:t> </w:t>
      </w:r>
      <w:r w:rsidRPr="005F1629">
        <w:rPr>
          <w:rFonts w:asciiTheme="minorHAnsi" w:hAnsiTheme="minorHAnsi" w:cs="Arial"/>
        </w:rPr>
        <w:t>příloze</w:t>
      </w:r>
      <w:r w:rsidR="00855A6A">
        <w:rPr>
          <w:rFonts w:asciiTheme="minorHAnsi" w:hAnsiTheme="minorHAnsi" w:cs="Arial"/>
        </w:rPr>
        <w:t xml:space="preserve"> ZPP</w:t>
      </w:r>
      <w:r w:rsidRPr="005F1629">
        <w:rPr>
          <w:rFonts w:asciiTheme="minorHAnsi" w:hAnsiTheme="minorHAnsi" w:cs="Arial"/>
        </w:rPr>
        <w:t xml:space="preserve"> v tabulce č. 12 tím způsobem, že umožňuje zdravotní pojišťovně odchylku směrem nahoru, tedy plánování vyšších nákladů na daný segment, než jaké předpokládá modelace na základě úhradové vyhlášky. V opačném směru je tolerována odchylka do výše 10 </w:t>
      </w:r>
      <w:r w:rsidRPr="00AF782B">
        <w:rPr>
          <w:rFonts w:asciiTheme="minorHAnsi" w:hAnsiTheme="minorHAnsi" w:cs="Arial"/>
        </w:rPr>
        <w:t>%</w:t>
      </w:r>
      <w:r w:rsidRPr="005F1629">
        <w:rPr>
          <w:rFonts w:asciiTheme="minorHAnsi" w:hAnsiTheme="minorHAnsi" w:cs="Arial"/>
        </w:rPr>
        <w:t xml:space="preserve"> z důvodu skutečnosti, že výsledky výpočtů zdravotní pojišťovny a ministerstva jsou modelací, nikoli přesným odhadem.</w:t>
      </w:r>
    </w:p>
    <w:p w:rsidR="00466108" w:rsidRPr="005F1629" w:rsidRDefault="00466108" w:rsidP="0083705E">
      <w:pPr>
        <w:spacing w:after="240"/>
        <w:ind w:firstLine="357"/>
        <w:jc w:val="both"/>
        <w:rPr>
          <w:rFonts w:asciiTheme="minorHAnsi" w:hAnsiTheme="minorHAnsi" w:cs="Arial"/>
        </w:rPr>
      </w:pPr>
    </w:p>
    <w:p w:rsidR="00583109" w:rsidRPr="005F1629" w:rsidRDefault="00583109" w:rsidP="0083705E">
      <w:pPr>
        <w:spacing w:after="240"/>
        <w:ind w:firstLine="357"/>
        <w:jc w:val="both"/>
        <w:rPr>
          <w:rFonts w:asciiTheme="minorHAnsi" w:hAnsiTheme="minorHAnsi" w:cs="Arial"/>
        </w:rPr>
      </w:pPr>
      <w:r w:rsidRPr="005F1629">
        <w:rPr>
          <w:rFonts w:asciiTheme="minorHAnsi" w:hAnsiTheme="minorHAnsi" w:cs="Arial"/>
        </w:rPr>
        <w:lastRenderedPageBreak/>
        <w:t>V případě ZP</w:t>
      </w:r>
      <w:r w:rsidR="00505289" w:rsidRPr="005F1629">
        <w:rPr>
          <w:rFonts w:asciiTheme="minorHAnsi" w:hAnsiTheme="minorHAnsi" w:cs="Arial"/>
        </w:rPr>
        <w:t xml:space="preserve"> </w:t>
      </w:r>
      <w:r w:rsidRPr="005F1629">
        <w:rPr>
          <w:rFonts w:asciiTheme="minorHAnsi" w:hAnsiTheme="minorHAnsi" w:cs="Arial"/>
        </w:rPr>
        <w:t>MV</w:t>
      </w:r>
      <w:r w:rsidR="00505289" w:rsidRPr="005F1629">
        <w:rPr>
          <w:rFonts w:asciiTheme="minorHAnsi" w:hAnsiTheme="minorHAnsi" w:cs="Arial"/>
        </w:rPr>
        <w:t xml:space="preserve"> ČR</w:t>
      </w:r>
      <w:r w:rsidRPr="005F1629">
        <w:rPr>
          <w:rFonts w:asciiTheme="minorHAnsi" w:hAnsiTheme="minorHAnsi" w:cs="Arial"/>
        </w:rPr>
        <w:t xml:space="preserve"> lze konstatovat, že struktura nákladů dle segmentů v příloze </w:t>
      </w:r>
      <w:r w:rsidR="00855A6A">
        <w:rPr>
          <w:rFonts w:asciiTheme="minorHAnsi" w:hAnsiTheme="minorHAnsi" w:cs="Arial"/>
        </w:rPr>
        <w:t xml:space="preserve">ZPP </w:t>
      </w:r>
      <w:r w:rsidRPr="005F1629">
        <w:rPr>
          <w:rFonts w:asciiTheme="minorHAnsi" w:hAnsiTheme="minorHAnsi" w:cs="Arial"/>
        </w:rPr>
        <w:t>v tabulce č. 12 je ve všech položkách v souladu s modelací Ministerstva zdravotnictví.</w:t>
      </w:r>
    </w:p>
    <w:p w:rsidR="00466108" w:rsidRPr="005F1629" w:rsidRDefault="00466108" w:rsidP="00466108">
      <w:pPr>
        <w:spacing w:after="240"/>
        <w:jc w:val="both"/>
        <w:rPr>
          <w:rFonts w:asciiTheme="minorHAnsi" w:hAnsiTheme="minorHAnsi" w:cs="Arial"/>
          <w:b/>
          <w:sz w:val="28"/>
          <w:szCs w:val="28"/>
          <w:u w:val="single"/>
        </w:rPr>
      </w:pPr>
    </w:p>
    <w:p w:rsidR="00466108" w:rsidRPr="005F1629" w:rsidRDefault="00466108" w:rsidP="00466108">
      <w:pPr>
        <w:spacing w:after="240"/>
        <w:jc w:val="both"/>
        <w:rPr>
          <w:rFonts w:asciiTheme="minorHAnsi" w:hAnsiTheme="minorHAnsi" w:cs="Arial"/>
          <w:b/>
          <w:sz w:val="28"/>
          <w:szCs w:val="28"/>
          <w:u w:val="single"/>
        </w:rPr>
      </w:pPr>
      <w:r w:rsidRPr="005F1629">
        <w:rPr>
          <w:rFonts w:asciiTheme="minorHAnsi" w:hAnsiTheme="minorHAnsi" w:cs="Arial"/>
          <w:b/>
          <w:sz w:val="28"/>
          <w:szCs w:val="28"/>
          <w:u w:val="single"/>
        </w:rPr>
        <w:t>Závěr</w:t>
      </w:r>
    </w:p>
    <w:p w:rsidR="00945D34" w:rsidRPr="005F1629" w:rsidRDefault="00466108" w:rsidP="00945D34">
      <w:pPr>
        <w:ind w:firstLine="360"/>
        <w:jc w:val="both"/>
        <w:rPr>
          <w:rFonts w:asciiTheme="minorHAnsi" w:hAnsiTheme="minorHAnsi" w:cs="Arial"/>
          <w:b/>
        </w:rPr>
      </w:pPr>
      <w:r w:rsidRPr="005F1629">
        <w:rPr>
          <w:rFonts w:asciiTheme="minorHAnsi" w:hAnsiTheme="minorHAnsi" w:cs="Arial"/>
          <w:b/>
        </w:rPr>
        <w:t>Z obdržených podkladů lze soudit, že návrh</w:t>
      </w:r>
      <w:r w:rsidR="00061231">
        <w:rPr>
          <w:rFonts w:asciiTheme="minorHAnsi" w:hAnsiTheme="minorHAnsi" w:cs="Arial"/>
          <w:b/>
        </w:rPr>
        <w:t xml:space="preserve"> ZPP 2014 Zdravotní pojišťovny m</w:t>
      </w:r>
      <w:r w:rsidRPr="005F1629">
        <w:rPr>
          <w:rFonts w:asciiTheme="minorHAnsi" w:hAnsiTheme="minorHAnsi" w:cs="Arial"/>
          <w:b/>
        </w:rPr>
        <w:t xml:space="preserve">inisterstva vnitra ČR je v souladu s právními předpisy a veřejným zájmem. </w:t>
      </w:r>
      <w:r w:rsidR="00945D34" w:rsidRPr="005F1629">
        <w:rPr>
          <w:rFonts w:asciiTheme="minorHAnsi" w:hAnsiTheme="minorHAnsi" w:cs="Arial"/>
          <w:b/>
        </w:rPr>
        <w:t>Ministerstvo zdravotnictví a Ministerstvo financí doporučují vládě ČR předložit tento návrh Poslanecké sněmovně Parlamentu České republiky k projednání s návrhem na jeho schválení.</w:t>
      </w:r>
    </w:p>
    <w:p w:rsidR="00466108" w:rsidRPr="005F1629" w:rsidRDefault="00466108" w:rsidP="00945D34">
      <w:pPr>
        <w:ind w:firstLine="720"/>
        <w:jc w:val="both"/>
        <w:rPr>
          <w:rFonts w:asciiTheme="minorHAnsi" w:hAnsiTheme="minorHAnsi" w:cs="Arial"/>
        </w:rPr>
      </w:pPr>
    </w:p>
    <w:p w:rsidR="00583109" w:rsidRPr="005F1629" w:rsidRDefault="00583109" w:rsidP="00376D29">
      <w:pPr>
        <w:ind w:firstLine="720"/>
        <w:jc w:val="both"/>
        <w:rPr>
          <w:rFonts w:asciiTheme="minorHAnsi" w:hAnsiTheme="minorHAnsi" w:cs="Arial"/>
        </w:rPr>
      </w:pPr>
    </w:p>
    <w:p w:rsidR="00930A91" w:rsidRPr="005F1629" w:rsidRDefault="00A0098C" w:rsidP="00376D29">
      <w:pPr>
        <w:ind w:firstLine="720"/>
        <w:jc w:val="both"/>
        <w:rPr>
          <w:rFonts w:asciiTheme="minorHAnsi" w:hAnsiTheme="minorHAnsi" w:cs="Arial"/>
        </w:rPr>
      </w:pPr>
      <w:r w:rsidRPr="005F1629">
        <w:rPr>
          <w:rFonts w:asciiTheme="minorHAnsi" w:hAnsiTheme="minorHAnsi" w:cs="Arial"/>
        </w:rPr>
        <w:br w:type="page"/>
      </w:r>
    </w:p>
    <w:p w:rsidR="00132823" w:rsidRPr="005F1629" w:rsidRDefault="00132823" w:rsidP="00132823">
      <w:pPr>
        <w:pStyle w:val="Zkladntext3"/>
        <w:rPr>
          <w:rFonts w:asciiTheme="minorHAnsi" w:hAnsiTheme="minorHAnsi" w:cs="Arial"/>
          <w:sz w:val="28"/>
          <w:szCs w:val="28"/>
          <w:u w:val="single"/>
        </w:rPr>
      </w:pPr>
      <w:r w:rsidRPr="005F1629">
        <w:rPr>
          <w:rFonts w:asciiTheme="minorHAnsi" w:hAnsiTheme="minorHAnsi" w:cs="Arial"/>
          <w:sz w:val="28"/>
          <w:szCs w:val="28"/>
          <w:u w:val="single"/>
        </w:rPr>
        <w:lastRenderedPageBreak/>
        <w:t xml:space="preserve">213 – Revírní bratrská pokladna, zdravotní pojišťovna (RBP) </w:t>
      </w:r>
    </w:p>
    <w:p w:rsidR="00132823" w:rsidRPr="005F1629" w:rsidRDefault="00132823" w:rsidP="00132823">
      <w:pPr>
        <w:pStyle w:val="Zkladntext3"/>
        <w:rPr>
          <w:rFonts w:asciiTheme="minorHAnsi" w:hAnsiTheme="minorHAnsi" w:cs="Arial"/>
        </w:rPr>
      </w:pPr>
    </w:p>
    <w:p w:rsidR="00466108" w:rsidRPr="005F1629" w:rsidRDefault="00466108" w:rsidP="00466108">
      <w:pPr>
        <w:jc w:val="both"/>
        <w:rPr>
          <w:rFonts w:asciiTheme="minorHAnsi" w:hAnsiTheme="minorHAnsi" w:cs="Arial"/>
          <w:b/>
          <w:sz w:val="28"/>
          <w:szCs w:val="28"/>
          <w:u w:val="single"/>
        </w:rPr>
      </w:pPr>
      <w:r w:rsidRPr="005F1629">
        <w:rPr>
          <w:rFonts w:asciiTheme="minorHAnsi" w:hAnsiTheme="minorHAnsi" w:cs="Arial"/>
          <w:b/>
          <w:sz w:val="28"/>
          <w:szCs w:val="28"/>
          <w:u w:val="single"/>
        </w:rPr>
        <w:t>Hodnocení ekonomické</w:t>
      </w:r>
    </w:p>
    <w:p w:rsidR="00466108" w:rsidRPr="005F1629" w:rsidRDefault="00466108" w:rsidP="00466108">
      <w:pPr>
        <w:ind w:left="360" w:hanging="360"/>
        <w:jc w:val="both"/>
        <w:rPr>
          <w:rFonts w:asciiTheme="minorHAnsi" w:hAnsiTheme="minorHAnsi" w:cs="Arial"/>
          <w:b/>
          <w:sz w:val="28"/>
          <w:szCs w:val="28"/>
          <w:u w:val="single"/>
        </w:rPr>
      </w:pPr>
      <w:r w:rsidRPr="005F1629">
        <w:rPr>
          <w:rFonts w:asciiTheme="minorHAnsi" w:hAnsiTheme="minorHAnsi" w:cs="Arial"/>
          <w:i/>
          <w:sz w:val="20"/>
          <w:szCs w:val="20"/>
        </w:rPr>
        <w:t xml:space="preserve">(použité číselné údaje jsou obsaženy v příloze, v tabulkách č. 1, 1a),1b,) 1c), případně v ZPP 2014) </w:t>
      </w:r>
    </w:p>
    <w:p w:rsidR="00466108" w:rsidRPr="005F1629" w:rsidRDefault="00466108" w:rsidP="0095701D">
      <w:pPr>
        <w:jc w:val="both"/>
        <w:rPr>
          <w:rFonts w:asciiTheme="minorHAnsi" w:hAnsiTheme="minorHAnsi" w:cs="Arial"/>
          <w:b/>
          <w:sz w:val="28"/>
          <w:szCs w:val="28"/>
          <w:u w:val="single"/>
        </w:rPr>
      </w:pPr>
    </w:p>
    <w:p w:rsidR="00466108" w:rsidRPr="005F1629" w:rsidRDefault="00466108" w:rsidP="0083705E">
      <w:pPr>
        <w:pStyle w:val="Zkladntext3"/>
        <w:ind w:firstLine="357"/>
        <w:rPr>
          <w:rFonts w:asciiTheme="minorHAnsi" w:hAnsiTheme="minorHAnsi" w:cs="Arial"/>
          <w:b w:val="0"/>
        </w:rPr>
      </w:pPr>
      <w:r w:rsidRPr="005F1629">
        <w:rPr>
          <w:rFonts w:asciiTheme="minorHAnsi" w:hAnsiTheme="minorHAnsi" w:cs="Arial"/>
          <w:b w:val="0"/>
        </w:rPr>
        <w:tab/>
        <w:t>V </w:t>
      </w:r>
      <w:r w:rsidRPr="005F1629">
        <w:rPr>
          <w:rFonts w:asciiTheme="minorHAnsi" w:hAnsiTheme="minorHAnsi" w:cs="Arial"/>
        </w:rPr>
        <w:t>organizační struktuře</w:t>
      </w:r>
      <w:r w:rsidRPr="005F1629">
        <w:rPr>
          <w:rFonts w:asciiTheme="minorHAnsi" w:hAnsiTheme="minorHAnsi" w:cs="Arial"/>
          <w:b w:val="0"/>
        </w:rPr>
        <w:t xml:space="preserve"> nedochází pro příští rok k žádným změnám. Největší plánovanou investicí z dlouhodobého pohledu je vytvoření nového informačního systému. Proces již započal a počítá se s jeho postupným dokončením v roce 2016.</w:t>
      </w:r>
    </w:p>
    <w:p w:rsidR="00466108" w:rsidRPr="005F1629" w:rsidRDefault="00466108" w:rsidP="0083705E">
      <w:pPr>
        <w:pStyle w:val="Zkladntext3"/>
        <w:ind w:firstLine="357"/>
        <w:rPr>
          <w:rFonts w:asciiTheme="minorHAnsi" w:hAnsiTheme="minorHAnsi" w:cs="Arial"/>
          <w:b w:val="0"/>
        </w:rPr>
      </w:pPr>
    </w:p>
    <w:p w:rsidR="00466108" w:rsidRPr="005F1629" w:rsidRDefault="00466108" w:rsidP="0083705E">
      <w:pPr>
        <w:ind w:firstLine="357"/>
        <w:jc w:val="both"/>
        <w:rPr>
          <w:rFonts w:asciiTheme="minorHAnsi" w:hAnsiTheme="minorHAnsi" w:cs="Arial"/>
          <w:i/>
          <w:sz w:val="20"/>
          <w:szCs w:val="20"/>
        </w:rPr>
      </w:pPr>
      <w:r w:rsidRPr="005F1629">
        <w:rPr>
          <w:rFonts w:asciiTheme="minorHAnsi" w:hAnsiTheme="minorHAnsi" w:cs="Arial"/>
          <w:b/>
        </w:rPr>
        <w:t>Průměrný počet pojištěnců</w:t>
      </w:r>
      <w:r w:rsidRPr="005F1629">
        <w:rPr>
          <w:rFonts w:asciiTheme="minorHAnsi" w:hAnsiTheme="minorHAnsi" w:cs="Arial"/>
        </w:rPr>
        <w:t xml:space="preserve"> je namodelován podle stárnutí kmene pojištěnců a jejich průměrné úmrtnosti a je plánován v počtu 427 700 pojištěnců, s jejich meziročním zvýšením o 9 400 osob, tj. o 2,2 %. Státem hrazených pojištěnců je z tohoto počtu celkem 259 400 pojištěnců s meziročním nárůstem 2,4 %. </w:t>
      </w:r>
      <w:r w:rsidRPr="005F1629">
        <w:rPr>
          <w:rFonts w:asciiTheme="minorHAnsi" w:hAnsiTheme="minorHAnsi" w:cs="Arial"/>
          <w:b/>
        </w:rPr>
        <w:t>Plánovaný absolutní počet</w:t>
      </w:r>
      <w:r w:rsidRPr="005F1629">
        <w:rPr>
          <w:rFonts w:asciiTheme="minorHAnsi" w:hAnsiTheme="minorHAnsi" w:cs="Arial"/>
        </w:rPr>
        <w:t xml:space="preserve"> k poslednímu dni sledovaného období je 428 700 pojištěnců, což je meziročně o 9 700 více, tj. zvýšení o 2,3 %. Z toho počtu je státem hrazených 260 000 pojištěnců. RBP plánuje v přepočtu na 1 zaměstnance 1 980 pojištěnců, s meziročním zvýšením o 25 pojištěnců na 1 zaměstnance, tj. zvýšení o 1,3 %. Ve srovnání s ostatními ZZP dosahuje RBP v tomto ukazateli druhého místa. </w:t>
      </w:r>
    </w:p>
    <w:p w:rsidR="00466108" w:rsidRPr="005F1629" w:rsidRDefault="00466108" w:rsidP="0083705E">
      <w:pPr>
        <w:ind w:firstLine="357"/>
        <w:outlineLvl w:val="0"/>
        <w:rPr>
          <w:rFonts w:asciiTheme="minorHAnsi" w:hAnsiTheme="minorHAnsi" w:cs="Arial"/>
          <w:b/>
          <w:u w:val="single"/>
        </w:rPr>
      </w:pPr>
    </w:p>
    <w:p w:rsidR="00466108" w:rsidRPr="005F1629" w:rsidRDefault="00466108" w:rsidP="00466108">
      <w:pPr>
        <w:rPr>
          <w:rFonts w:asciiTheme="minorHAnsi" w:hAnsiTheme="minorHAnsi" w:cs="Arial"/>
          <w:b/>
          <w:i/>
          <w:u w:val="single"/>
        </w:rPr>
      </w:pPr>
      <w:r w:rsidRPr="005F1629">
        <w:rPr>
          <w:rFonts w:asciiTheme="minorHAnsi" w:hAnsiTheme="minorHAnsi" w:cs="Arial"/>
          <w:b/>
          <w:i/>
          <w:u w:val="single"/>
        </w:rPr>
        <w:t xml:space="preserve">Plánované ukazatele  na rok 2014 </w:t>
      </w:r>
    </w:p>
    <w:p w:rsidR="00466108" w:rsidRPr="005F1629" w:rsidRDefault="00466108" w:rsidP="00466108">
      <w:pPr>
        <w:jc w:val="both"/>
        <w:rPr>
          <w:rFonts w:asciiTheme="minorHAnsi" w:hAnsiTheme="minorHAnsi" w:cs="Arial"/>
          <w:i/>
          <w:sz w:val="20"/>
          <w:szCs w:val="20"/>
        </w:rPr>
      </w:pPr>
    </w:p>
    <w:p w:rsidR="00466108" w:rsidRPr="005F1629" w:rsidRDefault="00466108" w:rsidP="00466108">
      <w:pPr>
        <w:numPr>
          <w:ilvl w:val="0"/>
          <w:numId w:val="16"/>
        </w:numPr>
        <w:tabs>
          <w:tab w:val="clear" w:pos="720"/>
        </w:tabs>
        <w:ind w:left="360"/>
        <w:jc w:val="both"/>
        <w:rPr>
          <w:rFonts w:asciiTheme="minorHAnsi" w:hAnsiTheme="minorHAnsi" w:cs="Arial"/>
        </w:rPr>
      </w:pPr>
      <w:r w:rsidRPr="005F1629">
        <w:rPr>
          <w:rFonts w:asciiTheme="minorHAnsi" w:hAnsiTheme="minorHAnsi" w:cs="Arial"/>
        </w:rPr>
        <w:t xml:space="preserve">Plánované </w:t>
      </w:r>
      <w:r w:rsidRPr="005F1629">
        <w:rPr>
          <w:rFonts w:asciiTheme="minorHAnsi" w:hAnsiTheme="minorHAnsi" w:cs="Arial"/>
          <w:b/>
        </w:rPr>
        <w:t>příjmy celkem, včetně zdaňovaných</w:t>
      </w:r>
      <w:r w:rsidRPr="005F1629">
        <w:rPr>
          <w:rFonts w:asciiTheme="minorHAnsi" w:hAnsiTheme="minorHAnsi" w:cs="Arial"/>
        </w:rPr>
        <w:t xml:space="preserve">, jsou ve výši 8 049 868 tis. Kč a v meziročním porovnání jsou o 3,8 % vyšší. Plánované </w:t>
      </w:r>
      <w:r w:rsidRPr="005F1629">
        <w:rPr>
          <w:rFonts w:asciiTheme="minorHAnsi" w:hAnsiTheme="minorHAnsi" w:cs="Arial"/>
          <w:b/>
        </w:rPr>
        <w:t>příjmy z pojistného po přerozdělování</w:t>
      </w:r>
      <w:r w:rsidRPr="005F1629">
        <w:rPr>
          <w:rFonts w:asciiTheme="minorHAnsi" w:hAnsiTheme="minorHAnsi" w:cs="Arial"/>
        </w:rPr>
        <w:t xml:space="preserve"> dosahují 7 965 000 tis. Kč a meziročně jsou navýšeny o 4 %. Průměrný příjem pojistného po přerozdělování na 1 pojištěnce ve výši 18 623 Kč se zvyšuje meziročně o 1,7 %. Tyto příjmy jsou mezi ZZP nejnižší, neboť průměr za ZZP dosahuje 19 788 Kč. Stav odpovídá struktuře pojistného kmene a regionu, ve kterém RBP působí.</w:t>
      </w:r>
    </w:p>
    <w:p w:rsidR="00466108" w:rsidRPr="005F1629" w:rsidRDefault="00466108" w:rsidP="00466108">
      <w:pPr>
        <w:numPr>
          <w:ilvl w:val="0"/>
          <w:numId w:val="16"/>
        </w:numPr>
        <w:tabs>
          <w:tab w:val="clear" w:pos="720"/>
        </w:tabs>
        <w:ind w:left="360"/>
        <w:jc w:val="both"/>
        <w:rPr>
          <w:rFonts w:asciiTheme="minorHAnsi" w:hAnsiTheme="minorHAnsi" w:cs="Arial"/>
        </w:rPr>
      </w:pPr>
      <w:r w:rsidRPr="005F1629">
        <w:rPr>
          <w:rFonts w:asciiTheme="minorHAnsi" w:hAnsiTheme="minorHAnsi" w:cs="Arial"/>
        </w:rPr>
        <w:t xml:space="preserve">Plánované </w:t>
      </w:r>
      <w:r w:rsidRPr="005F1629">
        <w:rPr>
          <w:rFonts w:asciiTheme="minorHAnsi" w:hAnsiTheme="minorHAnsi" w:cs="Arial"/>
          <w:b/>
        </w:rPr>
        <w:t>výdaje celkem, včetně zdaňovaných</w:t>
      </w:r>
      <w:r w:rsidRPr="005F1629">
        <w:rPr>
          <w:rFonts w:asciiTheme="minorHAnsi" w:hAnsiTheme="minorHAnsi" w:cs="Arial"/>
        </w:rPr>
        <w:t xml:space="preserve">, jsou ve výši 8 226 984 tis. Kč, s meziročním nárůstem o 3,6 %. Z toho plánované </w:t>
      </w:r>
      <w:r w:rsidRPr="005F1629">
        <w:rPr>
          <w:rFonts w:asciiTheme="minorHAnsi" w:hAnsiTheme="minorHAnsi" w:cs="Arial"/>
          <w:b/>
        </w:rPr>
        <w:t>výdaje na zdravotní služby hrazené ze ZFZP</w:t>
      </w:r>
      <w:r w:rsidRPr="005F1629">
        <w:rPr>
          <w:rFonts w:asciiTheme="minorHAnsi" w:hAnsiTheme="minorHAnsi" w:cs="Arial"/>
        </w:rPr>
        <w:t xml:space="preserve"> jsou ve výši 7 860 000 tis. Kč, s meziročním nárůstem o 3,6 %. </w:t>
      </w:r>
      <w:r w:rsidR="004875B8" w:rsidRPr="005F1629">
        <w:rPr>
          <w:rFonts w:asciiTheme="minorHAnsi" w:hAnsiTheme="minorHAnsi" w:cs="Arial"/>
        </w:rPr>
        <w:t>Tyto výdaje na 1 pojištěnce</w:t>
      </w:r>
      <w:r w:rsidRPr="005F1629">
        <w:rPr>
          <w:rFonts w:asciiTheme="minorHAnsi" w:hAnsiTheme="minorHAnsi" w:cs="Arial"/>
        </w:rPr>
        <w:t xml:space="preserve"> </w:t>
      </w:r>
      <w:r w:rsidR="0083705E" w:rsidRPr="005F1629">
        <w:rPr>
          <w:rFonts w:asciiTheme="minorHAnsi" w:hAnsiTheme="minorHAnsi" w:cs="Arial"/>
        </w:rPr>
        <w:t>č</w:t>
      </w:r>
      <w:r w:rsidRPr="005F1629">
        <w:rPr>
          <w:rFonts w:asciiTheme="minorHAnsi" w:hAnsiTheme="minorHAnsi" w:cs="Arial"/>
        </w:rPr>
        <w:t xml:space="preserve">iní 18 377 Kč s meziročním nárůstem o 1,3 %. Jsou v souboru ZZP nejnižší a odpovídají nejnižším příjmům mezi ZZP. </w:t>
      </w:r>
      <w:r w:rsidRPr="005F1629">
        <w:rPr>
          <w:rFonts w:asciiTheme="minorHAnsi" w:hAnsiTheme="minorHAnsi" w:cs="Arial"/>
          <w:b/>
        </w:rPr>
        <w:t>Výdaje na zdravotní služby hrazené z Fprev</w:t>
      </w:r>
      <w:r w:rsidRPr="005F1629">
        <w:rPr>
          <w:rFonts w:asciiTheme="minorHAnsi" w:hAnsiTheme="minorHAnsi" w:cs="Arial"/>
        </w:rPr>
        <w:t xml:space="preserve"> jsou plánovány ve výši 71 100 tis. Kč, s meziročním poklesem o </w:t>
      </w:r>
      <w:r w:rsidR="004875B8" w:rsidRPr="005F1629">
        <w:rPr>
          <w:rFonts w:asciiTheme="minorHAnsi" w:hAnsiTheme="minorHAnsi" w:cs="Arial"/>
        </w:rPr>
        <w:t>14</w:t>
      </w:r>
      <w:r w:rsidRPr="005F1629">
        <w:rPr>
          <w:rFonts w:asciiTheme="minorHAnsi" w:hAnsiTheme="minorHAnsi" w:cs="Arial"/>
        </w:rPr>
        <w:t xml:space="preserve"> %. V přepočtu na jednoho pojištěnce činí 166 Kč a jsou mezi ZZP druhé nejvyšší. Průměr za ZZP je 128 Kč. </w:t>
      </w:r>
    </w:p>
    <w:p w:rsidR="00466108" w:rsidRPr="005F1629" w:rsidRDefault="00466108" w:rsidP="00466108">
      <w:pPr>
        <w:ind w:left="360"/>
        <w:jc w:val="both"/>
        <w:rPr>
          <w:rFonts w:asciiTheme="minorHAnsi" w:hAnsiTheme="minorHAnsi" w:cs="Arial"/>
        </w:rPr>
      </w:pPr>
      <w:r w:rsidRPr="005F1629">
        <w:rPr>
          <w:rFonts w:asciiTheme="minorHAnsi" w:hAnsiTheme="minorHAnsi" w:cs="Arial"/>
          <w:b/>
        </w:rPr>
        <w:t>Plánovaný maximální limit nákladů na činnost</w:t>
      </w:r>
      <w:r w:rsidRPr="005F1629">
        <w:rPr>
          <w:rFonts w:asciiTheme="minorHAnsi" w:hAnsiTheme="minorHAnsi" w:cs="Arial"/>
        </w:rPr>
        <w:t xml:space="preserve"> </w:t>
      </w:r>
      <w:r w:rsidRPr="005F1629">
        <w:rPr>
          <w:rFonts w:asciiTheme="minorHAnsi" w:hAnsiTheme="minorHAnsi" w:cs="Arial"/>
          <w:b/>
        </w:rPr>
        <w:t>zdravotní pojišťovny</w:t>
      </w:r>
      <w:r w:rsidRPr="005F1629">
        <w:rPr>
          <w:rFonts w:asciiTheme="minorHAnsi" w:hAnsiTheme="minorHAnsi" w:cs="Arial"/>
        </w:rPr>
        <w:t xml:space="preserve"> dosahuje 272 357 tis. Kč a shoduje se se skutečným přídělem ze ZFZP do PF. Meziročně se zvyšuje o 4 %. RBP plánuje převést z PF do SF 2 112 tis. Kč, tj. meziročně o 4,9 % více. Limit převodu z PF do SF je čerpán v souladu s vnitřními předpisy RBP. </w:t>
      </w:r>
    </w:p>
    <w:p w:rsidR="00466108" w:rsidRPr="005F1629" w:rsidRDefault="00466108" w:rsidP="00466108">
      <w:pPr>
        <w:ind w:left="360" w:hanging="360"/>
        <w:jc w:val="both"/>
        <w:rPr>
          <w:rFonts w:asciiTheme="minorHAnsi" w:hAnsiTheme="minorHAnsi" w:cs="Arial"/>
        </w:rPr>
      </w:pPr>
      <w:r w:rsidRPr="005F1629">
        <w:rPr>
          <w:rFonts w:asciiTheme="minorHAnsi" w:hAnsiTheme="minorHAnsi" w:cs="Arial"/>
        </w:rPr>
        <w:t xml:space="preserve">3. Plánované </w:t>
      </w:r>
      <w:r w:rsidRPr="005F1629">
        <w:rPr>
          <w:rFonts w:asciiTheme="minorHAnsi" w:hAnsiTheme="minorHAnsi" w:cs="Arial"/>
          <w:b/>
        </w:rPr>
        <w:t>saldo příjmů a výdajů celkem, včetně zdaňovaných</w:t>
      </w:r>
      <w:r w:rsidRPr="005F1629">
        <w:rPr>
          <w:rFonts w:asciiTheme="minorHAnsi" w:hAnsiTheme="minorHAnsi" w:cs="Arial"/>
        </w:rPr>
        <w:t xml:space="preserve">, je v záporné hodnotě -177 116 tis. Kč s meziročním poklesem o 4,3 %. Ke krytí záporného salda použije ZP finanční prostředky z minulých let. </w:t>
      </w:r>
    </w:p>
    <w:p w:rsidR="00466108" w:rsidRPr="005F1629" w:rsidRDefault="00466108" w:rsidP="00466108">
      <w:pPr>
        <w:ind w:left="360" w:hanging="360"/>
        <w:jc w:val="both"/>
        <w:rPr>
          <w:rFonts w:asciiTheme="minorHAnsi" w:hAnsiTheme="minorHAnsi" w:cs="Arial"/>
        </w:rPr>
      </w:pPr>
      <w:r w:rsidRPr="005F1629">
        <w:rPr>
          <w:rFonts w:asciiTheme="minorHAnsi" w:hAnsiTheme="minorHAnsi" w:cs="Arial"/>
        </w:rPr>
        <w:t xml:space="preserve">4. Plánovaný </w:t>
      </w:r>
      <w:r w:rsidRPr="005F1629">
        <w:rPr>
          <w:rFonts w:asciiTheme="minorHAnsi" w:hAnsiTheme="minorHAnsi" w:cs="Arial"/>
          <w:b/>
        </w:rPr>
        <w:t>stav pohledávek celkem</w:t>
      </w:r>
      <w:r w:rsidRPr="005F1629">
        <w:rPr>
          <w:rFonts w:asciiTheme="minorHAnsi" w:hAnsiTheme="minorHAnsi" w:cs="Arial"/>
        </w:rPr>
        <w:t xml:space="preserve"> je ve výši 1 428 871 tis. Kč,</w:t>
      </w:r>
      <w:r w:rsidRPr="005F1629">
        <w:rPr>
          <w:rFonts w:asciiTheme="minorHAnsi" w:hAnsiTheme="minorHAnsi" w:cs="Arial"/>
          <w:color w:val="FF0000"/>
        </w:rPr>
        <w:t xml:space="preserve"> </w:t>
      </w:r>
      <w:r w:rsidRPr="005F1629">
        <w:rPr>
          <w:rFonts w:asciiTheme="minorHAnsi" w:hAnsiTheme="minorHAnsi" w:cs="Arial"/>
        </w:rPr>
        <w:t xml:space="preserve">s meziročním nárůstem o 5,3 %. Plánovaný stav pohledávek po lhůtě splatnosti za plátci pojistného dosahuje výše 724 376 tis. Kč, s meziročním nárůstem o 5,1%. Z celkového objemu pohledávek tvoří tyto pohledávky 50,8 %. Nárůst pohledávek po lhůtě splatnosti se zvyšuje i přes jejich důsledné sledování a vymáhání. Souvisí s celkovou ekonomickou situací obyvatelstva. Opravné položky k pohledávkám za plátci pojistného jsou plánovány v částce </w:t>
      </w:r>
      <w:r w:rsidRPr="005F1629">
        <w:rPr>
          <w:rFonts w:asciiTheme="minorHAnsi" w:hAnsiTheme="minorHAnsi" w:cs="Arial"/>
        </w:rPr>
        <w:lastRenderedPageBreak/>
        <w:t>286 443 tis</w:t>
      </w:r>
      <w:r w:rsidRPr="005F1629">
        <w:rPr>
          <w:rFonts w:asciiTheme="minorHAnsi" w:hAnsiTheme="minorHAnsi" w:cs="Arial"/>
          <w:color w:val="FF0000"/>
        </w:rPr>
        <w:t>.</w:t>
      </w:r>
      <w:r w:rsidRPr="005F1629">
        <w:rPr>
          <w:rFonts w:asciiTheme="minorHAnsi" w:hAnsiTheme="minorHAnsi" w:cs="Arial"/>
        </w:rPr>
        <w:t> Kč a meziročně se zvyšují o 9,4 %. Odpis pohledávek ZFZP</w:t>
      </w:r>
      <w:r w:rsidR="00373AC2" w:rsidRPr="005F1629">
        <w:rPr>
          <w:rFonts w:asciiTheme="minorHAnsi" w:hAnsiTheme="minorHAnsi" w:cs="Arial"/>
        </w:rPr>
        <w:t xml:space="preserve"> </w:t>
      </w:r>
      <w:r w:rsidRPr="005F1629">
        <w:rPr>
          <w:rFonts w:asciiTheme="minorHAnsi" w:hAnsiTheme="minorHAnsi" w:cs="Arial"/>
        </w:rPr>
        <w:t xml:space="preserve">se plánuje ve výši 50 000 tis. Kč, což je meziroční snížení o 4,2 %. Odpisy těchto pohledávek budou převáděny na podrozvahové účty v případě, že nenastaly právní účinky zániku pohledávky. </w:t>
      </w:r>
      <w:r w:rsidRPr="005F1629">
        <w:rPr>
          <w:rFonts w:asciiTheme="minorHAnsi" w:hAnsiTheme="minorHAnsi" w:cs="Arial"/>
          <w:b/>
        </w:rPr>
        <w:t>Dohadné položky aktivní</w:t>
      </w:r>
      <w:r w:rsidRPr="005F1629">
        <w:rPr>
          <w:rFonts w:asciiTheme="minorHAnsi" w:hAnsiTheme="minorHAnsi" w:cs="Arial"/>
        </w:rPr>
        <w:t xml:space="preserve"> jsou plánovány v částce 92 800 tis. Kč a meziročně jsou o 14,4 % vyšší.</w:t>
      </w:r>
    </w:p>
    <w:p w:rsidR="00466108" w:rsidRPr="005F1629" w:rsidRDefault="00466108" w:rsidP="00466108">
      <w:pPr>
        <w:ind w:left="360"/>
        <w:jc w:val="both"/>
        <w:rPr>
          <w:rFonts w:asciiTheme="minorHAnsi" w:hAnsiTheme="minorHAnsi" w:cs="Arial"/>
        </w:rPr>
      </w:pPr>
      <w:r w:rsidRPr="005F1629">
        <w:rPr>
          <w:rFonts w:asciiTheme="minorHAnsi" w:hAnsiTheme="minorHAnsi" w:cs="Arial"/>
        </w:rPr>
        <w:t xml:space="preserve">Plánovaný </w:t>
      </w:r>
      <w:r w:rsidRPr="005F1629">
        <w:rPr>
          <w:rFonts w:asciiTheme="minorHAnsi" w:hAnsiTheme="minorHAnsi" w:cs="Arial"/>
          <w:b/>
        </w:rPr>
        <w:t>stav závazků celkem</w:t>
      </w:r>
      <w:r w:rsidRPr="005F1629">
        <w:rPr>
          <w:rFonts w:asciiTheme="minorHAnsi" w:hAnsiTheme="minorHAnsi" w:cs="Arial"/>
        </w:rPr>
        <w:t xml:space="preserve"> je ve výši 639 860 tis. Kč a představuje meziroční nárůst 6,7 %. </w:t>
      </w:r>
      <w:r w:rsidRPr="005F1629">
        <w:rPr>
          <w:rFonts w:asciiTheme="minorHAnsi" w:hAnsiTheme="minorHAnsi" w:cs="Arial"/>
          <w:b/>
        </w:rPr>
        <w:t>Závazky po lhůtě splatnosti vůči poskytovatelům zdravotních služeb</w:t>
      </w:r>
      <w:r w:rsidRPr="005F1629">
        <w:rPr>
          <w:rFonts w:asciiTheme="minorHAnsi" w:hAnsiTheme="minorHAnsi" w:cs="Arial"/>
        </w:rPr>
        <w:t xml:space="preserve"> nejsou plánovány. Plánovaný stav závazků ve lhůtě splatnosti vůči poskytovatelům zdravotních služeb dosahuje 596 860 tis. Kč, s meziročním nárůstem 5,7%. </w:t>
      </w:r>
      <w:r w:rsidRPr="005F1629">
        <w:rPr>
          <w:rFonts w:asciiTheme="minorHAnsi" w:hAnsiTheme="minorHAnsi" w:cs="Arial"/>
          <w:b/>
        </w:rPr>
        <w:t>Dohadné položky pasivní</w:t>
      </w:r>
      <w:r w:rsidRPr="005F1629">
        <w:rPr>
          <w:rFonts w:asciiTheme="minorHAnsi" w:hAnsiTheme="minorHAnsi" w:cs="Arial"/>
        </w:rPr>
        <w:t xml:space="preserve"> jsou plánovány ve výši 134 000 tis. Kč, s meziročním zvýšením 9,8 %. Tvoří je především doplatky na vyúčtování zdravotních služeb. Nutnost tvorby rezerv na soudní spory vedené vůči RBP se nepředpokládá ani neplánuje. </w:t>
      </w:r>
    </w:p>
    <w:p w:rsidR="00466108" w:rsidRPr="005F1629" w:rsidRDefault="00466108" w:rsidP="00466108">
      <w:pPr>
        <w:ind w:left="360" w:hanging="360"/>
        <w:jc w:val="both"/>
        <w:rPr>
          <w:rFonts w:asciiTheme="minorHAnsi" w:hAnsiTheme="minorHAnsi" w:cs="Arial"/>
        </w:rPr>
      </w:pPr>
      <w:r w:rsidRPr="005F1629">
        <w:rPr>
          <w:rFonts w:asciiTheme="minorHAnsi" w:hAnsiTheme="minorHAnsi" w:cs="Arial"/>
        </w:rPr>
        <w:t xml:space="preserve">5. </w:t>
      </w:r>
      <w:r w:rsidR="00F76ECB" w:rsidRPr="005F1629">
        <w:rPr>
          <w:rFonts w:asciiTheme="minorHAnsi" w:hAnsiTheme="minorHAnsi" w:cs="Arial"/>
        </w:rPr>
        <w:t xml:space="preserve"> </w:t>
      </w:r>
      <w:r w:rsidRPr="005F1629">
        <w:rPr>
          <w:rFonts w:asciiTheme="minorHAnsi" w:hAnsiTheme="minorHAnsi" w:cs="Arial"/>
          <w:b/>
        </w:rPr>
        <w:t>Stav finančních prostředků na BÚ celkem</w:t>
      </w:r>
      <w:r w:rsidRPr="005F1629">
        <w:rPr>
          <w:rFonts w:asciiTheme="minorHAnsi" w:hAnsiTheme="minorHAnsi" w:cs="Arial"/>
        </w:rPr>
        <w:t xml:space="preserve"> je plánován ve výši 1 564 033 tis. Kč. RBP není zatížena žádnými splátkami bankovních úvěrů a finančních výpomocí a nadále plánuje hospodařit bez čerpání jakýchkoliv úvěrů, bezúročných půjček a návratných či nenávratných výpomocí ze státního rozpočtu. </w:t>
      </w:r>
    </w:p>
    <w:p w:rsidR="00466108" w:rsidRPr="005F1629" w:rsidRDefault="00466108" w:rsidP="00466108">
      <w:pPr>
        <w:tabs>
          <w:tab w:val="left" w:pos="360"/>
        </w:tabs>
        <w:ind w:left="360" w:hanging="360"/>
        <w:jc w:val="both"/>
        <w:rPr>
          <w:rFonts w:asciiTheme="minorHAnsi" w:hAnsiTheme="minorHAnsi" w:cs="Arial"/>
        </w:rPr>
      </w:pPr>
      <w:r w:rsidRPr="005F1629">
        <w:rPr>
          <w:rFonts w:asciiTheme="minorHAnsi" w:hAnsiTheme="minorHAnsi" w:cs="Arial"/>
        </w:rPr>
        <w:t xml:space="preserve">6. </w:t>
      </w:r>
      <w:r w:rsidR="00F76ECB" w:rsidRPr="005F1629">
        <w:rPr>
          <w:rFonts w:asciiTheme="minorHAnsi" w:hAnsiTheme="minorHAnsi" w:cs="Arial"/>
        </w:rPr>
        <w:t xml:space="preserve"> </w:t>
      </w:r>
      <w:r w:rsidRPr="005F1629">
        <w:rPr>
          <w:rFonts w:asciiTheme="minorHAnsi" w:hAnsiTheme="minorHAnsi" w:cs="Arial"/>
        </w:rPr>
        <w:t xml:space="preserve">Výnosy ze </w:t>
      </w:r>
      <w:r w:rsidRPr="005F1629">
        <w:rPr>
          <w:rFonts w:asciiTheme="minorHAnsi" w:hAnsiTheme="minorHAnsi" w:cs="Arial"/>
          <w:b/>
        </w:rPr>
        <w:t>zdaňované činnosti</w:t>
      </w:r>
      <w:r w:rsidRPr="005F1629">
        <w:rPr>
          <w:rFonts w:asciiTheme="minorHAnsi" w:hAnsiTheme="minorHAnsi" w:cs="Arial"/>
        </w:rPr>
        <w:t>, která přímo nesouvisí s v.</w:t>
      </w:r>
      <w:r w:rsidR="007439BB">
        <w:rPr>
          <w:rFonts w:asciiTheme="minorHAnsi" w:hAnsiTheme="minorHAnsi" w:cs="Arial"/>
        </w:rPr>
        <w:t xml:space="preserve"> </w:t>
      </w:r>
      <w:r w:rsidRPr="005F1629">
        <w:rPr>
          <w:rFonts w:asciiTheme="minorHAnsi" w:hAnsiTheme="minorHAnsi" w:cs="Arial"/>
        </w:rPr>
        <w:t>z.</w:t>
      </w:r>
      <w:r w:rsidR="007439BB">
        <w:rPr>
          <w:rFonts w:asciiTheme="minorHAnsi" w:hAnsiTheme="minorHAnsi" w:cs="Arial"/>
        </w:rPr>
        <w:t xml:space="preserve"> </w:t>
      </w:r>
      <w:r w:rsidRPr="005F1629">
        <w:rPr>
          <w:rFonts w:asciiTheme="minorHAnsi" w:hAnsiTheme="minorHAnsi" w:cs="Arial"/>
        </w:rPr>
        <w:t>p., vyplývají z práva zdravotní pojišťovny účelně hospodařit s vlastním majetkem a z ostatních zdaňovaných činností provozovaných v souladu s platnou legislativou a Statutem RBP. Pro r. 2014 jsou výnosy plánovány ve výši 5 365 tis. Kč. Výnosy jsou tvořeny zejména pronájmem nepotřebných prostor, pronájmem nemovitosti Odra na Ostravici a pronájmem ostatních dočasně volných prostor a majetku. Dále souvisí s provizemi z prodeje produktů pojištění léčebných výloh při pobytu v zahraničí. Náklady ostatní zdaňované činnosti jsou plánovány ve výši 3 793 tis. Kč a hospodářský výsledek před zdaněním1 572 tis. Kč.</w:t>
      </w:r>
    </w:p>
    <w:p w:rsidR="00F76ECB" w:rsidRPr="005F1629" w:rsidRDefault="00F76ECB" w:rsidP="00F76ECB">
      <w:pPr>
        <w:tabs>
          <w:tab w:val="left" w:pos="360"/>
        </w:tabs>
        <w:jc w:val="both"/>
        <w:rPr>
          <w:rFonts w:asciiTheme="minorHAnsi" w:hAnsiTheme="minorHAnsi" w:cs="Arial"/>
        </w:rPr>
      </w:pPr>
      <w:r w:rsidRPr="005F1629">
        <w:rPr>
          <w:rFonts w:asciiTheme="minorHAnsi" w:hAnsiTheme="minorHAnsi" w:cs="Arial"/>
        </w:rPr>
        <w:t xml:space="preserve">7. </w:t>
      </w:r>
      <w:r w:rsidRPr="005F1629">
        <w:rPr>
          <w:rFonts w:asciiTheme="minorHAnsi" w:hAnsiTheme="minorHAnsi" w:cs="Arial"/>
          <w:b/>
        </w:rPr>
        <w:t>Specifické informace</w:t>
      </w:r>
      <w:r w:rsidR="00466108" w:rsidRPr="005F1629">
        <w:rPr>
          <w:rFonts w:asciiTheme="minorHAnsi" w:hAnsiTheme="minorHAnsi" w:cs="Arial"/>
        </w:rPr>
        <w:t xml:space="preserve"> </w:t>
      </w:r>
    </w:p>
    <w:p w:rsidR="00466108" w:rsidRPr="005F1629" w:rsidRDefault="00466108" w:rsidP="00F76ECB">
      <w:pPr>
        <w:tabs>
          <w:tab w:val="left" w:pos="360"/>
        </w:tabs>
        <w:ind w:left="360"/>
        <w:jc w:val="both"/>
        <w:rPr>
          <w:rFonts w:asciiTheme="minorHAnsi" w:hAnsiTheme="minorHAnsi" w:cs="Arial"/>
        </w:rPr>
      </w:pPr>
      <w:r w:rsidRPr="005F1629">
        <w:rPr>
          <w:rFonts w:asciiTheme="minorHAnsi" w:hAnsiTheme="minorHAnsi" w:cs="Arial"/>
        </w:rPr>
        <w:t xml:space="preserve">RBP nevlastní žádné dceřiné společnosti ani cenné papíry. Kladný zůstatek RF, který odpovídá zákonné výši a je tvořen výhradně finančními prostředky deponovanými na BÚ RF, bude převeden do následujícího účetního období. </w:t>
      </w:r>
    </w:p>
    <w:p w:rsidR="00466108" w:rsidRPr="005F1629" w:rsidRDefault="00466108" w:rsidP="0095701D">
      <w:pPr>
        <w:jc w:val="both"/>
        <w:rPr>
          <w:rFonts w:asciiTheme="minorHAnsi" w:hAnsiTheme="minorHAnsi" w:cs="Arial"/>
          <w:b/>
          <w:sz w:val="28"/>
          <w:szCs w:val="28"/>
          <w:u w:val="single"/>
        </w:rPr>
      </w:pPr>
    </w:p>
    <w:p w:rsidR="00466108" w:rsidRPr="005F1629" w:rsidRDefault="00466108" w:rsidP="0095701D">
      <w:pPr>
        <w:jc w:val="both"/>
        <w:rPr>
          <w:rFonts w:asciiTheme="minorHAnsi" w:hAnsiTheme="minorHAnsi" w:cs="Arial"/>
          <w:b/>
          <w:sz w:val="28"/>
          <w:szCs w:val="28"/>
          <w:u w:val="single"/>
        </w:rPr>
      </w:pPr>
    </w:p>
    <w:p w:rsidR="0095701D" w:rsidRPr="005F1629" w:rsidRDefault="0095701D" w:rsidP="0095701D">
      <w:pPr>
        <w:jc w:val="both"/>
        <w:rPr>
          <w:rFonts w:asciiTheme="minorHAnsi" w:hAnsiTheme="minorHAnsi" w:cs="Arial"/>
          <w:b/>
          <w:sz w:val="28"/>
          <w:szCs w:val="28"/>
          <w:u w:val="single"/>
        </w:rPr>
      </w:pPr>
      <w:r w:rsidRPr="005F1629">
        <w:rPr>
          <w:rFonts w:asciiTheme="minorHAnsi" w:hAnsiTheme="minorHAnsi" w:cs="Arial"/>
          <w:b/>
          <w:sz w:val="28"/>
          <w:szCs w:val="28"/>
          <w:u w:val="single"/>
        </w:rPr>
        <w:t xml:space="preserve">Hodnocení </w:t>
      </w:r>
      <w:r w:rsidR="00466108" w:rsidRPr="005F1629">
        <w:rPr>
          <w:rFonts w:asciiTheme="minorHAnsi" w:hAnsiTheme="minorHAnsi" w:cs="Arial"/>
          <w:b/>
          <w:sz w:val="28"/>
          <w:szCs w:val="28"/>
          <w:u w:val="single"/>
        </w:rPr>
        <w:t>zdravotní</w:t>
      </w:r>
    </w:p>
    <w:p w:rsidR="0095701D" w:rsidRPr="005F1629" w:rsidRDefault="0095701D" w:rsidP="0095701D">
      <w:pPr>
        <w:jc w:val="both"/>
        <w:rPr>
          <w:rFonts w:asciiTheme="minorHAnsi" w:hAnsiTheme="minorHAnsi" w:cs="Arial"/>
          <w:i/>
          <w:sz w:val="20"/>
          <w:szCs w:val="20"/>
        </w:rPr>
      </w:pPr>
      <w:r w:rsidRPr="005F1629">
        <w:rPr>
          <w:rFonts w:asciiTheme="minorHAnsi" w:hAnsiTheme="minorHAnsi" w:cs="Arial"/>
          <w:i/>
          <w:sz w:val="20"/>
          <w:szCs w:val="20"/>
        </w:rPr>
        <w:t>(použité číselné údaje jsou obsaženy v příloze, v tabulkách č. 4, 4a), 4b), 4c), příp. ve ZPP 201</w:t>
      </w:r>
      <w:r w:rsidR="00F22793" w:rsidRPr="005F1629">
        <w:rPr>
          <w:rFonts w:asciiTheme="minorHAnsi" w:hAnsiTheme="minorHAnsi" w:cs="Arial"/>
          <w:i/>
          <w:sz w:val="20"/>
          <w:szCs w:val="20"/>
        </w:rPr>
        <w:t>4</w:t>
      </w:r>
    </w:p>
    <w:p w:rsidR="0095701D" w:rsidRPr="005F1629" w:rsidRDefault="0095701D" w:rsidP="0095701D">
      <w:pPr>
        <w:jc w:val="both"/>
        <w:rPr>
          <w:rFonts w:asciiTheme="minorHAnsi" w:hAnsiTheme="minorHAnsi" w:cs="Arial"/>
          <w:szCs w:val="20"/>
          <w:highlight w:val="yellow"/>
          <w:u w:val="single"/>
        </w:rPr>
      </w:pPr>
    </w:p>
    <w:p w:rsidR="0095701D" w:rsidRPr="005F1629" w:rsidRDefault="0095701D" w:rsidP="00F76ECB">
      <w:pPr>
        <w:ind w:firstLine="357"/>
        <w:jc w:val="both"/>
        <w:rPr>
          <w:rFonts w:asciiTheme="minorHAnsi" w:hAnsiTheme="minorHAnsi" w:cs="Arial"/>
          <w:bCs/>
        </w:rPr>
      </w:pPr>
      <w:r w:rsidRPr="005F1629">
        <w:rPr>
          <w:rFonts w:asciiTheme="minorHAnsi" w:hAnsiTheme="minorHAnsi" w:cs="Arial"/>
        </w:rPr>
        <w:t xml:space="preserve">Prvořadým úkolem </w:t>
      </w:r>
      <w:r w:rsidRPr="005F1629">
        <w:rPr>
          <w:rFonts w:asciiTheme="minorHAnsi" w:hAnsiTheme="minorHAnsi" w:cs="Arial"/>
          <w:b/>
        </w:rPr>
        <w:t>smluvní politiky</w:t>
      </w:r>
      <w:r w:rsidRPr="005F1629">
        <w:rPr>
          <w:rFonts w:asciiTheme="minorHAnsi" w:hAnsiTheme="minorHAnsi" w:cs="Arial"/>
        </w:rPr>
        <w:t xml:space="preserve"> RBP bude zajištění kvalitních a dostupných zdravotních služeb</w:t>
      </w:r>
      <w:r w:rsidRPr="005F1629">
        <w:rPr>
          <w:rFonts w:asciiTheme="minorHAnsi" w:hAnsiTheme="minorHAnsi" w:cs="Arial"/>
          <w:color w:val="FF0000"/>
        </w:rPr>
        <w:t xml:space="preserve"> </w:t>
      </w:r>
      <w:r w:rsidRPr="005F1629">
        <w:rPr>
          <w:rFonts w:asciiTheme="minorHAnsi" w:hAnsiTheme="minorHAnsi" w:cs="Arial"/>
        </w:rPr>
        <w:t xml:space="preserve">pro všechny klienty spoluvytvářením </w:t>
      </w:r>
      <w:r w:rsidR="009F5028" w:rsidRPr="005F1629">
        <w:rPr>
          <w:rFonts w:asciiTheme="minorHAnsi" w:hAnsiTheme="minorHAnsi" w:cs="Arial"/>
        </w:rPr>
        <w:t xml:space="preserve">optimální </w:t>
      </w:r>
      <w:r w:rsidRPr="005F1629">
        <w:rPr>
          <w:rFonts w:asciiTheme="minorHAnsi" w:hAnsiTheme="minorHAnsi" w:cs="Arial"/>
        </w:rPr>
        <w:t xml:space="preserve">sítě PZS, a to v úzké spolupráci </w:t>
      </w:r>
      <w:r w:rsidRPr="005F1629">
        <w:rPr>
          <w:rFonts w:asciiTheme="minorHAnsi" w:hAnsiTheme="minorHAnsi" w:cs="Arial"/>
          <w:spacing w:val="-12"/>
        </w:rPr>
        <w:t>s krajskými úřady Moravskoslezského, Olomouckého, Zlínského a Jihomoravského kraje</w:t>
      </w:r>
      <w:r w:rsidRPr="005F1629">
        <w:rPr>
          <w:rFonts w:asciiTheme="minorHAnsi" w:hAnsiTheme="minorHAnsi" w:cs="Arial"/>
        </w:rPr>
        <w:t xml:space="preserve">. </w:t>
      </w:r>
      <w:r w:rsidR="00AE42AA" w:rsidRPr="005F1629">
        <w:rPr>
          <w:rFonts w:asciiTheme="minorHAnsi" w:hAnsiTheme="minorHAnsi" w:cs="Arial"/>
        </w:rPr>
        <w:t>Zdravotní p</w:t>
      </w:r>
      <w:r w:rsidRPr="005F1629">
        <w:rPr>
          <w:rFonts w:asciiTheme="minorHAnsi" w:hAnsiTheme="minorHAnsi" w:cs="Arial"/>
        </w:rPr>
        <w:t>ojišťovna bude pokračovat v rozšiřování sítě sml</w:t>
      </w:r>
      <w:r w:rsidR="009F5028" w:rsidRPr="005F1629">
        <w:rPr>
          <w:rFonts w:asciiTheme="minorHAnsi" w:hAnsiTheme="minorHAnsi" w:cs="Arial"/>
        </w:rPr>
        <w:t>uvních PZS v oblasti Mostecké pánve, zejména v okresech Most a</w:t>
      </w:r>
      <w:r w:rsidRPr="005F1629">
        <w:rPr>
          <w:rFonts w:asciiTheme="minorHAnsi" w:hAnsiTheme="minorHAnsi" w:cs="Arial"/>
        </w:rPr>
        <w:t xml:space="preserve"> Chomutov a rozšiřování sítě smluvních </w:t>
      </w:r>
      <w:r w:rsidR="00AE42AA" w:rsidRPr="005F1629">
        <w:rPr>
          <w:rFonts w:asciiTheme="minorHAnsi" w:hAnsiTheme="minorHAnsi" w:cs="Arial"/>
        </w:rPr>
        <w:t>PZS</w:t>
      </w:r>
      <w:r w:rsidRPr="005F1629">
        <w:rPr>
          <w:rFonts w:asciiTheme="minorHAnsi" w:hAnsiTheme="minorHAnsi" w:cs="Arial"/>
        </w:rPr>
        <w:t xml:space="preserve"> v Brně a jeho okolí. </w:t>
      </w:r>
      <w:r w:rsidR="006768E7" w:rsidRPr="005F1629">
        <w:rPr>
          <w:rFonts w:asciiTheme="minorHAnsi" w:hAnsiTheme="minorHAnsi" w:cs="Arial"/>
        </w:rPr>
        <w:t>RBP bude v roce 2014 dále dotvářet síť smluvních PZS zejména primární ambulantní péče, jejímž účelem je poskytování preventivní, diagnostické a léčebné péče v kraji Vysočina.</w:t>
      </w:r>
    </w:p>
    <w:p w:rsidR="00E75549" w:rsidRPr="005F1629" w:rsidRDefault="006768E7" w:rsidP="00F76ECB">
      <w:pPr>
        <w:pStyle w:val="Zkladntext31"/>
        <w:ind w:firstLine="357"/>
        <w:rPr>
          <w:rFonts w:asciiTheme="minorHAnsi" w:hAnsiTheme="minorHAnsi" w:cs="Arial"/>
          <w:sz w:val="24"/>
          <w:szCs w:val="24"/>
        </w:rPr>
      </w:pPr>
      <w:r w:rsidRPr="005F1629">
        <w:rPr>
          <w:rFonts w:asciiTheme="minorHAnsi" w:hAnsiTheme="minorHAnsi" w:cs="Arial"/>
          <w:sz w:val="24"/>
          <w:szCs w:val="24"/>
        </w:rPr>
        <w:t>V </w:t>
      </w:r>
      <w:r w:rsidR="00505289" w:rsidRPr="005F1629">
        <w:rPr>
          <w:rFonts w:asciiTheme="minorHAnsi" w:hAnsiTheme="minorHAnsi" w:cs="Arial"/>
          <w:sz w:val="24"/>
          <w:szCs w:val="24"/>
        </w:rPr>
        <w:t>s</w:t>
      </w:r>
      <w:r w:rsidRPr="005F1629">
        <w:rPr>
          <w:rFonts w:asciiTheme="minorHAnsi" w:hAnsiTheme="minorHAnsi" w:cs="Arial"/>
          <w:sz w:val="24"/>
          <w:szCs w:val="24"/>
        </w:rPr>
        <w:t>ouvislosti se záměrem RBP rozšířit stávající síť PZS zejména v ambulantní péči je plánován pro rok 2014 v oboru všeobecného praktického lékařství a praktického lékařství pro děti a dorost nárůst o 1,9 a 2,4 %.</w:t>
      </w:r>
    </w:p>
    <w:p w:rsidR="00A11902" w:rsidRDefault="00A0098C" w:rsidP="00F76ECB">
      <w:pPr>
        <w:pStyle w:val="Zkladntext31"/>
        <w:spacing w:after="120"/>
        <w:ind w:firstLine="357"/>
        <w:rPr>
          <w:rFonts w:asciiTheme="minorHAnsi" w:hAnsiTheme="minorHAnsi" w:cs="Arial"/>
          <w:sz w:val="24"/>
          <w:szCs w:val="24"/>
        </w:rPr>
      </w:pPr>
      <w:r w:rsidRPr="005F1629">
        <w:rPr>
          <w:rFonts w:asciiTheme="minorHAnsi" w:hAnsiTheme="minorHAnsi" w:cs="Arial"/>
          <w:sz w:val="24"/>
          <w:szCs w:val="24"/>
        </w:rPr>
        <w:t>Z T</w:t>
      </w:r>
      <w:r w:rsidR="00A11902" w:rsidRPr="005F1629">
        <w:rPr>
          <w:rFonts w:asciiTheme="minorHAnsi" w:hAnsiTheme="minorHAnsi" w:cs="Arial"/>
          <w:sz w:val="24"/>
          <w:szCs w:val="24"/>
        </w:rPr>
        <w:t xml:space="preserve">abulky </w:t>
      </w:r>
      <w:r w:rsidR="00C057CE" w:rsidRPr="005F1629">
        <w:rPr>
          <w:rFonts w:asciiTheme="minorHAnsi" w:hAnsiTheme="minorHAnsi" w:cs="Arial"/>
          <w:sz w:val="24"/>
          <w:szCs w:val="24"/>
        </w:rPr>
        <w:t>č. 1 vyplývá, že téměř u všech kategorií bude docházet aspoň k mírnému růstu smluvních poskytovatelů, což vyplývá i z dlouhodobé snahy RBP stabilizovat síť smluvních poskytovatelů.</w:t>
      </w:r>
    </w:p>
    <w:p w:rsidR="00F80F37" w:rsidRPr="005F1629" w:rsidRDefault="00F80F37" w:rsidP="00F76ECB">
      <w:pPr>
        <w:pStyle w:val="Zkladntext31"/>
        <w:spacing w:after="120"/>
        <w:ind w:firstLine="357"/>
        <w:rPr>
          <w:rFonts w:asciiTheme="minorHAnsi" w:hAnsiTheme="minorHAnsi" w:cs="Arial"/>
          <w:sz w:val="24"/>
          <w:szCs w:val="24"/>
          <w:highlight w:val="white"/>
        </w:rPr>
      </w:pPr>
    </w:p>
    <w:p w:rsidR="00A333D7" w:rsidRPr="005F1629" w:rsidRDefault="00A333D7" w:rsidP="00A333D7">
      <w:pPr>
        <w:pStyle w:val="Zkladntext210"/>
        <w:spacing w:before="120"/>
        <w:rPr>
          <w:rFonts w:asciiTheme="minorHAnsi" w:hAnsiTheme="minorHAnsi" w:cs="Arial"/>
          <w:szCs w:val="24"/>
        </w:rPr>
      </w:pPr>
      <w:r w:rsidRPr="005F1629">
        <w:rPr>
          <w:rFonts w:asciiTheme="minorHAnsi" w:hAnsiTheme="minorHAnsi" w:cs="Arial"/>
          <w:szCs w:val="24"/>
        </w:rPr>
        <w:lastRenderedPageBreak/>
        <w:t>Tabulka č. 1: Soustava smluvních poskytovatelů zdravotních služeb</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534"/>
        <w:gridCol w:w="2693"/>
        <w:gridCol w:w="1015"/>
        <w:gridCol w:w="1016"/>
        <w:gridCol w:w="1016"/>
        <w:gridCol w:w="1016"/>
        <w:gridCol w:w="1016"/>
        <w:gridCol w:w="1016"/>
      </w:tblGrid>
      <w:tr w:rsidR="00A333D7" w:rsidRPr="005F1629" w:rsidTr="00F715F7">
        <w:tc>
          <w:tcPr>
            <w:tcW w:w="534" w:type="dxa"/>
            <w:shd w:val="solid" w:color="000080" w:fill="FFFFFF"/>
          </w:tcPr>
          <w:p w:rsidR="00A333D7" w:rsidRPr="005F1629" w:rsidRDefault="00A333D7" w:rsidP="00F715F7">
            <w:pPr>
              <w:rPr>
                <w:rFonts w:asciiTheme="minorHAnsi" w:hAnsiTheme="minorHAnsi" w:cs="Arial"/>
                <w:b/>
                <w:bCs/>
                <w:color w:val="FFFFFF"/>
                <w:sz w:val="22"/>
                <w:szCs w:val="22"/>
              </w:rPr>
            </w:pPr>
            <w:r w:rsidRPr="005F1629">
              <w:rPr>
                <w:rFonts w:asciiTheme="minorHAnsi" w:hAnsiTheme="minorHAnsi" w:cs="Arial"/>
                <w:b/>
                <w:bCs/>
                <w:color w:val="FFFFFF"/>
                <w:sz w:val="22"/>
                <w:szCs w:val="22"/>
              </w:rPr>
              <w:t>Ř.</w:t>
            </w:r>
          </w:p>
        </w:tc>
        <w:tc>
          <w:tcPr>
            <w:tcW w:w="2693" w:type="dxa"/>
            <w:shd w:val="solid" w:color="000080" w:fill="FFFFFF"/>
          </w:tcPr>
          <w:p w:rsidR="00A333D7" w:rsidRPr="005F1629" w:rsidRDefault="00A333D7" w:rsidP="00F715F7">
            <w:pPr>
              <w:rPr>
                <w:rFonts w:asciiTheme="minorHAnsi" w:hAnsiTheme="minorHAnsi" w:cs="Arial"/>
                <w:b/>
                <w:bCs/>
                <w:color w:val="FFFFFF"/>
                <w:sz w:val="22"/>
                <w:szCs w:val="22"/>
              </w:rPr>
            </w:pPr>
            <w:r w:rsidRPr="005F1629">
              <w:rPr>
                <w:rFonts w:asciiTheme="minorHAnsi" w:hAnsiTheme="minorHAnsi" w:cs="Arial"/>
                <w:b/>
                <w:bCs/>
                <w:color w:val="FFFFFF"/>
                <w:sz w:val="22"/>
                <w:szCs w:val="22"/>
              </w:rPr>
              <w:t>Kategorie smluvních poskytovatelů zdravotních služeb</w:t>
            </w:r>
          </w:p>
        </w:tc>
        <w:tc>
          <w:tcPr>
            <w:tcW w:w="1015" w:type="dxa"/>
            <w:shd w:val="solid" w:color="000080" w:fill="FFFFFF"/>
          </w:tcPr>
          <w:p w:rsidR="00A333D7" w:rsidRPr="005F1629" w:rsidRDefault="00A333D7" w:rsidP="00F715F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016" w:type="dxa"/>
            <w:shd w:val="solid" w:color="000080" w:fill="FFFFFF"/>
          </w:tcPr>
          <w:p w:rsidR="00A333D7" w:rsidRPr="005F1629" w:rsidRDefault="00A333D7" w:rsidP="00F715F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016" w:type="dxa"/>
            <w:shd w:val="solid" w:color="000080" w:fill="FFFFFF"/>
          </w:tcPr>
          <w:p w:rsidR="00A333D7" w:rsidRPr="005F1629" w:rsidRDefault="00A333D7" w:rsidP="00F715F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016" w:type="dxa"/>
            <w:shd w:val="solid" w:color="000080" w:fill="FFFFFF"/>
          </w:tcPr>
          <w:p w:rsidR="00A333D7" w:rsidRPr="005F1629" w:rsidRDefault="00A333D7" w:rsidP="00F715F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016" w:type="dxa"/>
            <w:shd w:val="solid" w:color="000080" w:fill="FFFFFF"/>
          </w:tcPr>
          <w:p w:rsidR="00A333D7" w:rsidRPr="005F1629" w:rsidRDefault="00A333D7" w:rsidP="00F715F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A333D7" w:rsidRPr="005F1629" w:rsidRDefault="00A333D7" w:rsidP="00F715F7">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16" w:type="dxa"/>
            <w:shd w:val="solid" w:color="000080" w:fill="FFFFFF"/>
          </w:tcPr>
          <w:p w:rsidR="00A333D7" w:rsidRPr="005F1629" w:rsidRDefault="00A333D7" w:rsidP="00F715F7">
            <w:pP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2014</w:t>
            </w:r>
          </w:p>
          <w:p w:rsidR="00A333D7" w:rsidRPr="005F1629" w:rsidRDefault="00A333D7" w:rsidP="00F715F7">
            <w:pP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1.</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Ambulantní poskytovatelé</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6 291</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6 537</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6 681</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6 954</w:t>
            </w:r>
          </w:p>
        </w:tc>
        <w:tc>
          <w:tcPr>
            <w:tcW w:w="1016" w:type="dxa"/>
            <w:shd w:val="clear" w:color="auto" w:fill="auto"/>
            <w:vAlign w:val="bottom"/>
          </w:tcPr>
          <w:p w:rsidR="00A333D7" w:rsidRPr="005F1629" w:rsidRDefault="00A333D7" w:rsidP="00DE0C41">
            <w:pPr>
              <w:jc w:val="right"/>
              <w:rPr>
                <w:rFonts w:asciiTheme="minorHAnsi" w:hAnsiTheme="minorHAnsi" w:cs="Arial"/>
                <w:bCs/>
                <w:i/>
                <w:iCs/>
                <w:sz w:val="22"/>
                <w:szCs w:val="22"/>
              </w:rPr>
            </w:pPr>
            <w:r w:rsidRPr="005F1629">
              <w:rPr>
                <w:rFonts w:asciiTheme="minorHAnsi" w:hAnsiTheme="minorHAnsi" w:cs="Arial"/>
                <w:bCs/>
                <w:i/>
                <w:iCs/>
                <w:sz w:val="22"/>
                <w:szCs w:val="22"/>
              </w:rPr>
              <w:t>7 41</w:t>
            </w:r>
            <w:r>
              <w:rPr>
                <w:rFonts w:asciiTheme="minorHAnsi" w:hAnsiTheme="minorHAnsi" w:cs="Arial"/>
                <w:bCs/>
                <w:i/>
                <w:iCs/>
                <w:sz w:val="22"/>
                <w:szCs w:val="22"/>
              </w:rPr>
              <w:t>4</w:t>
            </w:r>
          </w:p>
        </w:tc>
        <w:tc>
          <w:tcPr>
            <w:tcW w:w="1016" w:type="dxa"/>
            <w:shd w:val="clear" w:color="auto" w:fill="auto"/>
            <w:vAlign w:val="bottom"/>
          </w:tcPr>
          <w:p w:rsidR="00A333D7" w:rsidRPr="005F1629" w:rsidRDefault="00A333D7" w:rsidP="00DE0C41">
            <w:pPr>
              <w:jc w:val="right"/>
              <w:rPr>
                <w:rFonts w:asciiTheme="minorHAnsi" w:hAnsiTheme="minorHAnsi" w:cs="Arial"/>
                <w:bCs/>
                <w:i/>
                <w:iCs/>
                <w:sz w:val="22"/>
                <w:szCs w:val="22"/>
              </w:rPr>
            </w:pPr>
            <w:r w:rsidRPr="005F1629">
              <w:rPr>
                <w:rFonts w:asciiTheme="minorHAnsi" w:hAnsiTheme="minorHAnsi" w:cs="Arial"/>
                <w:bCs/>
                <w:i/>
                <w:iCs/>
                <w:sz w:val="22"/>
                <w:szCs w:val="22"/>
              </w:rPr>
              <w:t>7 616</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z toho:</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p>
        </w:tc>
        <w:tc>
          <w:tcPr>
            <w:tcW w:w="1016" w:type="dxa"/>
            <w:shd w:val="clear" w:color="auto" w:fill="auto"/>
            <w:vAlign w:val="bottom"/>
          </w:tcPr>
          <w:p w:rsidR="00A333D7" w:rsidRPr="005F1629" w:rsidRDefault="00A333D7" w:rsidP="00DE0C41">
            <w:pPr>
              <w:jc w:val="right"/>
              <w:rPr>
                <w:rFonts w:asciiTheme="minorHAnsi" w:hAnsiTheme="minorHAnsi" w:cs="Arial"/>
                <w:color w:val="000000"/>
                <w:sz w:val="22"/>
                <w:szCs w:val="22"/>
              </w:rPr>
            </w:pPr>
          </w:p>
        </w:tc>
        <w:tc>
          <w:tcPr>
            <w:tcW w:w="1016" w:type="dxa"/>
            <w:shd w:val="clear" w:color="auto" w:fill="auto"/>
            <w:vAlign w:val="bottom"/>
          </w:tcPr>
          <w:p w:rsidR="00A333D7" w:rsidRPr="005F1629" w:rsidRDefault="00A333D7" w:rsidP="00DE0C41">
            <w:pPr>
              <w:jc w:val="right"/>
              <w:rPr>
                <w:rFonts w:asciiTheme="minorHAnsi" w:hAnsiTheme="minorHAnsi" w:cs="Arial"/>
                <w:bCs/>
                <w:i/>
                <w:iCs/>
                <w:sz w:val="22"/>
                <w:szCs w:val="22"/>
              </w:rPr>
            </w:pP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1.1</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dospělé </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1 419</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1 442</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1 443</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1 502</w:t>
            </w:r>
          </w:p>
        </w:tc>
        <w:tc>
          <w:tcPr>
            <w:tcW w:w="1016" w:type="dxa"/>
            <w:shd w:val="clear" w:color="auto" w:fill="auto"/>
            <w:vAlign w:val="bottom"/>
          </w:tcPr>
          <w:p w:rsidR="00A333D7" w:rsidRPr="005F1629" w:rsidRDefault="00A333D7" w:rsidP="00DE0C41">
            <w:pPr>
              <w:jc w:val="right"/>
              <w:rPr>
                <w:rFonts w:asciiTheme="minorHAnsi" w:hAnsiTheme="minorHAnsi" w:cs="Arial"/>
                <w:bCs/>
                <w:i/>
                <w:iCs/>
                <w:sz w:val="22"/>
                <w:szCs w:val="22"/>
              </w:rPr>
            </w:pPr>
            <w:r w:rsidRPr="005F1629">
              <w:rPr>
                <w:rFonts w:asciiTheme="minorHAnsi" w:hAnsiTheme="minorHAnsi" w:cs="Arial"/>
                <w:bCs/>
                <w:i/>
                <w:iCs/>
                <w:sz w:val="22"/>
                <w:szCs w:val="22"/>
              </w:rPr>
              <w:t>1 5</w:t>
            </w:r>
            <w:r>
              <w:rPr>
                <w:rFonts w:asciiTheme="minorHAnsi" w:hAnsiTheme="minorHAnsi" w:cs="Arial"/>
                <w:bCs/>
                <w:i/>
                <w:iCs/>
                <w:sz w:val="22"/>
                <w:szCs w:val="22"/>
              </w:rPr>
              <w:t>6</w:t>
            </w:r>
            <w:r w:rsidRPr="005F1629">
              <w:rPr>
                <w:rFonts w:asciiTheme="minorHAnsi" w:hAnsiTheme="minorHAnsi" w:cs="Arial"/>
                <w:bCs/>
                <w:i/>
                <w:iCs/>
                <w:sz w:val="22"/>
                <w:szCs w:val="22"/>
              </w:rPr>
              <w:t>3</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1 593</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1.2</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 xml:space="preserve">Praktický lékař pro děti a dorost </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726</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746</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750</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801</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848</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868</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1.3</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Praktický zubní lékař</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1 555</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1 623</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1 688</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1 758</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1 847</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1 897</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1.4</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 xml:space="preserve">Ostatní ambulantní poskytovatelé </w:t>
            </w:r>
          </w:p>
        </w:tc>
        <w:tc>
          <w:tcPr>
            <w:tcW w:w="1015" w:type="dxa"/>
            <w:shd w:val="clear" w:color="auto" w:fill="auto"/>
            <w:vAlign w:val="bottom"/>
          </w:tcPr>
          <w:p w:rsidR="00A333D7" w:rsidRPr="005F1629" w:rsidRDefault="00A333D7" w:rsidP="00DE0C41">
            <w:pPr>
              <w:jc w:val="right"/>
              <w:rPr>
                <w:rFonts w:asciiTheme="minorHAnsi" w:hAnsiTheme="minorHAnsi" w:cs="Arial"/>
                <w:sz w:val="22"/>
                <w:szCs w:val="22"/>
              </w:rPr>
            </w:pPr>
            <w:r w:rsidRPr="005F1629">
              <w:rPr>
                <w:rFonts w:asciiTheme="minorHAnsi" w:hAnsiTheme="minorHAnsi" w:cs="Arial"/>
                <w:sz w:val="22"/>
                <w:szCs w:val="22"/>
              </w:rPr>
              <w:t>2 591</w:t>
            </w:r>
          </w:p>
        </w:tc>
        <w:tc>
          <w:tcPr>
            <w:tcW w:w="1016" w:type="dxa"/>
            <w:shd w:val="clear" w:color="auto" w:fill="auto"/>
            <w:vAlign w:val="bottom"/>
          </w:tcPr>
          <w:p w:rsidR="00A333D7" w:rsidRPr="005F1629" w:rsidRDefault="00A333D7" w:rsidP="00DE0C41">
            <w:pPr>
              <w:jc w:val="right"/>
              <w:rPr>
                <w:rFonts w:asciiTheme="minorHAnsi" w:hAnsiTheme="minorHAnsi" w:cs="Arial"/>
                <w:sz w:val="22"/>
                <w:szCs w:val="22"/>
              </w:rPr>
            </w:pPr>
            <w:r w:rsidRPr="005F1629">
              <w:rPr>
                <w:rFonts w:asciiTheme="minorHAnsi" w:hAnsiTheme="minorHAnsi" w:cs="Arial"/>
                <w:sz w:val="22"/>
                <w:szCs w:val="22"/>
              </w:rPr>
              <w:t>2 726</w:t>
            </w:r>
          </w:p>
        </w:tc>
        <w:tc>
          <w:tcPr>
            <w:tcW w:w="1016" w:type="dxa"/>
            <w:shd w:val="clear" w:color="auto" w:fill="auto"/>
            <w:vAlign w:val="bottom"/>
          </w:tcPr>
          <w:p w:rsidR="00A333D7" w:rsidRPr="005F1629" w:rsidRDefault="00A333D7" w:rsidP="00DE0C41">
            <w:pPr>
              <w:jc w:val="right"/>
              <w:rPr>
                <w:rFonts w:asciiTheme="minorHAnsi" w:hAnsiTheme="minorHAnsi" w:cs="Arial"/>
                <w:sz w:val="22"/>
                <w:szCs w:val="22"/>
              </w:rPr>
            </w:pPr>
            <w:r w:rsidRPr="005F1629">
              <w:rPr>
                <w:rFonts w:asciiTheme="minorHAnsi" w:hAnsiTheme="minorHAnsi" w:cs="Arial"/>
                <w:sz w:val="22"/>
                <w:szCs w:val="22"/>
              </w:rPr>
              <w:t>2 800</w:t>
            </w:r>
          </w:p>
        </w:tc>
        <w:tc>
          <w:tcPr>
            <w:tcW w:w="1016" w:type="dxa"/>
            <w:shd w:val="clear" w:color="auto" w:fill="auto"/>
            <w:vAlign w:val="bottom"/>
          </w:tcPr>
          <w:p w:rsidR="00A333D7" w:rsidRPr="005F1629" w:rsidRDefault="00A333D7" w:rsidP="00DE0C41">
            <w:pPr>
              <w:jc w:val="right"/>
              <w:rPr>
                <w:rFonts w:asciiTheme="minorHAnsi" w:hAnsiTheme="minorHAnsi" w:cs="Arial"/>
                <w:sz w:val="22"/>
                <w:szCs w:val="22"/>
              </w:rPr>
            </w:pPr>
            <w:r w:rsidRPr="005F1629">
              <w:rPr>
                <w:rFonts w:asciiTheme="minorHAnsi" w:hAnsiTheme="minorHAnsi" w:cs="Arial"/>
                <w:sz w:val="22"/>
                <w:szCs w:val="22"/>
              </w:rPr>
              <w:t>2 893</w:t>
            </w:r>
          </w:p>
        </w:tc>
        <w:tc>
          <w:tcPr>
            <w:tcW w:w="1016" w:type="dxa"/>
            <w:shd w:val="clear" w:color="auto" w:fill="auto"/>
            <w:vAlign w:val="bottom"/>
          </w:tcPr>
          <w:p w:rsidR="00A333D7" w:rsidRPr="005F1629" w:rsidRDefault="00A333D7" w:rsidP="00DE0C41">
            <w:pPr>
              <w:jc w:val="right"/>
              <w:rPr>
                <w:rFonts w:asciiTheme="minorHAnsi" w:hAnsiTheme="minorHAnsi" w:cs="Arial"/>
                <w:sz w:val="22"/>
                <w:szCs w:val="22"/>
              </w:rPr>
            </w:pPr>
            <w:r w:rsidRPr="005F1629">
              <w:rPr>
                <w:rFonts w:asciiTheme="minorHAnsi" w:hAnsiTheme="minorHAnsi" w:cs="Arial"/>
                <w:sz w:val="22"/>
                <w:szCs w:val="22"/>
              </w:rPr>
              <w:t>3 139</w:t>
            </w:r>
          </w:p>
        </w:tc>
        <w:tc>
          <w:tcPr>
            <w:tcW w:w="1016" w:type="dxa"/>
            <w:shd w:val="clear" w:color="auto" w:fill="auto"/>
            <w:vAlign w:val="bottom"/>
          </w:tcPr>
          <w:p w:rsidR="00A333D7" w:rsidRPr="005F1629" w:rsidRDefault="00A333D7" w:rsidP="00DE0C41">
            <w:pPr>
              <w:jc w:val="right"/>
              <w:rPr>
                <w:rFonts w:asciiTheme="minorHAnsi" w:hAnsiTheme="minorHAnsi" w:cs="Arial"/>
                <w:sz w:val="22"/>
                <w:szCs w:val="22"/>
              </w:rPr>
            </w:pPr>
            <w:r w:rsidRPr="005F1629">
              <w:rPr>
                <w:rFonts w:asciiTheme="minorHAnsi" w:hAnsiTheme="minorHAnsi" w:cs="Arial"/>
                <w:sz w:val="22"/>
                <w:szCs w:val="22"/>
              </w:rPr>
              <w:t>3 258</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2.</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 xml:space="preserve">Lůžkoví poskytovatelé </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243</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247</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251</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255</w:t>
            </w:r>
          </w:p>
        </w:tc>
        <w:tc>
          <w:tcPr>
            <w:tcW w:w="1016" w:type="dxa"/>
            <w:shd w:val="clear" w:color="auto" w:fill="auto"/>
            <w:vAlign w:val="bottom"/>
          </w:tcPr>
          <w:p w:rsidR="00A333D7" w:rsidRPr="005F1629" w:rsidRDefault="00A333D7" w:rsidP="00DE0C41">
            <w:pPr>
              <w:jc w:val="right"/>
              <w:rPr>
                <w:rFonts w:asciiTheme="minorHAnsi" w:hAnsiTheme="minorHAnsi" w:cs="Arial"/>
                <w:i/>
                <w:iCs/>
                <w:sz w:val="22"/>
                <w:szCs w:val="22"/>
              </w:rPr>
            </w:pPr>
            <w:r w:rsidRPr="005F1629">
              <w:rPr>
                <w:rFonts w:asciiTheme="minorHAnsi" w:hAnsiTheme="minorHAnsi" w:cs="Arial"/>
                <w:i/>
                <w:iCs/>
                <w:sz w:val="22"/>
                <w:szCs w:val="22"/>
              </w:rPr>
              <w:t>267</w:t>
            </w:r>
          </w:p>
        </w:tc>
        <w:tc>
          <w:tcPr>
            <w:tcW w:w="1016" w:type="dxa"/>
            <w:shd w:val="clear" w:color="auto" w:fill="auto"/>
            <w:vAlign w:val="bottom"/>
          </w:tcPr>
          <w:p w:rsidR="00A333D7" w:rsidRPr="005F1629" w:rsidRDefault="00A333D7" w:rsidP="00DE0C41">
            <w:pPr>
              <w:jc w:val="right"/>
              <w:rPr>
                <w:rFonts w:asciiTheme="minorHAnsi" w:hAnsiTheme="minorHAnsi" w:cs="Arial"/>
                <w:i/>
                <w:iCs/>
                <w:sz w:val="22"/>
                <w:szCs w:val="22"/>
              </w:rPr>
            </w:pPr>
            <w:r w:rsidRPr="005F1629">
              <w:rPr>
                <w:rFonts w:asciiTheme="minorHAnsi" w:hAnsiTheme="minorHAnsi" w:cs="Arial"/>
                <w:i/>
                <w:iCs/>
                <w:sz w:val="22"/>
                <w:szCs w:val="22"/>
              </w:rPr>
              <w:t>275</w:t>
            </w:r>
          </w:p>
        </w:tc>
      </w:tr>
      <w:tr w:rsidR="00A333D7" w:rsidRPr="005F1629" w:rsidTr="00DE0C41">
        <w:tc>
          <w:tcPr>
            <w:tcW w:w="534" w:type="dxa"/>
            <w:shd w:val="clear" w:color="auto" w:fill="auto"/>
          </w:tcPr>
          <w:p w:rsidR="00A333D7" w:rsidRPr="005F1629" w:rsidRDefault="00A333D7" w:rsidP="00F715F7">
            <w:pPr>
              <w:jc w:val="both"/>
              <w:rPr>
                <w:rFonts w:asciiTheme="minorHAnsi" w:hAnsiTheme="minorHAnsi" w:cs="Arial"/>
                <w:b/>
                <w:bCs/>
                <w:sz w:val="22"/>
                <w:szCs w:val="22"/>
              </w:rPr>
            </w:pPr>
            <w:r w:rsidRPr="005F1629">
              <w:rPr>
                <w:rFonts w:asciiTheme="minorHAnsi" w:hAnsiTheme="minorHAnsi" w:cs="Arial"/>
                <w:b/>
                <w:bCs/>
                <w:sz w:val="22"/>
                <w:szCs w:val="22"/>
              </w:rPr>
              <w:t>3.</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 xml:space="preserve">Ostatní poskytovatelé </w:t>
            </w:r>
          </w:p>
        </w:tc>
        <w:tc>
          <w:tcPr>
            <w:tcW w:w="1015"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1 632</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1 770</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1 829</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1 872</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1 856</w:t>
            </w:r>
          </w:p>
        </w:tc>
        <w:tc>
          <w:tcPr>
            <w:tcW w:w="1016" w:type="dxa"/>
            <w:shd w:val="clear" w:color="auto" w:fill="auto"/>
            <w:vAlign w:val="bottom"/>
          </w:tcPr>
          <w:p w:rsidR="00A333D7" w:rsidRPr="005F1629" w:rsidRDefault="00A333D7" w:rsidP="00DE0C41">
            <w:pPr>
              <w:jc w:val="right"/>
              <w:rPr>
                <w:rFonts w:asciiTheme="minorHAnsi" w:hAnsiTheme="minorHAnsi" w:cs="Arial"/>
                <w:bCs/>
                <w:sz w:val="22"/>
                <w:szCs w:val="22"/>
              </w:rPr>
            </w:pPr>
            <w:r w:rsidRPr="005F1629">
              <w:rPr>
                <w:rFonts w:asciiTheme="minorHAnsi" w:hAnsiTheme="minorHAnsi" w:cs="Arial"/>
                <w:bCs/>
                <w:sz w:val="22"/>
                <w:szCs w:val="22"/>
              </w:rPr>
              <w:t>1 880</w:t>
            </w:r>
          </w:p>
        </w:tc>
      </w:tr>
      <w:tr w:rsidR="00A333D7" w:rsidRPr="005F1629" w:rsidTr="00DE0C41">
        <w:tc>
          <w:tcPr>
            <w:tcW w:w="534"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 </w:t>
            </w:r>
          </w:p>
        </w:tc>
        <w:tc>
          <w:tcPr>
            <w:tcW w:w="2693" w:type="dxa"/>
            <w:shd w:val="clear" w:color="auto" w:fill="auto"/>
          </w:tcPr>
          <w:p w:rsidR="00A333D7" w:rsidRPr="005F1629" w:rsidRDefault="00A333D7" w:rsidP="00F715F7">
            <w:pPr>
              <w:rPr>
                <w:rFonts w:asciiTheme="minorHAnsi" w:hAnsiTheme="minorHAnsi" w:cs="Arial"/>
                <w:b/>
                <w:bCs/>
                <w:sz w:val="22"/>
                <w:szCs w:val="22"/>
              </w:rPr>
            </w:pPr>
            <w:r w:rsidRPr="005F1629">
              <w:rPr>
                <w:rFonts w:asciiTheme="minorHAnsi" w:hAnsiTheme="minorHAnsi" w:cs="Arial"/>
                <w:b/>
                <w:bCs/>
                <w:sz w:val="22"/>
                <w:szCs w:val="22"/>
              </w:rPr>
              <w:t>Celkem</w:t>
            </w:r>
          </w:p>
        </w:tc>
        <w:tc>
          <w:tcPr>
            <w:tcW w:w="1015" w:type="dxa"/>
            <w:shd w:val="clear" w:color="auto" w:fill="auto"/>
            <w:vAlign w:val="bottom"/>
          </w:tcPr>
          <w:p w:rsidR="00A333D7" w:rsidRPr="005F1629" w:rsidRDefault="00A333D7" w:rsidP="00DE0C41">
            <w:pPr>
              <w:jc w:val="right"/>
              <w:rPr>
                <w:rFonts w:asciiTheme="minorHAnsi" w:hAnsiTheme="minorHAnsi" w:cs="Arial"/>
                <w:b/>
                <w:bCs/>
                <w:sz w:val="22"/>
                <w:szCs w:val="22"/>
              </w:rPr>
            </w:pPr>
            <w:r w:rsidRPr="005F1629">
              <w:rPr>
                <w:rFonts w:asciiTheme="minorHAnsi" w:hAnsiTheme="minorHAnsi" w:cs="Arial"/>
                <w:b/>
                <w:bCs/>
                <w:sz w:val="22"/>
                <w:szCs w:val="22"/>
              </w:rPr>
              <w:t>8 166</w:t>
            </w:r>
          </w:p>
        </w:tc>
        <w:tc>
          <w:tcPr>
            <w:tcW w:w="1016" w:type="dxa"/>
            <w:shd w:val="clear" w:color="auto" w:fill="auto"/>
            <w:vAlign w:val="bottom"/>
          </w:tcPr>
          <w:p w:rsidR="00A333D7" w:rsidRPr="005F1629" w:rsidRDefault="00A333D7" w:rsidP="00DE0C41">
            <w:pPr>
              <w:jc w:val="right"/>
              <w:rPr>
                <w:rFonts w:asciiTheme="minorHAnsi" w:hAnsiTheme="minorHAnsi" w:cs="Arial"/>
                <w:b/>
                <w:bCs/>
                <w:sz w:val="22"/>
                <w:szCs w:val="22"/>
              </w:rPr>
            </w:pPr>
            <w:r w:rsidRPr="005F1629">
              <w:rPr>
                <w:rFonts w:asciiTheme="minorHAnsi" w:hAnsiTheme="minorHAnsi" w:cs="Arial"/>
                <w:b/>
                <w:bCs/>
                <w:sz w:val="22"/>
                <w:szCs w:val="22"/>
              </w:rPr>
              <w:t>8 554</w:t>
            </w:r>
          </w:p>
        </w:tc>
        <w:tc>
          <w:tcPr>
            <w:tcW w:w="1016" w:type="dxa"/>
            <w:shd w:val="clear" w:color="auto" w:fill="auto"/>
            <w:vAlign w:val="bottom"/>
          </w:tcPr>
          <w:p w:rsidR="00A333D7" w:rsidRPr="005F1629" w:rsidRDefault="00A333D7" w:rsidP="00DE0C41">
            <w:pPr>
              <w:jc w:val="right"/>
              <w:rPr>
                <w:rFonts w:asciiTheme="minorHAnsi" w:hAnsiTheme="minorHAnsi" w:cs="Arial"/>
                <w:b/>
                <w:bCs/>
                <w:sz w:val="22"/>
                <w:szCs w:val="22"/>
              </w:rPr>
            </w:pPr>
            <w:r w:rsidRPr="005F1629">
              <w:rPr>
                <w:rFonts w:asciiTheme="minorHAnsi" w:hAnsiTheme="minorHAnsi" w:cs="Arial"/>
                <w:b/>
                <w:bCs/>
                <w:sz w:val="22"/>
                <w:szCs w:val="22"/>
              </w:rPr>
              <w:t>8 761</w:t>
            </w:r>
          </w:p>
        </w:tc>
        <w:tc>
          <w:tcPr>
            <w:tcW w:w="1016" w:type="dxa"/>
            <w:shd w:val="clear" w:color="auto" w:fill="auto"/>
            <w:vAlign w:val="bottom"/>
          </w:tcPr>
          <w:p w:rsidR="00A333D7" w:rsidRPr="005F1629" w:rsidRDefault="00A333D7" w:rsidP="00DE0C41">
            <w:pPr>
              <w:jc w:val="right"/>
              <w:rPr>
                <w:rFonts w:asciiTheme="minorHAnsi" w:hAnsiTheme="minorHAnsi" w:cs="Arial"/>
                <w:b/>
                <w:bCs/>
                <w:sz w:val="22"/>
                <w:szCs w:val="22"/>
              </w:rPr>
            </w:pPr>
            <w:r w:rsidRPr="005F1629">
              <w:rPr>
                <w:rFonts w:asciiTheme="minorHAnsi" w:hAnsiTheme="minorHAnsi" w:cs="Arial"/>
                <w:b/>
                <w:bCs/>
                <w:sz w:val="22"/>
                <w:szCs w:val="22"/>
              </w:rPr>
              <w:t>9 081</w:t>
            </w:r>
          </w:p>
        </w:tc>
        <w:tc>
          <w:tcPr>
            <w:tcW w:w="1016" w:type="dxa"/>
            <w:shd w:val="clear" w:color="auto" w:fill="auto"/>
            <w:vAlign w:val="bottom"/>
          </w:tcPr>
          <w:p w:rsidR="00A333D7" w:rsidRPr="005F1629" w:rsidRDefault="00A333D7" w:rsidP="00DE0C41">
            <w:pPr>
              <w:jc w:val="right"/>
              <w:rPr>
                <w:rFonts w:asciiTheme="minorHAnsi" w:hAnsiTheme="minorHAnsi" w:cs="Arial"/>
                <w:b/>
                <w:bCs/>
                <w:sz w:val="22"/>
                <w:szCs w:val="22"/>
              </w:rPr>
            </w:pPr>
            <w:r w:rsidRPr="005F1629">
              <w:rPr>
                <w:rFonts w:asciiTheme="minorHAnsi" w:hAnsiTheme="minorHAnsi" w:cs="Arial"/>
                <w:b/>
                <w:bCs/>
                <w:sz w:val="22"/>
                <w:szCs w:val="22"/>
              </w:rPr>
              <w:t>9 540</w:t>
            </w:r>
          </w:p>
        </w:tc>
        <w:tc>
          <w:tcPr>
            <w:tcW w:w="1016" w:type="dxa"/>
            <w:shd w:val="clear" w:color="auto" w:fill="auto"/>
            <w:vAlign w:val="bottom"/>
          </w:tcPr>
          <w:p w:rsidR="00A333D7" w:rsidRPr="005F1629" w:rsidRDefault="00A333D7" w:rsidP="00DE0C41">
            <w:pPr>
              <w:jc w:val="right"/>
              <w:rPr>
                <w:rFonts w:asciiTheme="minorHAnsi" w:hAnsiTheme="minorHAnsi" w:cs="Arial"/>
                <w:b/>
                <w:bCs/>
                <w:sz w:val="22"/>
                <w:szCs w:val="22"/>
              </w:rPr>
            </w:pPr>
            <w:r w:rsidRPr="005F1629">
              <w:rPr>
                <w:rFonts w:asciiTheme="minorHAnsi" w:hAnsiTheme="minorHAnsi" w:cs="Arial"/>
                <w:b/>
                <w:bCs/>
                <w:sz w:val="22"/>
                <w:szCs w:val="22"/>
              </w:rPr>
              <w:t>9 771</w:t>
            </w:r>
          </w:p>
        </w:tc>
      </w:tr>
    </w:tbl>
    <w:p w:rsidR="00A333D7" w:rsidRDefault="00A333D7" w:rsidP="00AF7181">
      <w:pPr>
        <w:spacing w:after="120"/>
        <w:jc w:val="both"/>
        <w:rPr>
          <w:rFonts w:asciiTheme="minorHAnsi" w:hAnsiTheme="minorHAnsi" w:cs="Arial"/>
          <w:b/>
        </w:rPr>
      </w:pPr>
    </w:p>
    <w:p w:rsidR="00442881" w:rsidRPr="005F1629" w:rsidRDefault="00D6323C" w:rsidP="00F76ECB">
      <w:pPr>
        <w:spacing w:after="120"/>
        <w:ind w:firstLine="357"/>
        <w:jc w:val="both"/>
        <w:rPr>
          <w:rFonts w:asciiTheme="minorHAnsi" w:hAnsiTheme="minorHAnsi" w:cs="Arial"/>
        </w:rPr>
      </w:pPr>
      <w:r w:rsidRPr="005F1629">
        <w:rPr>
          <w:rFonts w:asciiTheme="minorHAnsi" w:hAnsiTheme="minorHAnsi" w:cs="Arial"/>
          <w:b/>
        </w:rPr>
        <w:t>Revizní a kontrolní činnost</w:t>
      </w:r>
      <w:r w:rsidRPr="005F1629">
        <w:rPr>
          <w:rFonts w:asciiTheme="minorHAnsi" w:hAnsiTheme="minorHAnsi" w:cs="Arial"/>
        </w:rPr>
        <w:t xml:space="preserve"> RBP se bude zaměřovat v roce 2014 zejména na fyzické revize poskytovatelů zdravotních služeb, kteří vykazují neúměrně vysokou úroveň nákladnosti, průběžné posuzování nesprávné a neúčelné preskripce léčiv a zdravotnických prostředků a využívání individuálních účtů klientů k ověření rozsahu poskytnutých zdravotních služeb tam, kde je podezření z neuskutečněných, avšak vykázaných zdravotních výkonů.</w:t>
      </w:r>
    </w:p>
    <w:p w:rsidR="009D68EF" w:rsidRPr="005F1629" w:rsidRDefault="009D68EF" w:rsidP="00F76ECB">
      <w:pPr>
        <w:ind w:firstLine="357"/>
        <w:jc w:val="both"/>
        <w:rPr>
          <w:rFonts w:asciiTheme="minorHAnsi" w:hAnsiTheme="minorHAnsi" w:cs="Arial"/>
          <w:bCs/>
          <w:spacing w:val="-4"/>
        </w:rPr>
      </w:pPr>
      <w:r w:rsidRPr="005F1629">
        <w:rPr>
          <w:rFonts w:asciiTheme="minorHAnsi" w:hAnsiTheme="minorHAnsi" w:cs="Arial"/>
          <w:b/>
          <w:bCs/>
          <w:spacing w:val="-4"/>
        </w:rPr>
        <w:t>Struktura a výše nákladů na zdravotní služby</w:t>
      </w:r>
      <w:r w:rsidRPr="005F1629">
        <w:rPr>
          <w:rFonts w:asciiTheme="minorHAnsi" w:hAnsiTheme="minorHAnsi" w:cs="Arial"/>
          <w:bCs/>
          <w:spacing w:val="-4"/>
        </w:rPr>
        <w:t xml:space="preserve"> je určena zejména na základě vývoje v minulých obdobích, očekávaného růstu počtu pojištěnců a návrhu úhradové vyhlášky.</w:t>
      </w:r>
    </w:p>
    <w:p w:rsidR="009D68EF" w:rsidRPr="005F1629" w:rsidRDefault="0095701D" w:rsidP="00F76ECB">
      <w:pPr>
        <w:ind w:firstLine="357"/>
        <w:jc w:val="both"/>
        <w:rPr>
          <w:rFonts w:asciiTheme="minorHAnsi" w:hAnsiTheme="minorHAnsi" w:cs="Arial"/>
        </w:rPr>
      </w:pPr>
      <w:r w:rsidRPr="005F1629">
        <w:rPr>
          <w:rFonts w:asciiTheme="minorHAnsi" w:hAnsiTheme="minorHAnsi" w:cs="Arial"/>
          <w:b/>
        </w:rPr>
        <w:t xml:space="preserve">Náklady </w:t>
      </w:r>
      <w:r w:rsidRPr="005F1629">
        <w:rPr>
          <w:rFonts w:asciiTheme="minorHAnsi" w:hAnsiTheme="minorHAnsi" w:cs="Arial"/>
          <w:b/>
          <w:bCs/>
        </w:rPr>
        <w:t xml:space="preserve">na zdravotní služby </w:t>
      </w:r>
      <w:r w:rsidRPr="005F1629">
        <w:rPr>
          <w:rFonts w:asciiTheme="minorHAnsi" w:hAnsiTheme="minorHAnsi" w:cs="Arial"/>
          <w:bCs/>
        </w:rPr>
        <w:t xml:space="preserve">hrazené ze ZFZP </w:t>
      </w:r>
      <w:r w:rsidRPr="005F1629">
        <w:rPr>
          <w:rFonts w:asciiTheme="minorHAnsi" w:hAnsiTheme="minorHAnsi" w:cs="Arial"/>
          <w:bCs/>
          <w:spacing w:val="-4"/>
        </w:rPr>
        <w:t xml:space="preserve">plánuje RBP </w:t>
      </w:r>
      <w:r w:rsidR="009D68EF" w:rsidRPr="005F1629">
        <w:rPr>
          <w:rFonts w:asciiTheme="minorHAnsi" w:hAnsiTheme="minorHAnsi" w:cs="Arial"/>
        </w:rPr>
        <w:t>ve výši 7 880 mil</w:t>
      </w:r>
      <w:r w:rsidR="00F22793" w:rsidRPr="005F1629">
        <w:rPr>
          <w:rFonts w:asciiTheme="minorHAnsi" w:hAnsiTheme="minorHAnsi" w:cs="Arial"/>
        </w:rPr>
        <w:t>. Kč, co</w:t>
      </w:r>
      <w:r w:rsidR="009D68EF" w:rsidRPr="005F1629">
        <w:rPr>
          <w:rFonts w:asciiTheme="minorHAnsi" w:hAnsiTheme="minorHAnsi" w:cs="Arial"/>
        </w:rPr>
        <w:t>ž představuje meziroční nárůst</w:t>
      </w:r>
      <w:r w:rsidR="00F22793" w:rsidRPr="005F1629">
        <w:rPr>
          <w:rFonts w:asciiTheme="minorHAnsi" w:hAnsiTheme="minorHAnsi" w:cs="Arial"/>
        </w:rPr>
        <w:t xml:space="preserve"> o 3,5</w:t>
      </w:r>
      <w:r w:rsidR="00A0098C" w:rsidRPr="005F1629">
        <w:rPr>
          <w:rFonts w:asciiTheme="minorHAnsi" w:hAnsiTheme="minorHAnsi" w:cs="Arial"/>
        </w:rPr>
        <w:t>2</w:t>
      </w:r>
      <w:r w:rsidR="00F22793" w:rsidRPr="005F1629">
        <w:rPr>
          <w:rFonts w:asciiTheme="minorHAnsi" w:hAnsiTheme="minorHAnsi" w:cs="Arial"/>
        </w:rPr>
        <w:t xml:space="preserve"> %</w:t>
      </w:r>
      <w:r w:rsidR="009D68EF" w:rsidRPr="005F1629">
        <w:rPr>
          <w:rFonts w:asciiTheme="minorHAnsi" w:hAnsiTheme="minorHAnsi" w:cs="Arial"/>
        </w:rPr>
        <w:t xml:space="preserve"> oproti očekávané skutečnosti roku 2013</w:t>
      </w:r>
      <w:r w:rsidR="00A0098C" w:rsidRPr="005F1629">
        <w:rPr>
          <w:rFonts w:asciiTheme="minorHAnsi" w:hAnsiTheme="minorHAnsi" w:cs="Arial"/>
        </w:rPr>
        <w:t xml:space="preserve"> (T</w:t>
      </w:r>
      <w:r w:rsidR="00B7190B" w:rsidRPr="005F1629">
        <w:rPr>
          <w:rFonts w:asciiTheme="minorHAnsi" w:hAnsiTheme="minorHAnsi" w:cs="Arial"/>
        </w:rPr>
        <w:t>abulka č. 2 a 3)</w:t>
      </w:r>
      <w:r w:rsidR="00F22793" w:rsidRPr="005F1629">
        <w:rPr>
          <w:rFonts w:asciiTheme="minorHAnsi" w:hAnsiTheme="minorHAnsi" w:cs="Arial"/>
        </w:rPr>
        <w:t>.</w:t>
      </w:r>
      <w:r w:rsidRPr="005F1629">
        <w:rPr>
          <w:rFonts w:asciiTheme="minorHAnsi" w:hAnsiTheme="minorHAnsi" w:cs="Arial"/>
          <w:bCs/>
        </w:rPr>
        <w:t xml:space="preserve"> </w:t>
      </w:r>
      <w:r w:rsidR="00B7190B" w:rsidRPr="005F1629">
        <w:rPr>
          <w:rFonts w:asciiTheme="minorHAnsi" w:hAnsiTheme="minorHAnsi" w:cs="Arial"/>
          <w:spacing w:val="-4"/>
        </w:rPr>
        <w:t>Průměrné náklady na zdravotní služby na 1 pojištěnce jsou plánovány ve výši 18 424</w:t>
      </w:r>
      <w:r w:rsidR="00B7190B" w:rsidRPr="005F1629">
        <w:rPr>
          <w:rFonts w:asciiTheme="minorHAnsi" w:hAnsiTheme="minorHAnsi" w:cs="Arial"/>
        </w:rPr>
        <w:t xml:space="preserve"> Kč, což znamená meziroční nárůst o 1,2</w:t>
      </w:r>
      <w:r w:rsidR="00F15314" w:rsidRPr="005F1629">
        <w:rPr>
          <w:rFonts w:asciiTheme="minorHAnsi" w:hAnsiTheme="minorHAnsi" w:cs="Arial"/>
        </w:rPr>
        <w:t>5</w:t>
      </w:r>
      <w:r w:rsidR="00B7190B" w:rsidRPr="005F1629">
        <w:rPr>
          <w:rFonts w:asciiTheme="minorHAnsi" w:hAnsiTheme="minorHAnsi" w:cs="Arial"/>
        </w:rPr>
        <w:t> % oproti očekávané skutečnosti roku 2013</w:t>
      </w:r>
      <w:r w:rsidR="00105EDC">
        <w:rPr>
          <w:rFonts w:asciiTheme="minorHAnsi" w:hAnsiTheme="minorHAnsi" w:cs="Arial"/>
        </w:rPr>
        <w:t xml:space="preserve"> (Tabulka č. 4)</w:t>
      </w:r>
      <w:r w:rsidR="00B7190B" w:rsidRPr="005F1629">
        <w:rPr>
          <w:rFonts w:asciiTheme="minorHAnsi" w:hAnsiTheme="minorHAnsi" w:cs="Arial"/>
        </w:rPr>
        <w:t>. Z</w:t>
      </w:r>
      <w:r w:rsidR="00F15314" w:rsidRPr="005F1629">
        <w:rPr>
          <w:rFonts w:asciiTheme="minorHAnsi" w:hAnsiTheme="minorHAnsi" w:cs="Arial"/>
        </w:rPr>
        <w:t> T</w:t>
      </w:r>
      <w:r w:rsidR="00B7190B" w:rsidRPr="005F1629">
        <w:rPr>
          <w:rFonts w:asciiTheme="minorHAnsi" w:hAnsiTheme="minorHAnsi" w:cs="Arial"/>
        </w:rPr>
        <w:t xml:space="preserve">abulky č. 2,3 a 4 </w:t>
      </w:r>
      <w:r w:rsidR="00B378A1" w:rsidRPr="005F1629">
        <w:rPr>
          <w:rFonts w:asciiTheme="minorHAnsi" w:hAnsiTheme="minorHAnsi" w:cs="Arial"/>
        </w:rPr>
        <w:t>a z Grafu č. 1</w:t>
      </w:r>
      <w:r w:rsidR="00F15314" w:rsidRPr="005F1629">
        <w:rPr>
          <w:rFonts w:asciiTheme="minorHAnsi" w:hAnsiTheme="minorHAnsi" w:cs="Arial"/>
        </w:rPr>
        <w:t xml:space="preserve"> </w:t>
      </w:r>
      <w:r w:rsidR="00B7190B" w:rsidRPr="005F1629">
        <w:rPr>
          <w:rFonts w:asciiTheme="minorHAnsi" w:hAnsiTheme="minorHAnsi" w:cs="Arial"/>
        </w:rPr>
        <w:t>vyplývá, že náklady na zdravotní služby budou i v roce 2014 pokračovat v rostoucím trendu.</w:t>
      </w:r>
    </w:p>
    <w:p w:rsidR="009D68EF" w:rsidRPr="005F1629" w:rsidRDefault="00542812" w:rsidP="00F76ECB">
      <w:pPr>
        <w:spacing w:after="120"/>
        <w:ind w:firstLine="357"/>
        <w:jc w:val="both"/>
        <w:rPr>
          <w:rFonts w:asciiTheme="minorHAnsi" w:hAnsiTheme="minorHAnsi" w:cs="Arial"/>
        </w:rPr>
      </w:pPr>
      <w:r w:rsidRPr="005F1629">
        <w:rPr>
          <w:rFonts w:asciiTheme="minorHAnsi" w:hAnsiTheme="minorHAnsi" w:cs="Arial"/>
        </w:rPr>
        <w:t>Meziroční nárůst nákladů je očekáván ve většině segmentů zdravotní péče. U </w:t>
      </w:r>
      <w:r w:rsidRPr="005F1629">
        <w:rPr>
          <w:rFonts w:asciiTheme="minorHAnsi" w:hAnsiTheme="minorHAnsi" w:cs="Arial"/>
          <w:b/>
        </w:rPr>
        <w:t xml:space="preserve">ambulantní péče </w:t>
      </w:r>
      <w:r w:rsidRPr="005F1629">
        <w:rPr>
          <w:rFonts w:asciiTheme="minorHAnsi" w:hAnsiTheme="minorHAnsi" w:cs="Arial"/>
        </w:rPr>
        <w:t>RBP plánuje navýšení celkem o  2,</w:t>
      </w:r>
      <w:r w:rsidR="00F15314" w:rsidRPr="005F1629">
        <w:rPr>
          <w:rFonts w:asciiTheme="minorHAnsi" w:hAnsiTheme="minorHAnsi" w:cs="Arial"/>
        </w:rPr>
        <w:t>35</w:t>
      </w:r>
      <w:r w:rsidR="009D68EF" w:rsidRPr="005F1629">
        <w:rPr>
          <w:rFonts w:asciiTheme="minorHAnsi" w:hAnsiTheme="minorHAnsi" w:cs="Arial"/>
        </w:rPr>
        <w:t xml:space="preserve"> %. V</w:t>
      </w:r>
      <w:r w:rsidRPr="005F1629">
        <w:rPr>
          <w:rFonts w:asciiTheme="minorHAnsi" w:hAnsiTheme="minorHAnsi" w:cs="Arial"/>
        </w:rPr>
        <w:t xml:space="preserve"> objemově největším segmentu </w:t>
      </w:r>
      <w:r w:rsidRPr="005F1629">
        <w:rPr>
          <w:rFonts w:asciiTheme="minorHAnsi" w:hAnsiTheme="minorHAnsi" w:cs="Arial"/>
          <w:b/>
        </w:rPr>
        <w:t>lůžkové zdravotní péče</w:t>
      </w:r>
      <w:r w:rsidRPr="005F1629">
        <w:rPr>
          <w:rFonts w:asciiTheme="minorHAnsi" w:hAnsiTheme="minorHAnsi" w:cs="Arial"/>
        </w:rPr>
        <w:t xml:space="preserve"> j</w:t>
      </w:r>
      <w:r w:rsidR="009D68EF" w:rsidRPr="005F1629">
        <w:rPr>
          <w:rFonts w:asciiTheme="minorHAnsi" w:hAnsiTheme="minorHAnsi" w:cs="Arial"/>
        </w:rPr>
        <w:t>e předpokládán nárůst nákladů</w:t>
      </w:r>
      <w:r w:rsidRPr="005F1629">
        <w:rPr>
          <w:rFonts w:asciiTheme="minorHAnsi" w:hAnsiTheme="minorHAnsi" w:cs="Arial"/>
        </w:rPr>
        <w:t> o 3,4</w:t>
      </w:r>
      <w:r w:rsidR="00F15314" w:rsidRPr="005F1629">
        <w:rPr>
          <w:rFonts w:asciiTheme="minorHAnsi" w:hAnsiTheme="minorHAnsi" w:cs="Arial"/>
        </w:rPr>
        <w:t>1</w:t>
      </w:r>
      <w:r w:rsidRPr="005F1629">
        <w:rPr>
          <w:rFonts w:asciiTheme="minorHAnsi" w:hAnsiTheme="minorHAnsi" w:cs="Arial"/>
        </w:rPr>
        <w:t> %</w:t>
      </w:r>
      <w:r w:rsidR="00B7190B" w:rsidRPr="005F1629">
        <w:rPr>
          <w:rFonts w:asciiTheme="minorHAnsi" w:hAnsiTheme="minorHAnsi" w:cs="Arial"/>
        </w:rPr>
        <w:t>, který má zejména za následek růst celkových nákladů</w:t>
      </w:r>
      <w:r w:rsidR="00B378A1" w:rsidRPr="005F1629">
        <w:rPr>
          <w:rFonts w:asciiTheme="minorHAnsi" w:hAnsiTheme="minorHAnsi" w:cs="Arial"/>
        </w:rPr>
        <w:t xml:space="preserve"> (Graf č. 2</w:t>
      </w:r>
      <w:r w:rsidR="00F15314" w:rsidRPr="005F1629">
        <w:rPr>
          <w:rFonts w:asciiTheme="minorHAnsi" w:hAnsiTheme="minorHAnsi" w:cs="Arial"/>
        </w:rPr>
        <w:t>)</w:t>
      </w:r>
      <w:r w:rsidRPr="005F1629">
        <w:rPr>
          <w:rFonts w:asciiTheme="minorHAnsi" w:hAnsiTheme="minorHAnsi" w:cs="Arial"/>
        </w:rPr>
        <w:t>.</w:t>
      </w:r>
    </w:p>
    <w:p w:rsidR="00E75549" w:rsidRPr="005F1629" w:rsidRDefault="00E75549" w:rsidP="00E75549">
      <w:pPr>
        <w:jc w:val="both"/>
        <w:rPr>
          <w:rFonts w:asciiTheme="minorHAnsi" w:hAnsiTheme="minorHAnsi" w:cs="Arial"/>
        </w:rPr>
      </w:pPr>
      <w:r w:rsidRPr="005F1629">
        <w:rPr>
          <w:rFonts w:asciiTheme="minorHAnsi" w:hAnsiTheme="minorHAnsi" w:cs="Arial"/>
        </w:rPr>
        <w:t>Tabulka č. 2: Struktura nákladů na zdravotní služby podle jednotlivých segmentů</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951"/>
        <w:gridCol w:w="1228"/>
        <w:gridCol w:w="1229"/>
        <w:gridCol w:w="1228"/>
        <w:gridCol w:w="1229"/>
        <w:gridCol w:w="1228"/>
        <w:gridCol w:w="1229"/>
      </w:tblGrid>
      <w:tr w:rsidR="00E75549" w:rsidRPr="005F1629" w:rsidTr="00E75549">
        <w:tc>
          <w:tcPr>
            <w:tcW w:w="1951" w:type="dxa"/>
            <w:shd w:val="solid" w:color="000080" w:fill="FFFFFF"/>
          </w:tcPr>
          <w:p w:rsidR="00E75549" w:rsidRPr="005F1629" w:rsidRDefault="00E75549"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tc>
        <w:tc>
          <w:tcPr>
            <w:tcW w:w="122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mil.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29"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 xml:space="preserve"> (v mil. Kč)</w:t>
            </w:r>
          </w:p>
          <w:p w:rsidR="00E75549" w:rsidRPr="005F1629" w:rsidRDefault="00DA2DE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r w:rsidR="00E75549" w:rsidRPr="005F1629">
              <w:rPr>
                <w:rFonts w:asciiTheme="minorHAnsi" w:hAnsiTheme="minorHAnsi" w:cs="Arial"/>
                <w:b/>
                <w:bCs/>
                <w:color w:val="FFFFFF"/>
                <w:sz w:val="22"/>
                <w:szCs w:val="22"/>
              </w:rPr>
              <w:t>)</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2 126</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2 177</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2 367</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2 350</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2 425</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2 482</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2 957</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3 204</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3 218</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3 248</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3 485</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3 604</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1 565</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1 544</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1 610</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1 713</w:t>
            </w:r>
          </w:p>
        </w:tc>
        <w:tc>
          <w:tcPr>
            <w:tcW w:w="1228"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1 702</w:t>
            </w:r>
          </w:p>
        </w:tc>
        <w:tc>
          <w:tcPr>
            <w:tcW w:w="1229" w:type="dxa"/>
            <w:shd w:val="clear" w:color="auto" w:fill="auto"/>
            <w:vAlign w:val="bottom"/>
          </w:tcPr>
          <w:p w:rsidR="00E75549" w:rsidRPr="005F1629" w:rsidRDefault="00E75549" w:rsidP="00DE0C41">
            <w:pPr>
              <w:jc w:val="right"/>
              <w:rPr>
                <w:rFonts w:asciiTheme="minorHAnsi" w:hAnsiTheme="minorHAnsi" w:cs="Arial"/>
                <w:sz w:val="22"/>
                <w:szCs w:val="22"/>
              </w:rPr>
            </w:pPr>
            <w:r w:rsidRPr="005F1629">
              <w:rPr>
                <w:rFonts w:asciiTheme="minorHAnsi" w:hAnsiTheme="minorHAnsi" w:cs="Arial"/>
                <w:sz w:val="22"/>
                <w:szCs w:val="22"/>
              </w:rPr>
              <w:t>1 794</w:t>
            </w:r>
          </w:p>
        </w:tc>
      </w:tr>
      <w:tr w:rsidR="00E75549" w:rsidRPr="005F1629" w:rsidTr="00DE0C41">
        <w:tc>
          <w:tcPr>
            <w:tcW w:w="1951"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6 648</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6 925</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7 195</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7 311</w:t>
            </w:r>
          </w:p>
        </w:tc>
        <w:tc>
          <w:tcPr>
            <w:tcW w:w="1228"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7 612</w:t>
            </w:r>
          </w:p>
        </w:tc>
        <w:tc>
          <w:tcPr>
            <w:tcW w:w="1229" w:type="dxa"/>
            <w:shd w:val="clear" w:color="auto" w:fill="auto"/>
            <w:vAlign w:val="bottom"/>
          </w:tcPr>
          <w:p w:rsidR="00E75549" w:rsidRPr="005F1629" w:rsidRDefault="00E75549" w:rsidP="00DE0C41">
            <w:pPr>
              <w:jc w:val="right"/>
              <w:rPr>
                <w:rFonts w:asciiTheme="minorHAnsi" w:hAnsiTheme="minorHAnsi" w:cs="Arial"/>
                <w:b/>
                <w:sz w:val="22"/>
                <w:szCs w:val="22"/>
              </w:rPr>
            </w:pPr>
            <w:r w:rsidRPr="005F1629">
              <w:rPr>
                <w:rFonts w:asciiTheme="minorHAnsi" w:hAnsiTheme="minorHAnsi" w:cs="Arial"/>
                <w:b/>
                <w:sz w:val="22"/>
                <w:szCs w:val="22"/>
              </w:rPr>
              <w:t>7 880</w:t>
            </w:r>
          </w:p>
        </w:tc>
      </w:tr>
    </w:tbl>
    <w:p w:rsidR="00E75549" w:rsidRDefault="00E75549" w:rsidP="00E75549">
      <w:pPr>
        <w:jc w:val="both"/>
        <w:rPr>
          <w:rFonts w:asciiTheme="minorHAnsi" w:hAnsiTheme="minorHAnsi" w:cs="Arial"/>
        </w:rPr>
      </w:pPr>
    </w:p>
    <w:p w:rsidR="00F80F37" w:rsidRDefault="00F80F37" w:rsidP="00E75549">
      <w:pPr>
        <w:jc w:val="both"/>
        <w:rPr>
          <w:rFonts w:asciiTheme="minorHAnsi" w:hAnsiTheme="minorHAnsi" w:cs="Arial"/>
        </w:rPr>
      </w:pPr>
    </w:p>
    <w:p w:rsidR="00F80F37" w:rsidRPr="005F1629" w:rsidRDefault="00F80F37" w:rsidP="00E75549">
      <w:pPr>
        <w:jc w:val="both"/>
        <w:rPr>
          <w:rFonts w:asciiTheme="minorHAnsi" w:hAnsiTheme="minorHAnsi" w:cs="Arial"/>
        </w:rPr>
      </w:pPr>
    </w:p>
    <w:p w:rsidR="00466108" w:rsidRPr="005F1629" w:rsidRDefault="00466108" w:rsidP="00E75549">
      <w:pPr>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3: Procentuální změna nákladů na jednotlivé segmenty</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535"/>
        <w:gridCol w:w="1535"/>
        <w:gridCol w:w="1535"/>
        <w:gridCol w:w="1535"/>
        <w:gridCol w:w="1535"/>
        <w:gridCol w:w="1647"/>
      </w:tblGrid>
      <w:tr w:rsidR="00E75549" w:rsidRPr="005F1629" w:rsidTr="00E75549">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53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c>
          <w:tcPr>
            <w:tcW w:w="1647"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102,40</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108,73</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99,28</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103,19</w:t>
            </w:r>
          </w:p>
        </w:tc>
        <w:tc>
          <w:tcPr>
            <w:tcW w:w="1647"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102,35</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108,35</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100,44</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100,93</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107,30</w:t>
            </w:r>
          </w:p>
        </w:tc>
        <w:tc>
          <w:tcPr>
            <w:tcW w:w="1647"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103,41</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98,66</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104,27</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106,40</w:t>
            </w:r>
          </w:p>
        </w:tc>
        <w:tc>
          <w:tcPr>
            <w:tcW w:w="1535"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99,36</w:t>
            </w:r>
          </w:p>
        </w:tc>
        <w:tc>
          <w:tcPr>
            <w:tcW w:w="1647" w:type="dxa"/>
            <w:shd w:val="clear" w:color="auto" w:fill="auto"/>
            <w:vAlign w:val="bottom"/>
          </w:tcPr>
          <w:p w:rsidR="00E75549" w:rsidRPr="005F1629" w:rsidRDefault="00E75549" w:rsidP="00E75549">
            <w:pPr>
              <w:jc w:val="right"/>
              <w:rPr>
                <w:rFonts w:asciiTheme="minorHAnsi" w:hAnsiTheme="minorHAnsi" w:cs="Arial"/>
                <w:bCs/>
                <w:sz w:val="22"/>
                <w:szCs w:val="22"/>
              </w:rPr>
            </w:pPr>
            <w:r w:rsidRPr="005F1629">
              <w:rPr>
                <w:rFonts w:asciiTheme="minorHAnsi" w:hAnsiTheme="minorHAnsi" w:cs="Arial"/>
                <w:bCs/>
                <w:sz w:val="22"/>
                <w:szCs w:val="22"/>
              </w:rPr>
              <w:t>105,41</w:t>
            </w:r>
          </w:p>
        </w:tc>
      </w:tr>
      <w:tr w:rsidR="00E75549" w:rsidRPr="005F1629" w:rsidTr="00E75549">
        <w:tc>
          <w:tcPr>
            <w:tcW w:w="1535"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104,17</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103,90</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101,61</w:t>
            </w:r>
          </w:p>
        </w:tc>
        <w:tc>
          <w:tcPr>
            <w:tcW w:w="1535"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104,12</w:t>
            </w:r>
          </w:p>
        </w:tc>
        <w:tc>
          <w:tcPr>
            <w:tcW w:w="1647" w:type="dxa"/>
            <w:shd w:val="clear" w:color="auto" w:fill="auto"/>
            <w:vAlign w:val="bottom"/>
          </w:tcPr>
          <w:p w:rsidR="00E75549" w:rsidRPr="005F1629" w:rsidRDefault="00E75549" w:rsidP="00E75549">
            <w:pPr>
              <w:jc w:val="right"/>
              <w:rPr>
                <w:rFonts w:asciiTheme="minorHAnsi" w:hAnsiTheme="minorHAnsi" w:cs="Arial"/>
                <w:b/>
                <w:bCs/>
                <w:sz w:val="22"/>
                <w:szCs w:val="22"/>
              </w:rPr>
            </w:pPr>
            <w:r w:rsidRPr="005F1629">
              <w:rPr>
                <w:rFonts w:asciiTheme="minorHAnsi" w:hAnsiTheme="minorHAnsi" w:cs="Arial"/>
                <w:b/>
                <w:bCs/>
                <w:sz w:val="22"/>
                <w:szCs w:val="22"/>
              </w:rPr>
              <w:t>103,52</w:t>
            </w:r>
          </w:p>
        </w:tc>
      </w:tr>
    </w:tbl>
    <w:p w:rsidR="009D68EF" w:rsidRPr="005F1629" w:rsidRDefault="009D68EF" w:rsidP="00E75549">
      <w:pPr>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4: Struktura nákladů v přepočtu na 1 pojištěnce</w:t>
      </w:r>
    </w:p>
    <w:tbl>
      <w:tblPr>
        <w:tblW w:w="93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1809"/>
        <w:gridCol w:w="1134"/>
        <w:gridCol w:w="1276"/>
        <w:gridCol w:w="1276"/>
        <w:gridCol w:w="1275"/>
        <w:gridCol w:w="1276"/>
        <w:gridCol w:w="1276"/>
      </w:tblGrid>
      <w:tr w:rsidR="00E75549" w:rsidRPr="005F1629" w:rsidTr="00E75549">
        <w:tc>
          <w:tcPr>
            <w:tcW w:w="1809" w:type="dxa"/>
            <w:shd w:val="solid" w:color="000080" w:fill="FFFFFF"/>
          </w:tcPr>
          <w:p w:rsidR="00E75549" w:rsidRPr="005F1629" w:rsidRDefault="00E75549" w:rsidP="00E75549">
            <w:pPr>
              <w:jc w:val="both"/>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34"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5"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7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(v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C7351F">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ambulantní péči</w:t>
            </w:r>
          </w:p>
        </w:tc>
        <w:tc>
          <w:tcPr>
            <w:tcW w:w="1134"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5 138</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5 273</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5 706</w:t>
            </w:r>
          </w:p>
        </w:tc>
        <w:tc>
          <w:tcPr>
            <w:tcW w:w="127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5 645</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5 797</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5 803</w:t>
            </w:r>
          </w:p>
        </w:tc>
      </w:tr>
      <w:tr w:rsidR="00E75549" w:rsidRPr="005F1629" w:rsidTr="00C7351F">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Náklady na lůžkovou péči</w:t>
            </w:r>
          </w:p>
        </w:tc>
        <w:tc>
          <w:tcPr>
            <w:tcW w:w="1134"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7 144</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7 761</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7 757</w:t>
            </w:r>
          </w:p>
        </w:tc>
        <w:tc>
          <w:tcPr>
            <w:tcW w:w="127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7 804</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8 331</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8 427</w:t>
            </w:r>
          </w:p>
        </w:tc>
      </w:tr>
      <w:tr w:rsidR="00E75549" w:rsidRPr="005F1629" w:rsidTr="00C7351F">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Ostatní náklady</w:t>
            </w:r>
          </w:p>
        </w:tc>
        <w:tc>
          <w:tcPr>
            <w:tcW w:w="1134"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3 782</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3 743</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3 880</w:t>
            </w:r>
          </w:p>
        </w:tc>
        <w:tc>
          <w:tcPr>
            <w:tcW w:w="127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4 116</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4 069</w:t>
            </w:r>
          </w:p>
        </w:tc>
        <w:tc>
          <w:tcPr>
            <w:tcW w:w="127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4 194</w:t>
            </w:r>
          </w:p>
        </w:tc>
      </w:tr>
      <w:tr w:rsidR="00E75549" w:rsidRPr="005F1629" w:rsidTr="00C7351F">
        <w:tc>
          <w:tcPr>
            <w:tcW w:w="1809" w:type="dxa"/>
            <w:shd w:val="clear" w:color="auto" w:fill="auto"/>
          </w:tcPr>
          <w:p w:rsidR="00E75549" w:rsidRPr="005F1629" w:rsidRDefault="00E75549" w:rsidP="00E75549">
            <w:pPr>
              <w:rPr>
                <w:rFonts w:asciiTheme="minorHAnsi" w:hAnsiTheme="minorHAnsi" w:cs="Arial"/>
                <w:b/>
                <w:sz w:val="22"/>
                <w:szCs w:val="22"/>
              </w:rPr>
            </w:pPr>
            <w:r w:rsidRPr="005F1629">
              <w:rPr>
                <w:rFonts w:asciiTheme="minorHAnsi" w:hAnsiTheme="minorHAnsi" w:cs="Arial"/>
                <w:b/>
                <w:sz w:val="22"/>
                <w:szCs w:val="22"/>
              </w:rPr>
              <w:t>Celkové náklady</w:t>
            </w:r>
          </w:p>
        </w:tc>
        <w:tc>
          <w:tcPr>
            <w:tcW w:w="1134"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16 064</w:t>
            </w:r>
          </w:p>
        </w:tc>
        <w:tc>
          <w:tcPr>
            <w:tcW w:w="1276"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16 777</w:t>
            </w:r>
          </w:p>
        </w:tc>
        <w:tc>
          <w:tcPr>
            <w:tcW w:w="1276"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17 343</w:t>
            </w:r>
          </w:p>
        </w:tc>
        <w:tc>
          <w:tcPr>
            <w:tcW w:w="1275"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17 565</w:t>
            </w:r>
          </w:p>
        </w:tc>
        <w:tc>
          <w:tcPr>
            <w:tcW w:w="1276"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18 197</w:t>
            </w:r>
          </w:p>
        </w:tc>
        <w:tc>
          <w:tcPr>
            <w:tcW w:w="1276"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18 424</w:t>
            </w:r>
          </w:p>
        </w:tc>
      </w:tr>
    </w:tbl>
    <w:p w:rsidR="00B378A1" w:rsidRPr="005F1629" w:rsidRDefault="00B378A1" w:rsidP="00F15314">
      <w:pPr>
        <w:spacing w:after="120"/>
        <w:jc w:val="both"/>
        <w:rPr>
          <w:rFonts w:asciiTheme="minorHAnsi" w:hAnsiTheme="minorHAnsi" w:cs="Arial"/>
          <w:noProof/>
        </w:rPr>
      </w:pPr>
    </w:p>
    <w:p w:rsidR="00B378A1" w:rsidRPr="005F1629" w:rsidRDefault="00B378A1" w:rsidP="00B378A1">
      <w:pPr>
        <w:jc w:val="both"/>
        <w:rPr>
          <w:rFonts w:asciiTheme="minorHAnsi" w:hAnsiTheme="minorHAnsi" w:cs="Arial"/>
          <w:noProof/>
        </w:rPr>
      </w:pPr>
      <w:r w:rsidRPr="005F1629">
        <w:rPr>
          <w:rFonts w:asciiTheme="minorHAnsi" w:hAnsiTheme="minorHAnsi" w:cs="Arial"/>
          <w:noProof/>
        </w:rPr>
        <w:t>Graf č. 1:</w:t>
      </w:r>
    </w:p>
    <w:p w:rsidR="00BA4E7E" w:rsidRPr="005F1629" w:rsidRDefault="00466108" w:rsidP="00BA4E7E">
      <w:pPr>
        <w:spacing w:after="120"/>
        <w:jc w:val="both"/>
        <w:rPr>
          <w:rFonts w:asciiTheme="minorHAnsi" w:hAnsiTheme="minorHAnsi" w:cs="Arial"/>
          <w:noProof/>
        </w:rPr>
      </w:pPr>
      <w:r w:rsidRPr="005F1629">
        <w:rPr>
          <w:rFonts w:asciiTheme="minorHAnsi" w:hAnsiTheme="minorHAnsi" w:cs="Arial"/>
          <w:noProof/>
        </w:rPr>
        <w:drawing>
          <wp:inline distT="0" distB="0" distL="0" distR="0">
            <wp:extent cx="5762445" cy="3243532"/>
            <wp:effectExtent l="0" t="0" r="10160" b="14605"/>
            <wp:docPr id="9"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78A1" w:rsidRPr="005F1629" w:rsidRDefault="00B378A1" w:rsidP="00BA4E7E">
      <w:pPr>
        <w:spacing w:after="120"/>
        <w:jc w:val="both"/>
        <w:rPr>
          <w:rFonts w:asciiTheme="minorHAnsi" w:hAnsiTheme="minorHAnsi" w:cs="Arial"/>
          <w:noProof/>
        </w:rPr>
      </w:pPr>
    </w:p>
    <w:p w:rsidR="00466108" w:rsidRPr="005F1629" w:rsidRDefault="00466108" w:rsidP="00B378A1">
      <w:pPr>
        <w:jc w:val="both"/>
        <w:rPr>
          <w:rFonts w:asciiTheme="minorHAnsi" w:hAnsiTheme="minorHAnsi" w:cs="Arial"/>
          <w:noProof/>
        </w:rPr>
      </w:pPr>
    </w:p>
    <w:p w:rsidR="00466108" w:rsidRPr="005F1629" w:rsidRDefault="00466108" w:rsidP="00B378A1">
      <w:pPr>
        <w:jc w:val="both"/>
        <w:rPr>
          <w:rFonts w:asciiTheme="minorHAnsi" w:hAnsiTheme="minorHAnsi" w:cs="Arial"/>
          <w:noProof/>
        </w:rPr>
      </w:pPr>
    </w:p>
    <w:p w:rsidR="00466108" w:rsidRPr="005F1629" w:rsidRDefault="00466108" w:rsidP="00B378A1">
      <w:pPr>
        <w:jc w:val="both"/>
        <w:rPr>
          <w:rFonts w:asciiTheme="minorHAnsi" w:hAnsiTheme="minorHAnsi" w:cs="Arial"/>
          <w:noProof/>
        </w:rPr>
      </w:pPr>
    </w:p>
    <w:p w:rsidR="00466108" w:rsidRDefault="00466108" w:rsidP="00B378A1">
      <w:pPr>
        <w:jc w:val="both"/>
        <w:rPr>
          <w:rFonts w:asciiTheme="minorHAnsi" w:hAnsiTheme="minorHAnsi" w:cs="Arial"/>
          <w:noProof/>
        </w:rPr>
      </w:pPr>
    </w:p>
    <w:p w:rsidR="00F80F37" w:rsidRPr="005F1629" w:rsidRDefault="00F80F37" w:rsidP="00B378A1">
      <w:pPr>
        <w:jc w:val="both"/>
        <w:rPr>
          <w:rFonts w:asciiTheme="minorHAnsi" w:hAnsiTheme="minorHAnsi" w:cs="Arial"/>
          <w:noProof/>
        </w:rPr>
      </w:pPr>
    </w:p>
    <w:p w:rsidR="00B378A1" w:rsidRPr="005F1629" w:rsidRDefault="00B378A1" w:rsidP="00B378A1">
      <w:pPr>
        <w:jc w:val="both"/>
        <w:rPr>
          <w:rFonts w:asciiTheme="minorHAnsi" w:hAnsiTheme="minorHAnsi" w:cs="Arial"/>
          <w:noProof/>
        </w:rPr>
      </w:pPr>
      <w:r w:rsidRPr="005F1629">
        <w:rPr>
          <w:rFonts w:asciiTheme="minorHAnsi" w:hAnsiTheme="minorHAnsi" w:cs="Arial"/>
          <w:noProof/>
        </w:rPr>
        <w:t>Graf č. 2:</w:t>
      </w:r>
    </w:p>
    <w:p w:rsidR="00F15314" w:rsidRPr="005F1629" w:rsidRDefault="00466108" w:rsidP="00BA4E7E">
      <w:pPr>
        <w:spacing w:after="120"/>
        <w:jc w:val="both"/>
        <w:rPr>
          <w:rFonts w:asciiTheme="minorHAnsi" w:hAnsiTheme="minorHAnsi" w:cs="Arial"/>
          <w:noProof/>
        </w:rPr>
      </w:pPr>
      <w:r w:rsidRPr="005F1629">
        <w:rPr>
          <w:rFonts w:asciiTheme="minorHAnsi" w:hAnsiTheme="minorHAnsi" w:cs="Arial"/>
          <w:noProof/>
        </w:rPr>
        <w:drawing>
          <wp:inline distT="0" distB="0" distL="0" distR="0">
            <wp:extent cx="5749290" cy="3514090"/>
            <wp:effectExtent l="0" t="0" r="22860" b="10160"/>
            <wp:docPr id="10"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78A1" w:rsidRPr="005F1629" w:rsidRDefault="00B378A1" w:rsidP="00BA4E7E">
      <w:pPr>
        <w:spacing w:after="120"/>
        <w:jc w:val="both"/>
        <w:rPr>
          <w:rFonts w:asciiTheme="minorHAnsi" w:hAnsiTheme="minorHAnsi" w:cs="Arial"/>
          <w:bCs/>
        </w:rPr>
      </w:pPr>
    </w:p>
    <w:p w:rsidR="00F15314" w:rsidRPr="005F1629" w:rsidRDefault="00542812" w:rsidP="00F76ECB">
      <w:pPr>
        <w:spacing w:after="120"/>
        <w:ind w:firstLine="357"/>
        <w:jc w:val="both"/>
        <w:rPr>
          <w:rFonts w:asciiTheme="minorHAnsi" w:hAnsiTheme="minorHAnsi" w:cs="Arial"/>
        </w:rPr>
      </w:pPr>
      <w:r w:rsidRPr="005F1629">
        <w:rPr>
          <w:rFonts w:asciiTheme="minorHAnsi" w:hAnsiTheme="minorHAnsi" w:cs="Arial"/>
          <w:b/>
        </w:rPr>
        <w:t>Objem finančních prostředků (vratek)</w:t>
      </w:r>
      <w:r w:rsidRPr="005F1629">
        <w:rPr>
          <w:rFonts w:asciiTheme="minorHAnsi" w:hAnsiTheme="minorHAnsi" w:cs="Arial"/>
        </w:rPr>
        <w:t xml:space="preserve"> podle § 16b zákona č. 48/1997 Sb. RBP plánuje ve výši 10 500 tis. Kč pro 12 000 pojištěnců, kteří v daném období překročí zákonný limit 5 000 Kč, resp. 2 500 Kč</w:t>
      </w:r>
      <w:r w:rsidR="00B7190B" w:rsidRPr="005F1629">
        <w:rPr>
          <w:rFonts w:asciiTheme="minorHAnsi" w:hAnsiTheme="minorHAnsi" w:cs="Arial"/>
        </w:rPr>
        <w:t xml:space="preserve"> (Tabulka č. 5)</w:t>
      </w:r>
      <w:r w:rsidRPr="005F1629">
        <w:rPr>
          <w:rFonts w:asciiTheme="minorHAnsi" w:hAnsiTheme="minorHAnsi" w:cs="Arial"/>
        </w:rPr>
        <w:t>.</w:t>
      </w:r>
      <w:r w:rsidR="00B7190B" w:rsidRPr="005F1629">
        <w:rPr>
          <w:rFonts w:asciiTheme="minorHAnsi" w:hAnsiTheme="minorHAnsi" w:cs="Arial"/>
        </w:rPr>
        <w:t xml:space="preserve"> V přepočtu na jednoho pojištěnce se tato částka v posledních pěti letech výrazně nemění.</w:t>
      </w:r>
    </w:p>
    <w:p w:rsidR="00B378A1" w:rsidRPr="005F1629" w:rsidRDefault="00B378A1" w:rsidP="00F15314">
      <w:pPr>
        <w:spacing w:after="120"/>
        <w:ind w:firstLine="709"/>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5: Překročení zákonného limitu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518"/>
        <w:gridCol w:w="1115"/>
        <w:gridCol w:w="1115"/>
        <w:gridCol w:w="1116"/>
        <w:gridCol w:w="1115"/>
        <w:gridCol w:w="1115"/>
        <w:gridCol w:w="1116"/>
      </w:tblGrid>
      <w:tr w:rsidR="00E75549" w:rsidRPr="005F1629" w:rsidTr="00E75549">
        <w:tc>
          <w:tcPr>
            <w:tcW w:w="2518"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115"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115"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116"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115" w:type="dxa"/>
            <w:shd w:val="solid" w:color="000080" w:fill="FFFFFF"/>
          </w:tcPr>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115" w:type="dxa"/>
            <w:shd w:val="solid" w:color="000080" w:fill="FFFFFF"/>
          </w:tcPr>
          <w:p w:rsidR="000D1B0B"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0D1B0B">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116"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C7351F">
        <w:tc>
          <w:tcPr>
            <w:tcW w:w="2518" w:type="dxa"/>
            <w:shd w:val="clear" w:color="auto" w:fill="auto"/>
          </w:tcPr>
          <w:p w:rsidR="00E75549" w:rsidRPr="005F1629" w:rsidRDefault="00E75549" w:rsidP="000D1B0B">
            <w:pPr>
              <w:spacing w:after="120"/>
              <w:rPr>
                <w:rFonts w:asciiTheme="minorHAnsi" w:hAnsiTheme="minorHAnsi" w:cs="Arial"/>
                <w:b/>
                <w:sz w:val="22"/>
                <w:szCs w:val="22"/>
              </w:rPr>
            </w:pPr>
            <w:r w:rsidRPr="005F1629">
              <w:rPr>
                <w:rFonts w:asciiTheme="minorHAnsi" w:hAnsiTheme="minorHAnsi" w:cs="Arial"/>
                <w:b/>
                <w:sz w:val="22"/>
                <w:szCs w:val="22"/>
              </w:rPr>
              <w:t>Počet pojištěnců, kteří překročili zákonný limit</w:t>
            </w:r>
            <w:r w:rsidR="000D1B0B">
              <w:rPr>
                <w:rFonts w:asciiTheme="minorHAnsi" w:hAnsiTheme="minorHAnsi" w:cs="Arial"/>
                <w:b/>
                <w:sz w:val="22"/>
                <w:szCs w:val="22"/>
              </w:rPr>
              <w:t xml:space="preserve"> </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7 171</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13 879</w:t>
            </w:r>
          </w:p>
        </w:tc>
        <w:tc>
          <w:tcPr>
            <w:tcW w:w="1116"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15 497</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10 706</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11 500</w:t>
            </w:r>
          </w:p>
        </w:tc>
        <w:tc>
          <w:tcPr>
            <w:tcW w:w="1116"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12 000</w:t>
            </w:r>
          </w:p>
        </w:tc>
      </w:tr>
      <w:tr w:rsidR="00E75549" w:rsidRPr="005F1629" w:rsidTr="00C7351F">
        <w:tc>
          <w:tcPr>
            <w:tcW w:w="2518" w:type="dxa"/>
            <w:shd w:val="clear" w:color="auto" w:fill="auto"/>
          </w:tcPr>
          <w:p w:rsidR="00E75549" w:rsidRPr="005F1629" w:rsidRDefault="00E75549" w:rsidP="00E75549">
            <w:pPr>
              <w:spacing w:after="120"/>
              <w:rPr>
                <w:rFonts w:asciiTheme="minorHAnsi" w:hAnsiTheme="minorHAnsi" w:cs="Arial"/>
                <w:b/>
                <w:sz w:val="22"/>
                <w:szCs w:val="22"/>
              </w:rPr>
            </w:pPr>
            <w:r w:rsidRPr="005F1629">
              <w:rPr>
                <w:rFonts w:asciiTheme="minorHAnsi" w:hAnsiTheme="minorHAnsi" w:cs="Arial"/>
                <w:b/>
                <w:sz w:val="22"/>
                <w:szCs w:val="22"/>
              </w:rPr>
              <w:t>Částka, o kterou byl překročen zákonný limit</w:t>
            </w:r>
            <w:r w:rsidR="000D1B0B">
              <w:rPr>
                <w:rFonts w:asciiTheme="minorHAnsi" w:hAnsiTheme="minorHAnsi" w:cs="Arial"/>
                <w:b/>
                <w:sz w:val="22"/>
                <w:szCs w:val="22"/>
              </w:rPr>
              <w:t xml:space="preserve"> </w:t>
            </w:r>
            <w:r w:rsidR="001C36AC">
              <w:rPr>
                <w:rFonts w:asciiTheme="minorHAnsi" w:hAnsiTheme="minorHAnsi" w:cs="Arial"/>
                <w:b/>
                <w:bCs/>
                <w:sz w:val="22"/>
                <w:szCs w:val="22"/>
              </w:rPr>
              <w:t>(</w:t>
            </w:r>
            <w:r w:rsidR="000D1B0B" w:rsidRPr="000D1B0B">
              <w:rPr>
                <w:rFonts w:asciiTheme="minorHAnsi" w:hAnsiTheme="minorHAnsi" w:cs="Arial"/>
                <w:b/>
                <w:bCs/>
                <w:sz w:val="22"/>
                <w:szCs w:val="22"/>
              </w:rPr>
              <w:t>tis. Kč)</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6 155</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11 347</w:t>
            </w:r>
          </w:p>
        </w:tc>
        <w:tc>
          <w:tcPr>
            <w:tcW w:w="1116"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12 955</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8 146</w:t>
            </w:r>
          </w:p>
        </w:tc>
        <w:tc>
          <w:tcPr>
            <w:tcW w:w="1115"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10 000</w:t>
            </w:r>
          </w:p>
        </w:tc>
        <w:tc>
          <w:tcPr>
            <w:tcW w:w="1116" w:type="dxa"/>
            <w:shd w:val="clear" w:color="auto" w:fill="auto"/>
            <w:vAlign w:val="bottom"/>
          </w:tcPr>
          <w:p w:rsidR="00E75549" w:rsidRPr="005F1629" w:rsidRDefault="00E75549" w:rsidP="00C7351F">
            <w:pPr>
              <w:spacing w:after="120"/>
              <w:jc w:val="right"/>
              <w:rPr>
                <w:rFonts w:asciiTheme="minorHAnsi" w:hAnsiTheme="minorHAnsi" w:cs="Arial"/>
                <w:sz w:val="22"/>
                <w:szCs w:val="22"/>
              </w:rPr>
            </w:pPr>
            <w:r w:rsidRPr="005F1629">
              <w:rPr>
                <w:rFonts w:asciiTheme="minorHAnsi" w:hAnsiTheme="minorHAnsi" w:cs="Arial"/>
                <w:sz w:val="22"/>
                <w:szCs w:val="22"/>
              </w:rPr>
              <w:t>10 500</w:t>
            </w:r>
          </w:p>
        </w:tc>
      </w:tr>
      <w:tr w:rsidR="00E75549" w:rsidRPr="005F1629" w:rsidTr="00C7351F">
        <w:tc>
          <w:tcPr>
            <w:tcW w:w="2518" w:type="dxa"/>
            <w:shd w:val="clear" w:color="auto" w:fill="auto"/>
          </w:tcPr>
          <w:p w:rsidR="00E75549" w:rsidRPr="005F1629" w:rsidRDefault="00E75549" w:rsidP="00E75549">
            <w:pPr>
              <w:spacing w:after="120"/>
              <w:rPr>
                <w:rFonts w:asciiTheme="minorHAnsi" w:hAnsiTheme="minorHAnsi" w:cs="Arial"/>
                <w:b/>
                <w:sz w:val="22"/>
                <w:szCs w:val="22"/>
              </w:rPr>
            </w:pPr>
            <w:r w:rsidRPr="005F1629">
              <w:rPr>
                <w:rFonts w:asciiTheme="minorHAnsi" w:hAnsiTheme="minorHAnsi" w:cs="Arial"/>
                <w:b/>
                <w:sz w:val="22"/>
                <w:szCs w:val="22"/>
              </w:rPr>
              <w:t>Částka v přepočtu na 1 pojištěnce, který překročil zákonný limit</w:t>
            </w:r>
            <w:r w:rsidR="000D1B0B">
              <w:rPr>
                <w:rFonts w:asciiTheme="minorHAnsi" w:hAnsiTheme="minorHAnsi" w:cs="Arial"/>
                <w:b/>
                <w:sz w:val="22"/>
                <w:szCs w:val="22"/>
              </w:rPr>
              <w:t xml:space="preserve"> </w:t>
            </w:r>
            <w:r w:rsidR="001C36AC">
              <w:rPr>
                <w:rFonts w:asciiTheme="minorHAnsi" w:hAnsiTheme="minorHAnsi" w:cs="Arial"/>
                <w:b/>
                <w:bCs/>
                <w:sz w:val="22"/>
                <w:szCs w:val="22"/>
              </w:rPr>
              <w:t>(</w:t>
            </w:r>
            <w:r w:rsidR="000D1B0B" w:rsidRPr="000D1B0B">
              <w:rPr>
                <w:rFonts w:asciiTheme="minorHAnsi" w:hAnsiTheme="minorHAnsi" w:cs="Arial"/>
                <w:b/>
                <w:bCs/>
                <w:sz w:val="22"/>
                <w:szCs w:val="22"/>
              </w:rPr>
              <w:t>tis. Kč)</w:t>
            </w:r>
          </w:p>
        </w:tc>
        <w:tc>
          <w:tcPr>
            <w:tcW w:w="111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0,86</w:t>
            </w:r>
          </w:p>
        </w:tc>
        <w:tc>
          <w:tcPr>
            <w:tcW w:w="111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0,82</w:t>
            </w:r>
          </w:p>
        </w:tc>
        <w:tc>
          <w:tcPr>
            <w:tcW w:w="111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0,84</w:t>
            </w:r>
          </w:p>
        </w:tc>
        <w:tc>
          <w:tcPr>
            <w:tcW w:w="111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0,76</w:t>
            </w:r>
          </w:p>
        </w:tc>
        <w:tc>
          <w:tcPr>
            <w:tcW w:w="1115"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0,87</w:t>
            </w:r>
          </w:p>
        </w:tc>
        <w:tc>
          <w:tcPr>
            <w:tcW w:w="1116"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0,88</w:t>
            </w:r>
          </w:p>
        </w:tc>
      </w:tr>
    </w:tbl>
    <w:p w:rsidR="00E75549" w:rsidRPr="005F1629" w:rsidRDefault="00E75549" w:rsidP="00F76ECB">
      <w:pPr>
        <w:spacing w:after="120"/>
        <w:ind w:firstLine="357"/>
        <w:jc w:val="both"/>
        <w:rPr>
          <w:rFonts w:asciiTheme="minorHAnsi" w:hAnsiTheme="minorHAnsi" w:cs="Arial"/>
          <w:b/>
        </w:rPr>
      </w:pPr>
    </w:p>
    <w:p w:rsidR="00F22793" w:rsidRPr="005F1629" w:rsidRDefault="00F22793" w:rsidP="00F76ECB">
      <w:pPr>
        <w:ind w:firstLine="357"/>
        <w:jc w:val="both"/>
        <w:rPr>
          <w:rFonts w:asciiTheme="minorHAnsi" w:hAnsiTheme="minorHAnsi" w:cs="Arial"/>
        </w:rPr>
      </w:pPr>
      <w:r w:rsidRPr="005F1629">
        <w:rPr>
          <w:rFonts w:asciiTheme="minorHAnsi" w:hAnsiTheme="minorHAnsi" w:cs="Arial"/>
          <w:b/>
        </w:rPr>
        <w:t xml:space="preserve">Náklady na léčení cizinců, </w:t>
      </w:r>
      <w:r w:rsidRPr="005F1629">
        <w:rPr>
          <w:rFonts w:asciiTheme="minorHAnsi" w:hAnsiTheme="minorHAnsi" w:cs="Arial"/>
        </w:rPr>
        <w:t xml:space="preserve">kteří si jako výpomocnou zdravotní pojišťovnu zvolí </w:t>
      </w:r>
      <w:r w:rsidR="005F12E9" w:rsidRPr="005F1629">
        <w:rPr>
          <w:rFonts w:asciiTheme="minorHAnsi" w:hAnsiTheme="minorHAnsi" w:cs="Arial"/>
        </w:rPr>
        <w:t>RBP</w:t>
      </w:r>
      <w:r w:rsidR="000506FB" w:rsidRPr="005F1629">
        <w:rPr>
          <w:rFonts w:asciiTheme="minorHAnsi" w:hAnsiTheme="minorHAnsi" w:cs="Arial"/>
        </w:rPr>
        <w:t>,</w:t>
      </w:r>
      <w:r w:rsidRPr="005F1629">
        <w:rPr>
          <w:rFonts w:asciiTheme="minorHAnsi" w:hAnsiTheme="minorHAnsi" w:cs="Arial"/>
        </w:rPr>
        <w:t xml:space="preserve"> jsou plánovány</w:t>
      </w:r>
      <w:r w:rsidRPr="005F1629">
        <w:rPr>
          <w:rFonts w:asciiTheme="minorHAnsi" w:hAnsiTheme="minorHAnsi" w:cs="Arial"/>
          <w:b/>
        </w:rPr>
        <w:t xml:space="preserve"> </w:t>
      </w:r>
      <w:r w:rsidRPr="005F1629">
        <w:rPr>
          <w:rFonts w:asciiTheme="minorHAnsi" w:hAnsiTheme="minorHAnsi" w:cs="Arial"/>
        </w:rPr>
        <w:t xml:space="preserve">ve výši </w:t>
      </w:r>
      <w:r w:rsidR="005F12E9" w:rsidRPr="005F1629">
        <w:rPr>
          <w:rFonts w:asciiTheme="minorHAnsi" w:hAnsiTheme="minorHAnsi" w:cs="Arial"/>
        </w:rPr>
        <w:t>5</w:t>
      </w:r>
      <w:r w:rsidRPr="005F1629">
        <w:rPr>
          <w:rFonts w:asciiTheme="minorHAnsi" w:hAnsiTheme="minorHAnsi" w:cs="Arial"/>
        </w:rPr>
        <w:t xml:space="preserve"> </w:t>
      </w:r>
      <w:r w:rsidR="005F12E9" w:rsidRPr="005F1629">
        <w:rPr>
          <w:rFonts w:asciiTheme="minorHAnsi" w:hAnsiTheme="minorHAnsi" w:cs="Arial"/>
        </w:rPr>
        <w:t>150</w:t>
      </w:r>
      <w:r w:rsidR="00B7190B" w:rsidRPr="005F1629">
        <w:rPr>
          <w:rFonts w:asciiTheme="minorHAnsi" w:hAnsiTheme="minorHAnsi" w:cs="Arial"/>
        </w:rPr>
        <w:t> tis. Kč. Op</w:t>
      </w:r>
      <w:r w:rsidRPr="005F1629">
        <w:rPr>
          <w:rFonts w:asciiTheme="minorHAnsi" w:hAnsiTheme="minorHAnsi" w:cs="Arial"/>
        </w:rPr>
        <w:t xml:space="preserve">roti </w:t>
      </w:r>
      <w:r w:rsidR="000506FB" w:rsidRPr="005F1629">
        <w:rPr>
          <w:rFonts w:asciiTheme="minorHAnsi" w:hAnsiTheme="minorHAnsi" w:cs="Arial"/>
        </w:rPr>
        <w:t>očekávané skutečnosti předchozího roku se jedná o nárůst o</w:t>
      </w:r>
      <w:r w:rsidRPr="005F1629">
        <w:rPr>
          <w:rFonts w:asciiTheme="minorHAnsi" w:hAnsiTheme="minorHAnsi" w:cs="Arial"/>
        </w:rPr>
        <w:t xml:space="preserve"> </w:t>
      </w:r>
      <w:r w:rsidR="005F12E9" w:rsidRPr="005F1629">
        <w:rPr>
          <w:rFonts w:asciiTheme="minorHAnsi" w:hAnsiTheme="minorHAnsi" w:cs="Arial"/>
        </w:rPr>
        <w:t>5</w:t>
      </w:r>
      <w:r w:rsidRPr="005F1629">
        <w:rPr>
          <w:rFonts w:asciiTheme="minorHAnsi" w:hAnsiTheme="minorHAnsi" w:cs="Arial"/>
        </w:rPr>
        <w:t>,</w:t>
      </w:r>
      <w:r w:rsidR="005F12E9" w:rsidRPr="005F1629">
        <w:rPr>
          <w:rFonts w:asciiTheme="minorHAnsi" w:hAnsiTheme="minorHAnsi" w:cs="Arial"/>
        </w:rPr>
        <w:t>1</w:t>
      </w:r>
      <w:r w:rsidR="00F15314" w:rsidRPr="005F1629">
        <w:rPr>
          <w:rFonts w:asciiTheme="minorHAnsi" w:hAnsiTheme="minorHAnsi" w:cs="Arial"/>
        </w:rPr>
        <w:t>0</w:t>
      </w:r>
      <w:r w:rsidRPr="005F1629">
        <w:rPr>
          <w:rFonts w:asciiTheme="minorHAnsi" w:hAnsiTheme="minorHAnsi" w:cs="Arial"/>
        </w:rPr>
        <w:t xml:space="preserve"> %. Při plánovaném počtu 1 </w:t>
      </w:r>
      <w:r w:rsidR="005F12E9" w:rsidRPr="005F1629">
        <w:rPr>
          <w:rFonts w:asciiTheme="minorHAnsi" w:hAnsiTheme="minorHAnsi" w:cs="Arial"/>
        </w:rPr>
        <w:t>2</w:t>
      </w:r>
      <w:r w:rsidRPr="005F1629">
        <w:rPr>
          <w:rFonts w:asciiTheme="minorHAnsi" w:hAnsiTheme="minorHAnsi" w:cs="Arial"/>
        </w:rPr>
        <w:t xml:space="preserve">00 ošetřených cizinců </w:t>
      </w:r>
      <w:r w:rsidR="000506FB" w:rsidRPr="005F1629">
        <w:rPr>
          <w:rFonts w:asciiTheme="minorHAnsi" w:hAnsiTheme="minorHAnsi" w:cs="Arial"/>
        </w:rPr>
        <w:t>(pokles o 7,</w:t>
      </w:r>
      <w:r w:rsidR="00F15314" w:rsidRPr="005F1629">
        <w:rPr>
          <w:rFonts w:asciiTheme="minorHAnsi" w:hAnsiTheme="minorHAnsi" w:cs="Arial"/>
        </w:rPr>
        <w:t>69</w:t>
      </w:r>
      <w:r w:rsidR="000506FB" w:rsidRPr="005F1629">
        <w:rPr>
          <w:rFonts w:asciiTheme="minorHAnsi" w:hAnsiTheme="minorHAnsi" w:cs="Arial"/>
        </w:rPr>
        <w:t xml:space="preserve"> %) </w:t>
      </w:r>
      <w:r w:rsidRPr="005F1629">
        <w:rPr>
          <w:rFonts w:asciiTheme="minorHAnsi" w:hAnsiTheme="minorHAnsi" w:cs="Arial"/>
        </w:rPr>
        <w:lastRenderedPageBreak/>
        <w:t xml:space="preserve">je průměrný náklad na jednoho ošetřeného cizince plánován ve výši 4 </w:t>
      </w:r>
      <w:r w:rsidR="005F12E9" w:rsidRPr="005F1629">
        <w:rPr>
          <w:rFonts w:asciiTheme="minorHAnsi" w:hAnsiTheme="minorHAnsi" w:cs="Arial"/>
        </w:rPr>
        <w:t>292</w:t>
      </w:r>
      <w:r w:rsidRPr="005F1629">
        <w:rPr>
          <w:rFonts w:asciiTheme="minorHAnsi" w:hAnsiTheme="minorHAnsi" w:cs="Arial"/>
        </w:rPr>
        <w:t> Kč</w:t>
      </w:r>
      <w:r w:rsidR="000506FB" w:rsidRPr="005F1629">
        <w:rPr>
          <w:rFonts w:asciiTheme="minorHAnsi" w:hAnsiTheme="minorHAnsi" w:cs="Arial"/>
        </w:rPr>
        <w:t>, což činí nárůst o 13,88 %</w:t>
      </w:r>
      <w:r w:rsidR="00105EDC">
        <w:rPr>
          <w:rFonts w:asciiTheme="minorHAnsi" w:hAnsiTheme="minorHAnsi" w:cs="Arial"/>
        </w:rPr>
        <w:t xml:space="preserve"> (Tabulka č. 6)</w:t>
      </w:r>
      <w:r w:rsidRPr="005F1629">
        <w:rPr>
          <w:rFonts w:asciiTheme="minorHAnsi" w:hAnsiTheme="minorHAnsi" w:cs="Arial"/>
        </w:rPr>
        <w:t>.</w:t>
      </w:r>
    </w:p>
    <w:p w:rsidR="00E75549" w:rsidRPr="005F1629" w:rsidRDefault="00F22793" w:rsidP="00F76ECB">
      <w:pPr>
        <w:pStyle w:val="Zkladntext"/>
        <w:ind w:firstLine="357"/>
        <w:jc w:val="both"/>
        <w:rPr>
          <w:rFonts w:asciiTheme="minorHAnsi" w:hAnsiTheme="minorHAnsi" w:cs="Arial"/>
          <w:sz w:val="24"/>
        </w:rPr>
      </w:pPr>
      <w:r w:rsidRPr="005F1629">
        <w:rPr>
          <w:rFonts w:asciiTheme="minorHAnsi" w:hAnsiTheme="minorHAnsi" w:cs="Arial"/>
          <w:sz w:val="24"/>
        </w:rPr>
        <w:t xml:space="preserve">Na ZFZP je plánováno přijmout od zahraničních pojišťoven za léčení cizinců (včetně plateb vypořádaných tzv. paušálem) </w:t>
      </w:r>
      <w:r w:rsidR="004C1668" w:rsidRPr="005F1629">
        <w:rPr>
          <w:rFonts w:asciiTheme="minorHAnsi" w:hAnsiTheme="minorHAnsi" w:cs="Arial"/>
          <w:sz w:val="24"/>
        </w:rPr>
        <w:t>4</w:t>
      </w:r>
      <w:r w:rsidRPr="005F1629">
        <w:rPr>
          <w:rFonts w:asciiTheme="minorHAnsi" w:hAnsiTheme="minorHAnsi" w:cs="Arial"/>
          <w:sz w:val="24"/>
        </w:rPr>
        <w:t xml:space="preserve"> 0</w:t>
      </w:r>
      <w:r w:rsidR="004C1668" w:rsidRPr="005F1629">
        <w:rPr>
          <w:rFonts w:asciiTheme="minorHAnsi" w:hAnsiTheme="minorHAnsi" w:cs="Arial"/>
          <w:sz w:val="24"/>
        </w:rPr>
        <w:t>5</w:t>
      </w:r>
      <w:r w:rsidRPr="005F1629">
        <w:rPr>
          <w:rFonts w:asciiTheme="minorHAnsi" w:hAnsiTheme="minorHAnsi" w:cs="Arial"/>
          <w:sz w:val="24"/>
        </w:rPr>
        <w:t xml:space="preserve">0 tis. Kč a z prostředků ZFZP uhradit za léčení cizinců PZS </w:t>
      </w:r>
      <w:r w:rsidR="004C1668" w:rsidRPr="005F1629">
        <w:rPr>
          <w:rFonts w:asciiTheme="minorHAnsi" w:hAnsiTheme="minorHAnsi" w:cs="Arial"/>
          <w:sz w:val="24"/>
        </w:rPr>
        <w:t>5</w:t>
      </w:r>
      <w:r w:rsidRPr="005F1629">
        <w:rPr>
          <w:rFonts w:asciiTheme="minorHAnsi" w:hAnsiTheme="minorHAnsi" w:cs="Arial"/>
          <w:sz w:val="24"/>
        </w:rPr>
        <w:t xml:space="preserve"> </w:t>
      </w:r>
      <w:r w:rsidR="004C1668" w:rsidRPr="005F1629">
        <w:rPr>
          <w:rFonts w:asciiTheme="minorHAnsi" w:hAnsiTheme="minorHAnsi" w:cs="Arial"/>
          <w:sz w:val="24"/>
        </w:rPr>
        <w:t>2</w:t>
      </w:r>
      <w:r w:rsidRPr="005F1629">
        <w:rPr>
          <w:rFonts w:asciiTheme="minorHAnsi" w:hAnsiTheme="minorHAnsi" w:cs="Arial"/>
          <w:sz w:val="24"/>
        </w:rPr>
        <w:t>00 tis. Kč, což znamená rozdíl mezi těmito pohledávkami a závazky ve výši -</w:t>
      </w:r>
      <w:r w:rsidR="004C1668" w:rsidRPr="005F1629">
        <w:rPr>
          <w:rFonts w:asciiTheme="minorHAnsi" w:hAnsiTheme="minorHAnsi" w:cs="Arial"/>
          <w:sz w:val="24"/>
        </w:rPr>
        <w:t>1</w:t>
      </w:r>
      <w:r w:rsidRPr="005F1629">
        <w:rPr>
          <w:rFonts w:asciiTheme="minorHAnsi" w:hAnsiTheme="minorHAnsi" w:cs="Arial"/>
          <w:sz w:val="24"/>
        </w:rPr>
        <w:t xml:space="preserve"> </w:t>
      </w:r>
      <w:r w:rsidR="004C1668" w:rsidRPr="005F1629">
        <w:rPr>
          <w:rFonts w:asciiTheme="minorHAnsi" w:hAnsiTheme="minorHAnsi" w:cs="Arial"/>
          <w:sz w:val="24"/>
        </w:rPr>
        <w:t>15</w:t>
      </w:r>
      <w:r w:rsidRPr="005F1629">
        <w:rPr>
          <w:rFonts w:asciiTheme="minorHAnsi" w:hAnsiTheme="minorHAnsi" w:cs="Arial"/>
          <w:sz w:val="24"/>
        </w:rPr>
        <w:t xml:space="preserve">0 tis. Kč. Tato částka snižuje konečný zůstatek ZFZP. </w:t>
      </w:r>
    </w:p>
    <w:p w:rsidR="00E75549" w:rsidRPr="005F1629" w:rsidRDefault="00E75549" w:rsidP="00E75549">
      <w:pPr>
        <w:pStyle w:val="Zkladntext"/>
        <w:spacing w:after="0" w:line="280" w:lineRule="atLeast"/>
        <w:jc w:val="both"/>
        <w:rPr>
          <w:rFonts w:asciiTheme="minorHAnsi" w:hAnsiTheme="minorHAnsi" w:cs="Arial"/>
          <w:sz w:val="24"/>
        </w:rPr>
      </w:pPr>
      <w:r w:rsidRPr="005F1629">
        <w:rPr>
          <w:rFonts w:asciiTheme="minorHAnsi" w:hAnsiTheme="minorHAnsi" w:cs="Arial"/>
          <w:sz w:val="24"/>
        </w:rPr>
        <w:t>Tabulka č. 6: Vývoj nákladů na léčení cizinců v České republice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51"/>
        <w:gridCol w:w="1209"/>
        <w:gridCol w:w="1210"/>
        <w:gridCol w:w="1210"/>
        <w:gridCol w:w="1210"/>
        <w:gridCol w:w="1210"/>
        <w:gridCol w:w="1210"/>
      </w:tblGrid>
      <w:tr w:rsidR="00E75549" w:rsidRPr="005F1629" w:rsidTr="00E75549">
        <w:tc>
          <w:tcPr>
            <w:tcW w:w="1951"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Ukazatel</w:t>
            </w:r>
          </w:p>
        </w:tc>
        <w:tc>
          <w:tcPr>
            <w:tcW w:w="1209"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tc>
        <w:tc>
          <w:tcPr>
            <w:tcW w:w="1210"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tc>
        <w:tc>
          <w:tcPr>
            <w:tcW w:w="1210"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tc>
        <w:tc>
          <w:tcPr>
            <w:tcW w:w="1210" w:type="dxa"/>
            <w:shd w:val="solid" w:color="000080" w:fill="FFFFFF"/>
          </w:tcPr>
          <w:p w:rsidR="00E75549" w:rsidRPr="005F1629" w:rsidRDefault="00E75549" w:rsidP="000D1B0B">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0D1B0B">
            <w:pPr>
              <w:pStyle w:val="Zkladntext"/>
              <w:spacing w:after="0" w:line="280" w:lineRule="atLeast"/>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210" w:type="dxa"/>
            <w:shd w:val="solid" w:color="000080" w:fill="FFFFFF"/>
          </w:tcPr>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pStyle w:val="Zkladntext"/>
              <w:spacing w:after="0" w:line="280" w:lineRule="atLeast"/>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C7351F">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Náklady na léčení cizinců</w:t>
            </w:r>
            <w:r w:rsidR="000D1B0B">
              <w:rPr>
                <w:rFonts w:asciiTheme="minorHAnsi" w:hAnsiTheme="minorHAnsi" w:cs="Arial"/>
                <w:b/>
                <w:sz w:val="22"/>
                <w:szCs w:val="22"/>
              </w:rPr>
              <w:t xml:space="preserve"> </w:t>
            </w:r>
            <w:r w:rsidR="000D1B0B" w:rsidRPr="000D1B0B">
              <w:rPr>
                <w:rFonts w:asciiTheme="minorHAnsi" w:hAnsiTheme="minorHAnsi" w:cs="Arial"/>
                <w:b/>
                <w:bCs/>
                <w:sz w:val="22"/>
                <w:szCs w:val="22"/>
              </w:rPr>
              <w:t>(tis. Kč)</w:t>
            </w:r>
          </w:p>
        </w:tc>
        <w:tc>
          <w:tcPr>
            <w:tcW w:w="1209"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2 649</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3 164</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4 246</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6 248</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4 900</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5 150</w:t>
            </w:r>
          </w:p>
        </w:tc>
      </w:tr>
      <w:tr w:rsidR="00E75549" w:rsidRPr="005F1629" w:rsidTr="00C7351F">
        <w:tc>
          <w:tcPr>
            <w:tcW w:w="1951" w:type="dxa"/>
            <w:shd w:val="clear" w:color="auto" w:fill="auto"/>
          </w:tcPr>
          <w:p w:rsidR="00E75549" w:rsidRPr="005F1629" w:rsidRDefault="00E75549" w:rsidP="000D1B0B">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Počet ošetřených cizinců</w:t>
            </w:r>
            <w:r w:rsidR="000D1B0B">
              <w:rPr>
                <w:rFonts w:asciiTheme="minorHAnsi" w:hAnsiTheme="minorHAnsi" w:cs="Arial"/>
                <w:b/>
                <w:sz w:val="22"/>
                <w:szCs w:val="22"/>
              </w:rPr>
              <w:t xml:space="preserve"> </w:t>
            </w:r>
          </w:p>
        </w:tc>
        <w:tc>
          <w:tcPr>
            <w:tcW w:w="1209"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627</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815</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964</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1 049</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1 300</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1 200</w:t>
            </w:r>
          </w:p>
        </w:tc>
      </w:tr>
      <w:tr w:rsidR="00E75549" w:rsidRPr="005F1629" w:rsidTr="00C7351F">
        <w:tc>
          <w:tcPr>
            <w:tcW w:w="1951" w:type="dxa"/>
            <w:shd w:val="clear" w:color="auto" w:fill="auto"/>
          </w:tcPr>
          <w:p w:rsidR="00E75549" w:rsidRPr="005F1629" w:rsidRDefault="00E75549" w:rsidP="00E75549">
            <w:pPr>
              <w:pStyle w:val="Zkladntext"/>
              <w:spacing w:line="280" w:lineRule="atLeast"/>
              <w:rPr>
                <w:rFonts w:asciiTheme="minorHAnsi" w:hAnsiTheme="minorHAnsi" w:cs="Arial"/>
                <w:b/>
                <w:sz w:val="22"/>
                <w:szCs w:val="22"/>
              </w:rPr>
            </w:pPr>
            <w:r w:rsidRPr="005F1629">
              <w:rPr>
                <w:rFonts w:asciiTheme="minorHAnsi" w:hAnsiTheme="minorHAnsi" w:cs="Arial"/>
                <w:b/>
                <w:sz w:val="22"/>
                <w:szCs w:val="22"/>
              </w:rPr>
              <w:t>Průměrné náklady na 1 ošetřeného cizince</w:t>
            </w:r>
            <w:r w:rsidR="000D1B0B">
              <w:rPr>
                <w:rFonts w:asciiTheme="minorHAnsi" w:hAnsiTheme="minorHAnsi" w:cs="Arial"/>
                <w:b/>
                <w:sz w:val="22"/>
                <w:szCs w:val="22"/>
              </w:rPr>
              <w:t xml:space="preserve"> </w:t>
            </w:r>
            <w:r w:rsidR="000D1B0B" w:rsidRPr="000D1B0B">
              <w:rPr>
                <w:rFonts w:asciiTheme="minorHAnsi" w:hAnsiTheme="minorHAnsi" w:cs="Arial"/>
                <w:b/>
                <w:bCs/>
                <w:sz w:val="22"/>
                <w:szCs w:val="22"/>
              </w:rPr>
              <w:t>(tis. Kč)</w:t>
            </w:r>
          </w:p>
        </w:tc>
        <w:tc>
          <w:tcPr>
            <w:tcW w:w="1209" w:type="dxa"/>
            <w:shd w:val="clear" w:color="auto" w:fill="auto"/>
            <w:vAlign w:val="bottom"/>
          </w:tcPr>
          <w:p w:rsidR="00E75549" w:rsidRPr="005F1629" w:rsidRDefault="00F15314"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E75549" w:rsidRPr="005F1629">
              <w:rPr>
                <w:rFonts w:asciiTheme="minorHAnsi" w:hAnsiTheme="minorHAnsi" w:cs="Arial"/>
                <w:sz w:val="22"/>
                <w:szCs w:val="22"/>
              </w:rPr>
              <w:t>2</w:t>
            </w:r>
            <w:r w:rsidRPr="005F1629">
              <w:rPr>
                <w:rFonts w:asciiTheme="minorHAnsi" w:hAnsiTheme="minorHAnsi" w:cs="Arial"/>
                <w:sz w:val="22"/>
                <w:szCs w:val="22"/>
              </w:rPr>
              <w:t>3</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w:t>
            </w:r>
            <w:r w:rsidR="00F15314" w:rsidRPr="005F1629">
              <w:rPr>
                <w:rFonts w:asciiTheme="minorHAnsi" w:hAnsiTheme="minorHAnsi" w:cs="Arial"/>
                <w:sz w:val="22"/>
                <w:szCs w:val="22"/>
              </w:rPr>
              <w:t>,</w:t>
            </w:r>
            <w:r w:rsidRPr="005F1629">
              <w:rPr>
                <w:rFonts w:asciiTheme="minorHAnsi" w:hAnsiTheme="minorHAnsi" w:cs="Arial"/>
                <w:sz w:val="22"/>
                <w:szCs w:val="22"/>
              </w:rPr>
              <w:t>88</w:t>
            </w:r>
          </w:p>
        </w:tc>
        <w:tc>
          <w:tcPr>
            <w:tcW w:w="1210" w:type="dxa"/>
            <w:shd w:val="clear" w:color="auto" w:fill="auto"/>
            <w:vAlign w:val="bottom"/>
          </w:tcPr>
          <w:p w:rsidR="00E75549" w:rsidRPr="005F1629" w:rsidRDefault="00F15314"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E75549" w:rsidRPr="005F1629">
              <w:rPr>
                <w:rFonts w:asciiTheme="minorHAnsi" w:hAnsiTheme="minorHAnsi" w:cs="Arial"/>
                <w:sz w:val="22"/>
                <w:szCs w:val="22"/>
              </w:rPr>
              <w:t>4</w:t>
            </w:r>
            <w:r w:rsidRPr="005F1629">
              <w:rPr>
                <w:rFonts w:asciiTheme="minorHAnsi" w:hAnsiTheme="minorHAnsi" w:cs="Arial"/>
                <w:sz w:val="22"/>
                <w:szCs w:val="22"/>
              </w:rPr>
              <w:t>1</w:t>
            </w:r>
          </w:p>
        </w:tc>
        <w:tc>
          <w:tcPr>
            <w:tcW w:w="1210" w:type="dxa"/>
            <w:shd w:val="clear" w:color="auto" w:fill="auto"/>
            <w:vAlign w:val="bottom"/>
          </w:tcPr>
          <w:p w:rsidR="00E75549" w:rsidRPr="005F1629" w:rsidRDefault="00F15314"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5,</w:t>
            </w:r>
            <w:r w:rsidR="00E75549" w:rsidRPr="005F1629">
              <w:rPr>
                <w:rFonts w:asciiTheme="minorHAnsi" w:hAnsiTheme="minorHAnsi" w:cs="Arial"/>
                <w:sz w:val="22"/>
                <w:szCs w:val="22"/>
              </w:rPr>
              <w:t>9</w:t>
            </w:r>
            <w:r w:rsidRPr="005F1629">
              <w:rPr>
                <w:rFonts w:asciiTheme="minorHAnsi" w:hAnsiTheme="minorHAnsi" w:cs="Arial"/>
                <w:sz w:val="22"/>
                <w:szCs w:val="22"/>
              </w:rPr>
              <w:t>6</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3</w:t>
            </w:r>
            <w:r w:rsidR="00F15314" w:rsidRPr="005F1629">
              <w:rPr>
                <w:rFonts w:asciiTheme="minorHAnsi" w:hAnsiTheme="minorHAnsi" w:cs="Arial"/>
                <w:sz w:val="22"/>
                <w:szCs w:val="22"/>
              </w:rPr>
              <w:t>,</w:t>
            </w:r>
            <w:r w:rsidRPr="005F1629">
              <w:rPr>
                <w:rFonts w:asciiTheme="minorHAnsi" w:hAnsiTheme="minorHAnsi" w:cs="Arial"/>
                <w:sz w:val="22"/>
                <w:szCs w:val="22"/>
              </w:rPr>
              <w:t>7</w:t>
            </w:r>
            <w:r w:rsidR="00F15314" w:rsidRPr="005F1629">
              <w:rPr>
                <w:rFonts w:asciiTheme="minorHAnsi" w:hAnsiTheme="minorHAnsi" w:cs="Arial"/>
                <w:sz w:val="22"/>
                <w:szCs w:val="22"/>
              </w:rPr>
              <w:t>7</w:t>
            </w:r>
          </w:p>
        </w:tc>
        <w:tc>
          <w:tcPr>
            <w:tcW w:w="1210" w:type="dxa"/>
            <w:shd w:val="clear" w:color="auto" w:fill="auto"/>
            <w:vAlign w:val="bottom"/>
          </w:tcPr>
          <w:p w:rsidR="00E75549" w:rsidRPr="005F1629" w:rsidRDefault="00E75549" w:rsidP="00C7351F">
            <w:pPr>
              <w:pStyle w:val="Zkladntext"/>
              <w:spacing w:line="280" w:lineRule="atLeast"/>
              <w:jc w:val="right"/>
              <w:rPr>
                <w:rFonts w:asciiTheme="minorHAnsi" w:hAnsiTheme="minorHAnsi" w:cs="Arial"/>
                <w:sz w:val="22"/>
                <w:szCs w:val="22"/>
              </w:rPr>
            </w:pPr>
            <w:r w:rsidRPr="005F1629">
              <w:rPr>
                <w:rFonts w:asciiTheme="minorHAnsi" w:hAnsiTheme="minorHAnsi" w:cs="Arial"/>
                <w:sz w:val="22"/>
                <w:szCs w:val="22"/>
              </w:rPr>
              <w:t>4</w:t>
            </w:r>
            <w:r w:rsidR="00F15314" w:rsidRPr="005F1629">
              <w:rPr>
                <w:rFonts w:asciiTheme="minorHAnsi" w:hAnsiTheme="minorHAnsi" w:cs="Arial"/>
                <w:sz w:val="22"/>
                <w:szCs w:val="22"/>
              </w:rPr>
              <w:t>,</w:t>
            </w:r>
            <w:r w:rsidRPr="005F1629">
              <w:rPr>
                <w:rFonts w:asciiTheme="minorHAnsi" w:hAnsiTheme="minorHAnsi" w:cs="Arial"/>
                <w:sz w:val="22"/>
                <w:szCs w:val="22"/>
              </w:rPr>
              <w:t>29</w:t>
            </w:r>
          </w:p>
        </w:tc>
      </w:tr>
    </w:tbl>
    <w:p w:rsidR="00E75549" w:rsidRPr="005F1629" w:rsidRDefault="00E75549" w:rsidP="00F22793">
      <w:pPr>
        <w:pStyle w:val="Zkladntext"/>
        <w:spacing w:line="280" w:lineRule="atLeast"/>
        <w:ind w:firstLine="709"/>
        <w:jc w:val="both"/>
        <w:rPr>
          <w:rFonts w:asciiTheme="minorHAnsi" w:hAnsiTheme="minorHAnsi" w:cs="Arial"/>
          <w:sz w:val="24"/>
        </w:rPr>
      </w:pPr>
    </w:p>
    <w:p w:rsidR="004C1668" w:rsidRPr="005F1629" w:rsidRDefault="004C1668" w:rsidP="00F76ECB">
      <w:pPr>
        <w:pStyle w:val="Hladktext"/>
        <w:spacing w:line="240" w:lineRule="auto"/>
        <w:ind w:firstLine="357"/>
        <w:rPr>
          <w:rFonts w:asciiTheme="minorHAnsi" w:hAnsiTheme="minorHAnsi" w:cs="Arial"/>
          <w:szCs w:val="24"/>
        </w:rPr>
      </w:pPr>
      <w:r w:rsidRPr="005F1629">
        <w:rPr>
          <w:rFonts w:asciiTheme="minorHAnsi" w:hAnsiTheme="minorHAnsi" w:cs="Arial"/>
          <w:b/>
          <w:bCs/>
          <w:szCs w:val="24"/>
        </w:rPr>
        <w:t>Náklady na preventivní péči</w:t>
      </w:r>
      <w:r w:rsidRPr="005F1629">
        <w:rPr>
          <w:rFonts w:asciiTheme="minorHAnsi" w:hAnsiTheme="minorHAnsi" w:cs="Arial"/>
          <w:szCs w:val="24"/>
        </w:rPr>
        <w:t xml:space="preserve"> čerpané z Fprev plánuje RBP ve výši 71 100 tis. Kč, tj. meziroční snížení nákladů o 14,0 %, v absolutním vyjádření o 11 561</w:t>
      </w:r>
      <w:r w:rsidR="000506FB" w:rsidRPr="005F1629">
        <w:rPr>
          <w:rFonts w:asciiTheme="minorHAnsi" w:hAnsiTheme="minorHAnsi" w:cs="Arial"/>
          <w:szCs w:val="24"/>
        </w:rPr>
        <w:t> tis. Kč</w:t>
      </w:r>
      <w:r w:rsidRPr="005F1629">
        <w:rPr>
          <w:rFonts w:asciiTheme="minorHAnsi" w:hAnsiTheme="minorHAnsi" w:cs="Arial"/>
          <w:szCs w:val="24"/>
        </w:rPr>
        <w:t>.</w:t>
      </w:r>
      <w:r w:rsidR="00C671A2" w:rsidRPr="005F1629">
        <w:rPr>
          <w:rFonts w:asciiTheme="minorHAnsi" w:hAnsiTheme="minorHAnsi" w:cs="Arial"/>
          <w:szCs w:val="24"/>
        </w:rPr>
        <w:t xml:space="preserve"> </w:t>
      </w:r>
    </w:p>
    <w:p w:rsidR="000506FB" w:rsidRPr="005F1629" w:rsidRDefault="000506FB" w:rsidP="00F76ECB">
      <w:pPr>
        <w:ind w:firstLine="357"/>
        <w:jc w:val="both"/>
        <w:rPr>
          <w:rFonts w:asciiTheme="minorHAnsi" w:hAnsiTheme="minorHAnsi" w:cs="Arial"/>
        </w:rPr>
      </w:pPr>
      <w:r w:rsidRPr="005F1629">
        <w:rPr>
          <w:rFonts w:asciiTheme="minorHAnsi" w:hAnsiTheme="minorHAnsi" w:cs="Arial"/>
        </w:rPr>
        <w:t>Program prevence pro r. 2014 je členěn do tří základních skupin. První skupina zahrnuje zdravotně preventivní programy. Do druhé skupiny jsou zařazeny ozdravné pobyty. Do třetí skupiny jsou zařazeny ostatní činnosti se zaměřením na edukační a informační činnost.</w:t>
      </w:r>
      <w:r w:rsidR="00C671A2" w:rsidRPr="005F1629">
        <w:rPr>
          <w:rFonts w:asciiTheme="minorHAnsi" w:hAnsiTheme="minorHAnsi" w:cs="Arial"/>
        </w:rPr>
        <w:t xml:space="preserve"> Všechny tři části by měly dle ZPP poklesnout</w:t>
      </w:r>
      <w:r w:rsidR="00105EDC">
        <w:rPr>
          <w:rFonts w:asciiTheme="minorHAnsi" w:hAnsiTheme="minorHAnsi" w:cs="Arial"/>
        </w:rPr>
        <w:t xml:space="preserve"> (Tabulka č. 7)</w:t>
      </w:r>
      <w:r w:rsidR="00C671A2" w:rsidRPr="005F1629">
        <w:rPr>
          <w:rFonts w:asciiTheme="minorHAnsi" w:hAnsiTheme="minorHAnsi" w:cs="Arial"/>
        </w:rPr>
        <w:t xml:space="preserve">. </w:t>
      </w:r>
    </w:p>
    <w:p w:rsidR="00B378A1" w:rsidRPr="005F1629" w:rsidRDefault="00B378A1" w:rsidP="000506FB">
      <w:pPr>
        <w:ind w:firstLine="708"/>
        <w:jc w:val="both"/>
        <w:rPr>
          <w:rFonts w:asciiTheme="minorHAnsi" w:hAnsiTheme="minorHAnsi" w:cs="Arial"/>
        </w:rPr>
      </w:pPr>
    </w:p>
    <w:p w:rsidR="00E75549" w:rsidRPr="005F1629" w:rsidRDefault="00E75549" w:rsidP="00E75549">
      <w:pPr>
        <w:jc w:val="both"/>
        <w:rPr>
          <w:rFonts w:asciiTheme="minorHAnsi" w:hAnsiTheme="minorHAnsi" w:cs="Arial"/>
        </w:rPr>
      </w:pPr>
      <w:r w:rsidRPr="005F1629">
        <w:rPr>
          <w:rFonts w:asciiTheme="minorHAnsi" w:hAnsiTheme="minorHAnsi" w:cs="Arial"/>
        </w:rPr>
        <w:t>Tabulka č. 7: Náklady na preventivní zdravotní péči čerpané z fondu prevence</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2660"/>
        <w:gridCol w:w="1091"/>
        <w:gridCol w:w="1092"/>
        <w:gridCol w:w="1092"/>
        <w:gridCol w:w="1091"/>
        <w:gridCol w:w="1092"/>
        <w:gridCol w:w="1092"/>
      </w:tblGrid>
      <w:tr w:rsidR="00E75549" w:rsidRPr="005F1629" w:rsidTr="00E75549">
        <w:tc>
          <w:tcPr>
            <w:tcW w:w="2660"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Účelová položka</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2009</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2010</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2011</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1"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2012</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2013</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(oč. skut.)</w:t>
            </w:r>
          </w:p>
        </w:tc>
        <w:tc>
          <w:tcPr>
            <w:tcW w:w="1092" w:type="dxa"/>
            <w:shd w:val="solid" w:color="000080" w:fill="FFFFFF"/>
          </w:tcPr>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2014</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(tis. Kč)</w:t>
            </w:r>
          </w:p>
          <w:p w:rsidR="00E75549" w:rsidRPr="005F1629" w:rsidRDefault="00E75549" w:rsidP="00E75549">
            <w:pPr>
              <w:jc w:val="center"/>
              <w:rPr>
                <w:rFonts w:asciiTheme="minorHAnsi" w:hAnsiTheme="minorHAnsi" w:cs="Arial"/>
                <w:b/>
                <w:bCs/>
                <w:color w:val="FFFFFF"/>
                <w:sz w:val="22"/>
                <w:szCs w:val="22"/>
              </w:rPr>
            </w:pPr>
            <w:r w:rsidRPr="005F1629">
              <w:rPr>
                <w:rFonts w:asciiTheme="minorHAnsi" w:hAnsiTheme="minorHAnsi" w:cs="Arial"/>
                <w:b/>
                <w:bCs/>
                <w:color w:val="FFFFFF"/>
                <w:sz w:val="22"/>
                <w:szCs w:val="22"/>
              </w:rPr>
              <w:t>(ZPP)</w:t>
            </w:r>
          </w:p>
        </w:tc>
      </w:tr>
      <w:tr w:rsidR="00E75549" w:rsidRPr="005F1629" w:rsidTr="00C7351F">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zdravotní programy</w:t>
            </w:r>
          </w:p>
        </w:tc>
        <w:tc>
          <w:tcPr>
            <w:tcW w:w="1091"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48 064</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7 043</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29 817</w:t>
            </w:r>
          </w:p>
        </w:tc>
        <w:tc>
          <w:tcPr>
            <w:tcW w:w="1091"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37 807</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45 450</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42 750</w:t>
            </w:r>
          </w:p>
        </w:tc>
      </w:tr>
      <w:tr w:rsidR="00E75549" w:rsidRPr="005F1629" w:rsidTr="00C7351F">
        <w:tc>
          <w:tcPr>
            <w:tcW w:w="2660" w:type="dxa"/>
            <w:tcBorders>
              <w:top w:val="nil"/>
              <w:left w:val="single" w:sz="8" w:space="0" w:color="auto"/>
              <w:bottom w:val="single" w:sz="8"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Náklady na ozdravné pobyty</w:t>
            </w:r>
          </w:p>
        </w:tc>
        <w:tc>
          <w:tcPr>
            <w:tcW w:w="1091"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9 034</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5 807</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6 441</w:t>
            </w:r>
          </w:p>
        </w:tc>
        <w:tc>
          <w:tcPr>
            <w:tcW w:w="1091"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8 199</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10 461</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9 650</w:t>
            </w:r>
          </w:p>
        </w:tc>
      </w:tr>
      <w:tr w:rsidR="00E75549" w:rsidRPr="005F1629" w:rsidTr="00C7351F">
        <w:tc>
          <w:tcPr>
            <w:tcW w:w="2660" w:type="dxa"/>
            <w:tcBorders>
              <w:top w:val="nil"/>
              <w:left w:val="single" w:sz="8" w:space="0" w:color="auto"/>
              <w:bottom w:val="single" w:sz="4" w:space="0" w:color="auto"/>
              <w:right w:val="single" w:sz="8"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Ostatní činnosti</w:t>
            </w:r>
          </w:p>
        </w:tc>
        <w:tc>
          <w:tcPr>
            <w:tcW w:w="1091"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25 348</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4 239</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4 103</w:t>
            </w:r>
          </w:p>
        </w:tc>
        <w:tc>
          <w:tcPr>
            <w:tcW w:w="1091"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19 555</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26 750</w:t>
            </w:r>
          </w:p>
        </w:tc>
        <w:tc>
          <w:tcPr>
            <w:tcW w:w="1092" w:type="dxa"/>
            <w:shd w:val="clear" w:color="auto" w:fill="auto"/>
            <w:vAlign w:val="bottom"/>
          </w:tcPr>
          <w:p w:rsidR="00E75549" w:rsidRPr="005F1629" w:rsidRDefault="00E75549" w:rsidP="00C7351F">
            <w:pPr>
              <w:jc w:val="right"/>
              <w:rPr>
                <w:rFonts w:asciiTheme="minorHAnsi" w:hAnsiTheme="minorHAnsi" w:cs="Arial"/>
                <w:sz w:val="22"/>
                <w:szCs w:val="22"/>
              </w:rPr>
            </w:pPr>
            <w:r w:rsidRPr="005F1629">
              <w:rPr>
                <w:rFonts w:asciiTheme="minorHAnsi" w:hAnsiTheme="minorHAnsi" w:cs="Arial"/>
                <w:sz w:val="22"/>
                <w:szCs w:val="22"/>
              </w:rPr>
              <w:t>18 700</w:t>
            </w:r>
          </w:p>
        </w:tc>
      </w:tr>
      <w:tr w:rsidR="00E75549" w:rsidRPr="005F1629" w:rsidTr="00C7351F">
        <w:tc>
          <w:tcPr>
            <w:tcW w:w="2660" w:type="dxa"/>
            <w:tcBorders>
              <w:top w:val="single" w:sz="4" w:space="0" w:color="auto"/>
              <w:left w:val="single" w:sz="4" w:space="0" w:color="auto"/>
              <w:bottom w:val="single" w:sz="4" w:space="0" w:color="auto"/>
              <w:right w:val="single" w:sz="4" w:space="0" w:color="auto"/>
            </w:tcBorders>
            <w:shd w:val="clear" w:color="auto" w:fill="auto"/>
          </w:tcPr>
          <w:p w:rsidR="00E75549" w:rsidRPr="005F1629" w:rsidRDefault="00E75549" w:rsidP="00E75549">
            <w:pPr>
              <w:rPr>
                <w:rFonts w:asciiTheme="minorHAnsi" w:hAnsiTheme="minorHAnsi" w:cs="Arial"/>
                <w:b/>
                <w:bCs/>
                <w:sz w:val="22"/>
                <w:szCs w:val="22"/>
              </w:rPr>
            </w:pPr>
            <w:r w:rsidRPr="005F1629">
              <w:rPr>
                <w:rFonts w:asciiTheme="minorHAnsi" w:hAnsiTheme="minorHAnsi" w:cs="Arial"/>
                <w:b/>
                <w:bCs/>
                <w:sz w:val="22"/>
                <w:szCs w:val="22"/>
              </w:rPr>
              <w:t>Celkové náklady na preventivní zdravotní péči</w:t>
            </w:r>
          </w:p>
        </w:tc>
        <w:tc>
          <w:tcPr>
            <w:tcW w:w="1091" w:type="dxa"/>
            <w:tcBorders>
              <w:left w:val="single" w:sz="4" w:space="0" w:color="auto"/>
            </w:tcBorders>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82 446</w:t>
            </w:r>
          </w:p>
        </w:tc>
        <w:tc>
          <w:tcPr>
            <w:tcW w:w="1092"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17 089</w:t>
            </w:r>
          </w:p>
        </w:tc>
        <w:tc>
          <w:tcPr>
            <w:tcW w:w="1092"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40 361</w:t>
            </w:r>
          </w:p>
        </w:tc>
        <w:tc>
          <w:tcPr>
            <w:tcW w:w="1091"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65 561</w:t>
            </w:r>
          </w:p>
        </w:tc>
        <w:tc>
          <w:tcPr>
            <w:tcW w:w="1092"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82 661</w:t>
            </w:r>
          </w:p>
        </w:tc>
        <w:tc>
          <w:tcPr>
            <w:tcW w:w="1092" w:type="dxa"/>
            <w:shd w:val="clear" w:color="auto" w:fill="auto"/>
            <w:vAlign w:val="bottom"/>
          </w:tcPr>
          <w:p w:rsidR="00E75549" w:rsidRPr="005F1629" w:rsidRDefault="00E75549" w:rsidP="00C7351F">
            <w:pPr>
              <w:jc w:val="right"/>
              <w:rPr>
                <w:rFonts w:asciiTheme="minorHAnsi" w:hAnsiTheme="minorHAnsi" w:cs="Arial"/>
                <w:b/>
                <w:sz w:val="22"/>
                <w:szCs w:val="22"/>
              </w:rPr>
            </w:pPr>
            <w:r w:rsidRPr="005F1629">
              <w:rPr>
                <w:rFonts w:asciiTheme="minorHAnsi" w:hAnsiTheme="minorHAnsi" w:cs="Arial"/>
                <w:b/>
                <w:sz w:val="22"/>
                <w:szCs w:val="22"/>
              </w:rPr>
              <w:t>71 100</w:t>
            </w:r>
          </w:p>
        </w:tc>
      </w:tr>
    </w:tbl>
    <w:p w:rsidR="00E75549" w:rsidRPr="005F1629" w:rsidRDefault="00E75549" w:rsidP="004C1668">
      <w:pPr>
        <w:pStyle w:val="Hladktext"/>
        <w:ind w:firstLine="720"/>
        <w:rPr>
          <w:rFonts w:asciiTheme="minorHAnsi" w:hAnsiTheme="minorHAnsi" w:cs="Arial"/>
          <w:szCs w:val="24"/>
        </w:rPr>
      </w:pPr>
    </w:p>
    <w:p w:rsidR="002910FD" w:rsidRPr="005F1629" w:rsidRDefault="0095701D" w:rsidP="00F76ECB">
      <w:pPr>
        <w:ind w:firstLine="357"/>
        <w:jc w:val="both"/>
        <w:rPr>
          <w:rFonts w:asciiTheme="minorHAnsi" w:hAnsiTheme="minorHAnsi" w:cs="Arial"/>
          <w:bCs/>
        </w:rPr>
      </w:pPr>
      <w:r w:rsidRPr="005F1629">
        <w:rPr>
          <w:rFonts w:asciiTheme="minorHAnsi" w:hAnsiTheme="minorHAnsi" w:cs="Arial"/>
          <w:bCs/>
        </w:rPr>
        <w:t xml:space="preserve">Koncepce těchto aktivit je dána především charakterem pojišťovny působící převážně ve vysoce ekologicky zatíženém regionu a potřebou prevence rizik spojených se zaměstnáním klientely v zakladatelských subjektech, především v hornictví. </w:t>
      </w:r>
    </w:p>
    <w:p w:rsidR="00F405F4" w:rsidRPr="005F1629" w:rsidRDefault="0095701D" w:rsidP="00F76ECB">
      <w:pPr>
        <w:ind w:firstLine="357"/>
        <w:jc w:val="both"/>
        <w:rPr>
          <w:rFonts w:asciiTheme="minorHAnsi" w:hAnsiTheme="minorHAnsi" w:cs="Arial"/>
          <w:bCs/>
        </w:rPr>
      </w:pPr>
      <w:r w:rsidRPr="005F1629">
        <w:rPr>
          <w:rFonts w:asciiTheme="minorHAnsi" w:hAnsiTheme="minorHAnsi" w:cs="Arial"/>
          <w:bCs/>
        </w:rPr>
        <w:t xml:space="preserve">RBP </w:t>
      </w:r>
      <w:r w:rsidR="00843D81" w:rsidRPr="005F1629">
        <w:rPr>
          <w:rFonts w:asciiTheme="minorHAnsi" w:hAnsiTheme="minorHAnsi" w:cs="Arial"/>
          <w:bCs/>
        </w:rPr>
        <w:t>bude</w:t>
      </w:r>
      <w:r w:rsidRPr="005F1629">
        <w:rPr>
          <w:rFonts w:asciiTheme="minorHAnsi" w:hAnsiTheme="minorHAnsi" w:cs="Arial"/>
          <w:bCs/>
        </w:rPr>
        <w:t xml:space="preserve"> poskytovat </w:t>
      </w:r>
      <w:r w:rsidR="00843D81" w:rsidRPr="005F1629">
        <w:rPr>
          <w:rFonts w:asciiTheme="minorHAnsi" w:hAnsiTheme="minorHAnsi" w:cs="Arial"/>
        </w:rPr>
        <w:t>zdravotně preventivní</w:t>
      </w:r>
      <w:r w:rsidRPr="005F1629">
        <w:rPr>
          <w:rFonts w:asciiTheme="minorHAnsi" w:hAnsiTheme="minorHAnsi" w:cs="Arial"/>
          <w:bCs/>
        </w:rPr>
        <w:t xml:space="preserve"> programy, kterými jsou např. rekondiční péče o rizikové skupiny pojištěnců, </w:t>
      </w:r>
      <w:r w:rsidR="00F405F4" w:rsidRPr="005F1629">
        <w:rPr>
          <w:rFonts w:asciiTheme="minorHAnsi" w:hAnsiTheme="minorHAnsi" w:cs="Arial"/>
          <w:bCs/>
        </w:rPr>
        <w:t>úhrada vitaminových preparátů, prevence u dárců krve a kostní dřeně,</w:t>
      </w:r>
      <w:r w:rsidR="002910FD" w:rsidRPr="005F1629">
        <w:rPr>
          <w:rFonts w:asciiTheme="minorHAnsi" w:hAnsiTheme="minorHAnsi" w:cs="Arial"/>
          <w:bCs/>
        </w:rPr>
        <w:t xml:space="preserve"> </w:t>
      </w:r>
      <w:r w:rsidR="00F405F4" w:rsidRPr="005F1629">
        <w:rPr>
          <w:rFonts w:asciiTheme="minorHAnsi" w:hAnsiTheme="minorHAnsi" w:cs="Arial"/>
          <w:bCs/>
        </w:rPr>
        <w:t>ortodontická prevence u dětí a dorostu,</w:t>
      </w:r>
      <w:r w:rsidR="00F15314" w:rsidRPr="005F1629">
        <w:rPr>
          <w:rFonts w:asciiTheme="minorHAnsi" w:hAnsiTheme="minorHAnsi" w:cs="Arial"/>
          <w:bCs/>
        </w:rPr>
        <w:t xml:space="preserve"> </w:t>
      </w:r>
      <w:r w:rsidRPr="005F1629">
        <w:rPr>
          <w:rFonts w:asciiTheme="minorHAnsi" w:hAnsiTheme="minorHAnsi" w:cs="Arial"/>
          <w:bCs/>
        </w:rPr>
        <w:t xml:space="preserve">preventivní očkování </w:t>
      </w:r>
      <w:r w:rsidR="00F405F4" w:rsidRPr="005F1629">
        <w:rPr>
          <w:rFonts w:asciiTheme="minorHAnsi" w:hAnsiTheme="minorHAnsi" w:cs="Arial"/>
          <w:bCs/>
        </w:rPr>
        <w:t xml:space="preserve">nehrazená ze zdravotního pojištění </w:t>
      </w:r>
      <w:r w:rsidRPr="005F1629">
        <w:rPr>
          <w:rFonts w:asciiTheme="minorHAnsi" w:hAnsiTheme="minorHAnsi" w:cs="Arial"/>
          <w:bCs/>
        </w:rPr>
        <w:t>a onkologické preventivní programy</w:t>
      </w:r>
      <w:r w:rsidR="00F405F4" w:rsidRPr="005F1629">
        <w:rPr>
          <w:rFonts w:asciiTheme="minorHAnsi" w:hAnsiTheme="minorHAnsi" w:cs="Arial"/>
          <w:bCs/>
        </w:rPr>
        <w:t>.</w:t>
      </w:r>
    </w:p>
    <w:p w:rsidR="002910FD" w:rsidRPr="005F1629" w:rsidRDefault="004C1668" w:rsidP="00F76ECB">
      <w:pPr>
        <w:ind w:firstLine="357"/>
        <w:jc w:val="both"/>
        <w:rPr>
          <w:rFonts w:asciiTheme="minorHAnsi" w:hAnsiTheme="minorHAnsi" w:cs="Arial"/>
          <w:bCs/>
        </w:rPr>
      </w:pPr>
      <w:r w:rsidRPr="005F1629">
        <w:rPr>
          <w:rFonts w:asciiTheme="minorHAnsi" w:hAnsiTheme="minorHAnsi" w:cs="Arial"/>
        </w:rPr>
        <w:lastRenderedPageBreak/>
        <w:t xml:space="preserve">Do druhé skupiny jsou zařazeny příspěvky na </w:t>
      </w:r>
      <w:r w:rsidR="00F405F4" w:rsidRPr="005F1629">
        <w:rPr>
          <w:rFonts w:asciiTheme="minorHAnsi" w:hAnsiTheme="minorHAnsi" w:cs="Arial"/>
        </w:rPr>
        <w:t>léčebné</w:t>
      </w:r>
      <w:r w:rsidRPr="005F1629">
        <w:rPr>
          <w:rFonts w:asciiTheme="minorHAnsi" w:hAnsiTheme="minorHAnsi" w:cs="Arial"/>
        </w:rPr>
        <w:t xml:space="preserve"> pobyty </w:t>
      </w:r>
      <w:r w:rsidR="00F405F4" w:rsidRPr="005F1629">
        <w:rPr>
          <w:rFonts w:asciiTheme="minorHAnsi" w:hAnsiTheme="minorHAnsi" w:cs="Arial"/>
          <w:bCs/>
        </w:rPr>
        <w:t xml:space="preserve">dětí, ohrožených nepříznivým životním prostředím, v přímořském nebo horském prostředí, ozdravné pobyty v dětských léčebnách a ozdravovnách pro děti a dorost s oslabenou imunitou. </w:t>
      </w:r>
    </w:p>
    <w:p w:rsidR="0095701D" w:rsidRPr="005F1629" w:rsidRDefault="004C1668" w:rsidP="00F76ECB">
      <w:pPr>
        <w:pStyle w:val="StylZaorkou6b"/>
        <w:numPr>
          <w:ilvl w:val="0"/>
          <w:numId w:val="0"/>
        </w:numPr>
        <w:ind w:firstLine="357"/>
        <w:rPr>
          <w:rFonts w:asciiTheme="minorHAnsi" w:hAnsiTheme="minorHAnsi" w:cs="Arial"/>
          <w:sz w:val="24"/>
          <w:szCs w:val="24"/>
        </w:rPr>
      </w:pPr>
      <w:r w:rsidRPr="005F1629">
        <w:rPr>
          <w:rFonts w:asciiTheme="minorHAnsi" w:hAnsiTheme="minorHAnsi" w:cs="Arial"/>
          <w:sz w:val="24"/>
          <w:szCs w:val="24"/>
        </w:rPr>
        <w:t xml:space="preserve">Třetí skupina je </w:t>
      </w:r>
      <w:r w:rsidR="002910FD" w:rsidRPr="005F1629">
        <w:rPr>
          <w:rFonts w:asciiTheme="minorHAnsi" w:hAnsiTheme="minorHAnsi" w:cs="Arial"/>
          <w:sz w:val="24"/>
          <w:szCs w:val="24"/>
        </w:rPr>
        <w:t xml:space="preserve">velmi rozsáhlá </w:t>
      </w:r>
      <w:r w:rsidRPr="005F1629">
        <w:rPr>
          <w:rFonts w:asciiTheme="minorHAnsi" w:hAnsiTheme="minorHAnsi" w:cs="Arial"/>
          <w:sz w:val="24"/>
          <w:szCs w:val="24"/>
        </w:rPr>
        <w:t xml:space="preserve">a </w:t>
      </w:r>
      <w:r w:rsidR="002910FD" w:rsidRPr="005F1629">
        <w:rPr>
          <w:rFonts w:asciiTheme="minorHAnsi" w:hAnsiTheme="minorHAnsi" w:cs="Arial"/>
          <w:sz w:val="24"/>
          <w:szCs w:val="24"/>
        </w:rPr>
        <w:t>zahrnuje např. přípravy žen k porodu a kurzů plavání kojenců jako metody účinného posilování imunitního systému dětí, podpo</w:t>
      </w:r>
      <w:r w:rsidR="004D464E" w:rsidRPr="005F1629">
        <w:rPr>
          <w:rFonts w:asciiTheme="minorHAnsi" w:hAnsiTheme="minorHAnsi" w:cs="Arial"/>
          <w:sz w:val="24"/>
          <w:szCs w:val="24"/>
        </w:rPr>
        <w:t>ru</w:t>
      </w:r>
      <w:r w:rsidR="002910FD" w:rsidRPr="005F1629">
        <w:rPr>
          <w:rFonts w:asciiTheme="minorHAnsi" w:hAnsiTheme="minorHAnsi" w:cs="Arial"/>
          <w:sz w:val="24"/>
          <w:szCs w:val="24"/>
        </w:rPr>
        <w:t xml:space="preserve"> organizovaných kurzů plavání u dětí předškolní výchovy a dětí na prvním stupni základních škol, podpo</w:t>
      </w:r>
      <w:r w:rsidR="004D464E" w:rsidRPr="005F1629">
        <w:rPr>
          <w:rFonts w:asciiTheme="minorHAnsi" w:hAnsiTheme="minorHAnsi" w:cs="Arial"/>
          <w:sz w:val="24"/>
          <w:szCs w:val="24"/>
        </w:rPr>
        <w:t>ru</w:t>
      </w:r>
      <w:r w:rsidR="002910FD" w:rsidRPr="005F1629">
        <w:rPr>
          <w:rFonts w:asciiTheme="minorHAnsi" w:hAnsiTheme="minorHAnsi" w:cs="Arial"/>
          <w:sz w:val="24"/>
          <w:szCs w:val="24"/>
        </w:rPr>
        <w:t xml:space="preserve"> absolvování odborných kursů proti obezitě, prevenci osteoporózy a negativních menopauzálních stavů u žen, úhrad</w:t>
      </w:r>
      <w:r w:rsidR="004D464E" w:rsidRPr="005F1629">
        <w:rPr>
          <w:rFonts w:asciiTheme="minorHAnsi" w:hAnsiTheme="minorHAnsi" w:cs="Arial"/>
          <w:sz w:val="24"/>
          <w:szCs w:val="24"/>
        </w:rPr>
        <w:t>u</w:t>
      </w:r>
      <w:r w:rsidR="002910FD" w:rsidRPr="005F1629">
        <w:rPr>
          <w:rFonts w:asciiTheme="minorHAnsi" w:hAnsiTheme="minorHAnsi" w:cs="Arial"/>
          <w:sz w:val="24"/>
          <w:szCs w:val="24"/>
        </w:rPr>
        <w:t xml:space="preserve"> příspěvku pojištěncům s diagnózou celiakie na nákup potravin, prevenci vyšetření pigmentových změn kůže u pojištěnců od 7 let, prevenci kardiovaskulárních a nádorových onemocnění, zvýšen</w:t>
      </w:r>
      <w:r w:rsidR="004D464E" w:rsidRPr="005F1629">
        <w:rPr>
          <w:rFonts w:asciiTheme="minorHAnsi" w:hAnsiTheme="minorHAnsi" w:cs="Arial"/>
          <w:sz w:val="24"/>
          <w:szCs w:val="24"/>
        </w:rPr>
        <w:t>í</w:t>
      </w:r>
      <w:r w:rsidR="002910FD" w:rsidRPr="005F1629">
        <w:rPr>
          <w:rFonts w:asciiTheme="minorHAnsi" w:hAnsiTheme="minorHAnsi" w:cs="Arial"/>
          <w:sz w:val="24"/>
          <w:szCs w:val="24"/>
        </w:rPr>
        <w:t xml:space="preserve"> informovanosti a osvětě o zdravotní prevenci, podpo</w:t>
      </w:r>
      <w:r w:rsidR="004D464E" w:rsidRPr="005F1629">
        <w:rPr>
          <w:rFonts w:asciiTheme="minorHAnsi" w:hAnsiTheme="minorHAnsi" w:cs="Arial"/>
          <w:sz w:val="24"/>
          <w:szCs w:val="24"/>
        </w:rPr>
        <w:t>ru</w:t>
      </w:r>
      <w:r w:rsidR="002910FD" w:rsidRPr="005F1629">
        <w:rPr>
          <w:rFonts w:asciiTheme="minorHAnsi" w:hAnsiTheme="minorHAnsi" w:cs="Arial"/>
          <w:sz w:val="24"/>
          <w:szCs w:val="24"/>
        </w:rPr>
        <w:t xml:space="preserve"> dodržování frekvence preventivních prohlídek u praktického lékaře, u stomatologa a gynekologa,</w:t>
      </w:r>
      <w:r w:rsidR="002B5833" w:rsidRPr="005F1629">
        <w:rPr>
          <w:rFonts w:asciiTheme="minorHAnsi" w:hAnsiTheme="minorHAnsi" w:cs="Arial"/>
          <w:sz w:val="24"/>
          <w:szCs w:val="24"/>
        </w:rPr>
        <w:t xml:space="preserve"> atd.</w:t>
      </w:r>
    </w:p>
    <w:p w:rsidR="00583109" w:rsidRPr="005F1629" w:rsidRDefault="00583109" w:rsidP="00F76ECB">
      <w:pPr>
        <w:ind w:firstLine="357"/>
        <w:jc w:val="both"/>
        <w:rPr>
          <w:rFonts w:asciiTheme="minorHAnsi" w:hAnsiTheme="minorHAnsi" w:cs="Arial"/>
        </w:rPr>
      </w:pPr>
      <w:r w:rsidRPr="005F1629">
        <w:rPr>
          <w:rFonts w:asciiTheme="minorHAnsi" w:hAnsiTheme="minorHAnsi" w:cs="Arial"/>
        </w:rPr>
        <w:t xml:space="preserve">Ministerstvo zdravotnictví vytváří vlastní modelaci </w:t>
      </w:r>
      <w:r w:rsidRPr="005F1629">
        <w:rPr>
          <w:rFonts w:asciiTheme="minorHAnsi" w:hAnsiTheme="minorHAnsi" w:cs="Arial"/>
          <w:b/>
        </w:rPr>
        <w:t>příjmů z pojistného</w:t>
      </w:r>
      <w:r w:rsidRPr="005F1629">
        <w:rPr>
          <w:rFonts w:asciiTheme="minorHAnsi" w:hAnsiTheme="minorHAnsi" w:cs="Arial"/>
        </w:rPr>
        <w:t xml:space="preserve"> pro celý systém na základě statistických modelů založených na použití časových řad údajů o stavu ekonomiky a výběru pojistného a na základě predikce Ministerstva financí o budoucím vývoji některých makroekonomických ukazatelů. Na základě těchto údajů ministerstvo vytváří modelaci výsledků přerozdělení v roce 2014 včetně záloh na léčbu extra nákladných pojištěnců na základě dat z Centrálního registru pojištěnců.</w:t>
      </w:r>
    </w:p>
    <w:p w:rsidR="00583109" w:rsidRPr="005F1629" w:rsidRDefault="00583109" w:rsidP="00F76ECB">
      <w:pPr>
        <w:spacing w:after="240"/>
        <w:ind w:firstLine="357"/>
        <w:jc w:val="both"/>
        <w:rPr>
          <w:rFonts w:asciiTheme="minorHAnsi" w:hAnsiTheme="minorHAnsi" w:cs="Arial"/>
        </w:rPr>
      </w:pPr>
      <w:r w:rsidRPr="005F1629">
        <w:rPr>
          <w:rFonts w:asciiTheme="minorHAnsi" w:hAnsiTheme="minorHAnsi" w:cs="Arial"/>
        </w:rPr>
        <w:t xml:space="preserve">RBP plánuje na straně příjmů pro rok 2014 objem prostředků z pojistného po přerozdělení ve výši 7,97 mld. Kč. Lze konstatovat, že tento odhad je ve shodě s výše popsanou modelací Ministerstva zdravotnictví, které pro RBP předpokládá v roce 2014 příjmy ve výši 8,17 mld. Kč. Odhad RBP tvoří 97,6 </w:t>
      </w:r>
      <w:r w:rsidRPr="005F1629">
        <w:rPr>
          <w:rFonts w:asciiTheme="minorHAnsi" w:hAnsiTheme="minorHAnsi" w:cs="Arial"/>
          <w:lang w:val="en-US"/>
        </w:rPr>
        <w:t>%</w:t>
      </w:r>
      <w:r w:rsidRPr="005F1629">
        <w:rPr>
          <w:rFonts w:asciiTheme="minorHAnsi" w:hAnsiTheme="minorHAnsi" w:cs="Arial"/>
        </w:rPr>
        <w:t xml:space="preserve"> odhadu ministerstva</w:t>
      </w:r>
      <w:r w:rsidR="00505289" w:rsidRPr="005F1629">
        <w:rPr>
          <w:rFonts w:asciiTheme="minorHAnsi" w:hAnsiTheme="minorHAnsi" w:cs="Arial"/>
        </w:rPr>
        <w:t>,</w:t>
      </w:r>
      <w:r w:rsidRPr="005F1629">
        <w:rPr>
          <w:rFonts w:asciiTheme="minorHAnsi" w:hAnsiTheme="minorHAnsi" w:cs="Arial"/>
        </w:rPr>
        <w:t xml:space="preserve"> a splňuje tak stanovenou toleranci 10 </w:t>
      </w:r>
      <w:r w:rsidRPr="005F1629">
        <w:rPr>
          <w:rFonts w:asciiTheme="minorHAnsi" w:hAnsiTheme="minorHAnsi" w:cs="Arial"/>
          <w:lang w:val="en-US"/>
        </w:rPr>
        <w:t>%</w:t>
      </w:r>
      <w:r w:rsidRPr="005F1629">
        <w:rPr>
          <w:rFonts w:asciiTheme="minorHAnsi" w:hAnsiTheme="minorHAnsi" w:cs="Arial"/>
        </w:rPr>
        <w:t>.</w:t>
      </w:r>
    </w:p>
    <w:p w:rsidR="00583109" w:rsidRPr="005F1629" w:rsidRDefault="00583109" w:rsidP="00F76ECB">
      <w:pPr>
        <w:ind w:firstLine="357"/>
        <w:jc w:val="both"/>
        <w:rPr>
          <w:rFonts w:asciiTheme="minorHAnsi" w:hAnsiTheme="minorHAnsi" w:cs="Arial"/>
        </w:rPr>
      </w:pPr>
      <w:r w:rsidRPr="005F1629">
        <w:rPr>
          <w:rFonts w:asciiTheme="minorHAnsi" w:hAnsiTheme="minorHAnsi" w:cs="Arial"/>
        </w:rPr>
        <w:t xml:space="preserve">V oblasti zdravotní politiky Ministerstvo zdravotnictví hodnotí především </w:t>
      </w:r>
      <w:r w:rsidRPr="005F1629">
        <w:rPr>
          <w:rFonts w:asciiTheme="minorHAnsi" w:hAnsiTheme="minorHAnsi" w:cs="Arial"/>
          <w:b/>
        </w:rPr>
        <w:t>soulad s modelacemi dopadů úhradové vyhlášky na rok 2014</w:t>
      </w:r>
      <w:r w:rsidRPr="005F1629">
        <w:rPr>
          <w:rFonts w:asciiTheme="minorHAnsi" w:hAnsiTheme="minorHAnsi" w:cs="Arial"/>
        </w:rPr>
        <w:t>. Úhradová vyhláška je na smluvní vztahy aplikována pouze v případě, kdy nedojde k dohodě na úhradovém dodatku</w:t>
      </w:r>
      <w:r w:rsidR="005111C5">
        <w:rPr>
          <w:rFonts w:asciiTheme="minorHAnsi" w:hAnsiTheme="minorHAnsi" w:cs="Arial"/>
        </w:rPr>
        <w:t>. Pro</w:t>
      </w:r>
      <w:r w:rsidRPr="005F1629">
        <w:rPr>
          <w:rFonts w:asciiTheme="minorHAnsi" w:hAnsiTheme="minorHAnsi" w:cs="Arial"/>
        </w:rPr>
        <w:t xml:space="preserve"> hypotetický případ, kdy k dohodám nedojde, a kdy by celý systém fungoval právě podle úhradové vyhlášky, je nutné dohlédnout na konstrukci zdravotně pojistného plánu v takové podobě, aby úhrady podle úhradové vyhlášky umožňoval.</w:t>
      </w:r>
    </w:p>
    <w:p w:rsidR="00583109" w:rsidRPr="005F1629" w:rsidRDefault="00583109" w:rsidP="00F76ECB">
      <w:pPr>
        <w:ind w:firstLine="357"/>
        <w:jc w:val="both"/>
        <w:rPr>
          <w:rFonts w:asciiTheme="minorHAnsi" w:hAnsiTheme="minorHAnsi" w:cs="Arial"/>
        </w:rPr>
      </w:pPr>
      <w:r w:rsidRPr="005F1629">
        <w:rPr>
          <w:rFonts w:asciiTheme="minorHAnsi" w:hAnsiTheme="minorHAnsi" w:cs="Arial"/>
        </w:rPr>
        <w:t>Ministerstvo hodnotí jednotlivé plánované položky dle segmentů uvedených v</w:t>
      </w:r>
      <w:r w:rsidR="00855A6A">
        <w:rPr>
          <w:rFonts w:asciiTheme="minorHAnsi" w:hAnsiTheme="minorHAnsi" w:cs="Arial"/>
        </w:rPr>
        <w:t> </w:t>
      </w:r>
      <w:r w:rsidRPr="005F1629">
        <w:rPr>
          <w:rFonts w:asciiTheme="minorHAnsi" w:hAnsiTheme="minorHAnsi" w:cs="Arial"/>
        </w:rPr>
        <w:t>příloze</w:t>
      </w:r>
      <w:r w:rsidR="00855A6A">
        <w:rPr>
          <w:rFonts w:asciiTheme="minorHAnsi" w:hAnsiTheme="minorHAnsi" w:cs="Arial"/>
        </w:rPr>
        <w:t xml:space="preserve"> ZPP</w:t>
      </w:r>
      <w:r w:rsidRPr="005F1629">
        <w:rPr>
          <w:rFonts w:asciiTheme="minorHAnsi" w:hAnsiTheme="minorHAnsi" w:cs="Arial"/>
        </w:rPr>
        <w:t xml:space="preserve"> v tabulce č. 12 tím způsobem, že umožňuje zdravotní pojišťovně odchylku směrem nahoru, tedy plánování vyšších nákladů na daný segment, než jaké předpokládá modelace na základě úhradové vyhlášky. V opačném směru je tolerována odchylka do výše 10 </w:t>
      </w:r>
      <w:r w:rsidRPr="00AF782B">
        <w:rPr>
          <w:rFonts w:asciiTheme="minorHAnsi" w:hAnsiTheme="minorHAnsi" w:cs="Arial"/>
        </w:rPr>
        <w:t>%</w:t>
      </w:r>
      <w:r w:rsidRPr="005F1629">
        <w:rPr>
          <w:rFonts w:asciiTheme="minorHAnsi" w:hAnsiTheme="minorHAnsi" w:cs="Arial"/>
        </w:rPr>
        <w:t xml:space="preserve"> z důvodu skutečnosti, že výsledky výpočtů zdravotní pojišťovny a ministerstva jsou modelací, nikoli přesným odhadem.</w:t>
      </w:r>
    </w:p>
    <w:p w:rsidR="00F76ECB" w:rsidRPr="005F1629" w:rsidRDefault="00583109" w:rsidP="000D1B0B">
      <w:pPr>
        <w:spacing w:after="240"/>
        <w:ind w:firstLine="357"/>
        <w:jc w:val="both"/>
        <w:rPr>
          <w:rFonts w:asciiTheme="minorHAnsi" w:hAnsiTheme="minorHAnsi" w:cs="Arial"/>
        </w:rPr>
      </w:pPr>
      <w:r w:rsidRPr="005F1629">
        <w:rPr>
          <w:rFonts w:asciiTheme="minorHAnsi" w:hAnsiTheme="minorHAnsi" w:cs="Arial"/>
        </w:rPr>
        <w:t xml:space="preserve">V případě RBP lze konstatovat, že struktura nákladů dle segmentů v příloze </w:t>
      </w:r>
      <w:r w:rsidR="00855A6A">
        <w:rPr>
          <w:rFonts w:asciiTheme="minorHAnsi" w:hAnsiTheme="minorHAnsi" w:cs="Arial"/>
        </w:rPr>
        <w:t xml:space="preserve">ZPP </w:t>
      </w:r>
      <w:r w:rsidRPr="005F1629">
        <w:rPr>
          <w:rFonts w:asciiTheme="minorHAnsi" w:hAnsiTheme="minorHAnsi" w:cs="Arial"/>
        </w:rPr>
        <w:t>v tabulce č. 12 je ve všech položkách v souladu s modelací Ministerstva zdravotnictví.</w:t>
      </w:r>
    </w:p>
    <w:p w:rsidR="00466108" w:rsidRPr="005F1629" w:rsidRDefault="00466108" w:rsidP="00466108">
      <w:pPr>
        <w:spacing w:after="240"/>
        <w:jc w:val="both"/>
        <w:rPr>
          <w:rFonts w:asciiTheme="minorHAnsi" w:hAnsiTheme="minorHAnsi" w:cs="Arial"/>
          <w:b/>
          <w:sz w:val="28"/>
          <w:szCs w:val="28"/>
          <w:u w:val="single"/>
        </w:rPr>
      </w:pPr>
      <w:r w:rsidRPr="005F1629">
        <w:rPr>
          <w:rFonts w:asciiTheme="minorHAnsi" w:hAnsiTheme="minorHAnsi" w:cs="Arial"/>
          <w:b/>
          <w:sz w:val="28"/>
          <w:szCs w:val="28"/>
          <w:u w:val="single"/>
        </w:rPr>
        <w:t>Závěr</w:t>
      </w:r>
    </w:p>
    <w:p w:rsidR="00466108" w:rsidRDefault="00466108" w:rsidP="00AF782B">
      <w:pPr>
        <w:ind w:firstLine="426"/>
        <w:jc w:val="both"/>
        <w:rPr>
          <w:rFonts w:asciiTheme="minorHAnsi" w:hAnsiTheme="minorHAnsi" w:cs="Arial"/>
          <w:b/>
        </w:rPr>
      </w:pPr>
      <w:r w:rsidRPr="005F1629">
        <w:rPr>
          <w:rFonts w:asciiTheme="minorHAnsi" w:hAnsiTheme="minorHAnsi" w:cs="Arial"/>
          <w:b/>
        </w:rPr>
        <w:t>Z obdržených podkladů lze soudit, že návrh ZPP 2014 Revírní bratrské poklad</w:t>
      </w:r>
      <w:r w:rsidR="004D464E" w:rsidRPr="005F1629">
        <w:rPr>
          <w:rFonts w:asciiTheme="minorHAnsi" w:hAnsiTheme="minorHAnsi" w:cs="Arial"/>
          <w:b/>
        </w:rPr>
        <w:t>n</w:t>
      </w:r>
      <w:r w:rsidRPr="005F1629">
        <w:rPr>
          <w:rFonts w:asciiTheme="minorHAnsi" w:hAnsiTheme="minorHAnsi" w:cs="Arial"/>
          <w:b/>
        </w:rPr>
        <w:t xml:space="preserve">y, zdravotní pojišťovny je v souladu s právními předpisy a veřejným zájmem. </w:t>
      </w:r>
      <w:r w:rsidR="00945D34" w:rsidRPr="005F1629">
        <w:rPr>
          <w:rFonts w:asciiTheme="minorHAnsi" w:hAnsiTheme="minorHAnsi" w:cs="Arial"/>
          <w:b/>
        </w:rPr>
        <w:t>Ministerstvo zdravotnictví a Ministerstvo financí doporučují vládě ČR předložit tento návrh Poslanecké sněmovně Parlamentu České republiky k projednání s návrhem na jeho schválení.</w:t>
      </w:r>
    </w:p>
    <w:p w:rsidR="002B6E5A" w:rsidRPr="002B6E5A" w:rsidRDefault="002B6E5A" w:rsidP="002B6E5A">
      <w:pPr>
        <w:ind w:firstLine="426"/>
        <w:jc w:val="both"/>
        <w:rPr>
          <w:rFonts w:asciiTheme="minorHAnsi" w:hAnsiTheme="minorHAnsi"/>
        </w:rPr>
      </w:pPr>
    </w:p>
    <w:sectPr w:rsidR="002B6E5A" w:rsidRPr="002B6E5A" w:rsidSect="00E9524C">
      <w:footerReference w:type="even" r:id="rId22"/>
      <w:footerReference w:type="default" r:id="rId23"/>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27E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BDC" w:rsidRDefault="00492BDC">
      <w:r>
        <w:separator/>
      </w:r>
    </w:p>
  </w:endnote>
  <w:endnote w:type="continuationSeparator" w:id="0">
    <w:p w:rsidR="00492BDC" w:rsidRDefault="00492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E3" w:rsidRDefault="00B670AF" w:rsidP="0001370E">
    <w:pPr>
      <w:pStyle w:val="Zpat"/>
      <w:framePr w:wrap="around" w:vAnchor="text" w:hAnchor="margin" w:xAlign="right" w:y="1"/>
      <w:rPr>
        <w:rStyle w:val="slostrnky"/>
      </w:rPr>
    </w:pPr>
    <w:r>
      <w:rPr>
        <w:rStyle w:val="slostrnky"/>
      </w:rPr>
      <w:fldChar w:fldCharType="begin"/>
    </w:r>
    <w:r w:rsidR="00B25BE3">
      <w:rPr>
        <w:rStyle w:val="slostrnky"/>
      </w:rPr>
      <w:instrText xml:space="preserve">PAGE  </w:instrText>
    </w:r>
    <w:r>
      <w:rPr>
        <w:rStyle w:val="slostrnky"/>
      </w:rPr>
      <w:fldChar w:fldCharType="end"/>
    </w:r>
  </w:p>
  <w:p w:rsidR="00B25BE3" w:rsidRDefault="00B25BE3" w:rsidP="00B71F39">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E3" w:rsidRDefault="00B670AF" w:rsidP="008263FB">
    <w:pPr>
      <w:pStyle w:val="Zpat"/>
      <w:framePr w:wrap="around" w:vAnchor="text" w:hAnchor="page" w:x="5739" w:y="-27"/>
      <w:rPr>
        <w:rStyle w:val="slostrnky"/>
      </w:rPr>
    </w:pPr>
    <w:r>
      <w:rPr>
        <w:rStyle w:val="slostrnky"/>
      </w:rPr>
      <w:fldChar w:fldCharType="begin"/>
    </w:r>
    <w:r w:rsidR="00B25BE3">
      <w:rPr>
        <w:rStyle w:val="slostrnky"/>
      </w:rPr>
      <w:instrText xml:space="preserve">PAGE  </w:instrText>
    </w:r>
    <w:r>
      <w:rPr>
        <w:rStyle w:val="slostrnky"/>
      </w:rPr>
      <w:fldChar w:fldCharType="separate"/>
    </w:r>
    <w:r w:rsidR="00B352BD">
      <w:rPr>
        <w:rStyle w:val="slostrnky"/>
        <w:noProof/>
      </w:rPr>
      <w:t>56</w:t>
    </w:r>
    <w:r>
      <w:rPr>
        <w:rStyle w:val="slostrnky"/>
      </w:rPr>
      <w:fldChar w:fldCharType="end"/>
    </w:r>
  </w:p>
  <w:p w:rsidR="00B25BE3" w:rsidRDefault="00B25BE3" w:rsidP="008263FB">
    <w:pPr>
      <w:pStyle w:val="Zpat"/>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BDC" w:rsidRDefault="00492BDC">
      <w:r>
        <w:separator/>
      </w:r>
    </w:p>
  </w:footnote>
  <w:footnote w:type="continuationSeparator" w:id="0">
    <w:p w:rsidR="00492BDC" w:rsidRDefault="00492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90.7pt" o:bullet="t">
        <v:imagedata r:id="rId1" o:title="háček - žlutý"/>
      </v:shape>
    </w:pict>
  </w:numPicBullet>
  <w:abstractNum w:abstractNumId="0">
    <w:nsid w:val="00000002"/>
    <w:multiLevelType w:val="singleLevel"/>
    <w:tmpl w:val="00000002"/>
    <w:lvl w:ilvl="0">
      <w:start w:val="1"/>
      <w:numFmt w:val="decimal"/>
      <w:lvlText w:val="%1."/>
      <w:lvlJc w:val="left"/>
      <w:pPr>
        <w:tabs>
          <w:tab w:val="num" w:pos="0"/>
        </w:tabs>
        <w:ind w:left="502" w:hanging="360"/>
      </w:pPr>
      <w:rPr>
        <w:color w:val="auto"/>
      </w:rPr>
    </w:lvl>
  </w:abstractNum>
  <w:abstractNum w:abstractNumId="1">
    <w:nsid w:val="09A061CE"/>
    <w:multiLevelType w:val="hybridMultilevel"/>
    <w:tmpl w:val="91F02E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EF6211C"/>
    <w:multiLevelType w:val="hybridMultilevel"/>
    <w:tmpl w:val="B3345742"/>
    <w:lvl w:ilvl="0" w:tplc="5FB2B564">
      <w:numFmt w:val="bullet"/>
      <w:lvlText w:val="•"/>
      <w:lvlJc w:val="left"/>
      <w:pPr>
        <w:ind w:left="1418" w:hanging="705"/>
      </w:pPr>
      <w:rPr>
        <w:rFonts w:ascii="Arial" w:eastAsia="Times New Roman" w:hAnsi="Arial" w:cs="Arial" w:hint="default"/>
      </w:rPr>
    </w:lvl>
    <w:lvl w:ilvl="1" w:tplc="04050003" w:tentative="1">
      <w:start w:val="1"/>
      <w:numFmt w:val="bullet"/>
      <w:lvlText w:val="o"/>
      <w:lvlJc w:val="left"/>
      <w:pPr>
        <w:ind w:left="1793" w:hanging="360"/>
      </w:pPr>
      <w:rPr>
        <w:rFonts w:ascii="Courier New" w:hAnsi="Courier New" w:cs="Courier New" w:hint="default"/>
      </w:rPr>
    </w:lvl>
    <w:lvl w:ilvl="2" w:tplc="04050005" w:tentative="1">
      <w:start w:val="1"/>
      <w:numFmt w:val="bullet"/>
      <w:lvlText w:val=""/>
      <w:lvlJc w:val="left"/>
      <w:pPr>
        <w:ind w:left="2513" w:hanging="360"/>
      </w:pPr>
      <w:rPr>
        <w:rFonts w:ascii="Wingdings" w:hAnsi="Wingdings" w:hint="default"/>
      </w:rPr>
    </w:lvl>
    <w:lvl w:ilvl="3" w:tplc="04050001" w:tentative="1">
      <w:start w:val="1"/>
      <w:numFmt w:val="bullet"/>
      <w:lvlText w:val=""/>
      <w:lvlJc w:val="left"/>
      <w:pPr>
        <w:ind w:left="3233" w:hanging="360"/>
      </w:pPr>
      <w:rPr>
        <w:rFonts w:ascii="Symbol" w:hAnsi="Symbol" w:hint="default"/>
      </w:rPr>
    </w:lvl>
    <w:lvl w:ilvl="4" w:tplc="04050003" w:tentative="1">
      <w:start w:val="1"/>
      <w:numFmt w:val="bullet"/>
      <w:lvlText w:val="o"/>
      <w:lvlJc w:val="left"/>
      <w:pPr>
        <w:ind w:left="3953" w:hanging="360"/>
      </w:pPr>
      <w:rPr>
        <w:rFonts w:ascii="Courier New" w:hAnsi="Courier New" w:cs="Courier New" w:hint="default"/>
      </w:rPr>
    </w:lvl>
    <w:lvl w:ilvl="5" w:tplc="04050005" w:tentative="1">
      <w:start w:val="1"/>
      <w:numFmt w:val="bullet"/>
      <w:lvlText w:val=""/>
      <w:lvlJc w:val="left"/>
      <w:pPr>
        <w:ind w:left="4673" w:hanging="360"/>
      </w:pPr>
      <w:rPr>
        <w:rFonts w:ascii="Wingdings" w:hAnsi="Wingdings" w:hint="default"/>
      </w:rPr>
    </w:lvl>
    <w:lvl w:ilvl="6" w:tplc="04050001" w:tentative="1">
      <w:start w:val="1"/>
      <w:numFmt w:val="bullet"/>
      <w:lvlText w:val=""/>
      <w:lvlJc w:val="left"/>
      <w:pPr>
        <w:ind w:left="5393" w:hanging="360"/>
      </w:pPr>
      <w:rPr>
        <w:rFonts w:ascii="Symbol" w:hAnsi="Symbol" w:hint="default"/>
      </w:rPr>
    </w:lvl>
    <w:lvl w:ilvl="7" w:tplc="04050003" w:tentative="1">
      <w:start w:val="1"/>
      <w:numFmt w:val="bullet"/>
      <w:lvlText w:val="o"/>
      <w:lvlJc w:val="left"/>
      <w:pPr>
        <w:ind w:left="6113" w:hanging="360"/>
      </w:pPr>
      <w:rPr>
        <w:rFonts w:ascii="Courier New" w:hAnsi="Courier New" w:cs="Courier New" w:hint="default"/>
      </w:rPr>
    </w:lvl>
    <w:lvl w:ilvl="8" w:tplc="04050005" w:tentative="1">
      <w:start w:val="1"/>
      <w:numFmt w:val="bullet"/>
      <w:lvlText w:val=""/>
      <w:lvlJc w:val="left"/>
      <w:pPr>
        <w:ind w:left="6833" w:hanging="360"/>
      </w:pPr>
      <w:rPr>
        <w:rFonts w:ascii="Wingdings" w:hAnsi="Wingdings" w:hint="default"/>
      </w:rPr>
    </w:lvl>
  </w:abstractNum>
  <w:abstractNum w:abstractNumId="3">
    <w:nsid w:val="131E0DBB"/>
    <w:multiLevelType w:val="hybridMultilevel"/>
    <w:tmpl w:val="59A21B7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705228"/>
    <w:multiLevelType w:val="multilevel"/>
    <w:tmpl w:val="776E2FD2"/>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CA34ED"/>
    <w:multiLevelType w:val="hybridMultilevel"/>
    <w:tmpl w:val="6B864A7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91C7759"/>
    <w:multiLevelType w:val="hybridMultilevel"/>
    <w:tmpl w:val="A12238F0"/>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nsid w:val="26C04196"/>
    <w:multiLevelType w:val="hybridMultilevel"/>
    <w:tmpl w:val="6CB82848"/>
    <w:lvl w:ilvl="0" w:tplc="7BF4D352">
      <w:start w:val="1"/>
      <w:numFmt w:val="decimal"/>
      <w:lvlText w:val="%1."/>
      <w:lvlJc w:val="left"/>
      <w:pPr>
        <w:ind w:left="502" w:hanging="360"/>
      </w:pPr>
      <w:rPr>
        <w:rFonts w:ascii="Arial" w:eastAsia="Times New Roman"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F037B0"/>
    <w:multiLevelType w:val="hybridMultilevel"/>
    <w:tmpl w:val="33E2D44E"/>
    <w:lvl w:ilvl="0" w:tplc="7910D41A">
      <w:start w:val="4"/>
      <w:numFmt w:val="bullet"/>
      <w:pStyle w:val="Bezmezer"/>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94D0829"/>
    <w:multiLevelType w:val="hybridMultilevel"/>
    <w:tmpl w:val="9A704D3E"/>
    <w:lvl w:ilvl="0" w:tplc="0D26D98C">
      <w:start w:val="1"/>
      <w:numFmt w:val="decimal"/>
      <w:lvlText w:val="%1."/>
      <w:lvlJc w:val="left"/>
      <w:pPr>
        <w:tabs>
          <w:tab w:val="num" w:pos="720"/>
        </w:tabs>
        <w:ind w:left="720" w:hanging="360"/>
      </w:pPr>
      <w:rPr>
        <w:rFonts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E3A6DAA"/>
    <w:multiLevelType w:val="hybridMultilevel"/>
    <w:tmpl w:val="C576D5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EBE361F"/>
    <w:multiLevelType w:val="hybridMultilevel"/>
    <w:tmpl w:val="3D94BF48"/>
    <w:lvl w:ilvl="0" w:tplc="A4361F64">
      <w:start w:val="1"/>
      <w:numFmt w:val="bullet"/>
      <w:pStyle w:val="StylZaorkou6b"/>
      <w:lvlText w:val="o"/>
      <w:lvlJc w:val="left"/>
      <w:pPr>
        <w:ind w:left="720" w:hanging="360"/>
      </w:pPr>
      <w:rPr>
        <w:rFonts w:ascii="Courier New" w:hAnsi="Courier New" w:cs="Courier New"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7A249D"/>
    <w:multiLevelType w:val="multilevel"/>
    <w:tmpl w:val="865622FC"/>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1935B2C"/>
    <w:multiLevelType w:val="hybridMultilevel"/>
    <w:tmpl w:val="21980B7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47877B2"/>
    <w:multiLevelType w:val="multilevel"/>
    <w:tmpl w:val="865622FC"/>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B838B4"/>
    <w:multiLevelType w:val="hybridMultilevel"/>
    <w:tmpl w:val="FF46D5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B4DEE"/>
    <w:multiLevelType w:val="hybridMultilevel"/>
    <w:tmpl w:val="AF387F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C965BA1"/>
    <w:multiLevelType w:val="singleLevel"/>
    <w:tmpl w:val="CF987F42"/>
    <w:lvl w:ilvl="0">
      <w:start w:val="1"/>
      <w:numFmt w:val="decimal"/>
      <w:lvlText w:val="%1."/>
      <w:lvlJc w:val="left"/>
      <w:pPr>
        <w:tabs>
          <w:tab w:val="num" w:pos="0"/>
        </w:tabs>
        <w:ind w:left="502" w:hanging="360"/>
      </w:pPr>
      <w:rPr>
        <w:b w:val="0"/>
        <w:color w:val="auto"/>
      </w:rPr>
    </w:lvl>
  </w:abstractNum>
  <w:abstractNum w:abstractNumId="18">
    <w:nsid w:val="52303FE4"/>
    <w:multiLevelType w:val="hybridMultilevel"/>
    <w:tmpl w:val="6A407B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752816"/>
    <w:multiLevelType w:val="multilevel"/>
    <w:tmpl w:val="80805782"/>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3300F52"/>
    <w:multiLevelType w:val="hybridMultilevel"/>
    <w:tmpl w:val="C718960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55D63B4D"/>
    <w:multiLevelType w:val="hybridMultilevel"/>
    <w:tmpl w:val="2886207A"/>
    <w:lvl w:ilvl="0" w:tplc="1066578A">
      <w:start w:val="1"/>
      <w:numFmt w:val="decimal"/>
      <w:lvlText w:val="%1."/>
      <w:lvlJc w:val="left"/>
      <w:pPr>
        <w:tabs>
          <w:tab w:val="num" w:pos="720"/>
        </w:tabs>
        <w:ind w:left="720" w:hanging="360"/>
      </w:pPr>
      <w:rPr>
        <w:rFonts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AF13C8"/>
    <w:multiLevelType w:val="hybridMultilevel"/>
    <w:tmpl w:val="03726AE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A7219CB"/>
    <w:multiLevelType w:val="multilevel"/>
    <w:tmpl w:val="80805782"/>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C2B1618"/>
    <w:multiLevelType w:val="hybridMultilevel"/>
    <w:tmpl w:val="DA102952"/>
    <w:lvl w:ilvl="0" w:tplc="87E279C8">
      <w:start w:val="1"/>
      <w:numFmt w:val="decimal"/>
      <w:lvlText w:val="%1."/>
      <w:lvlJc w:val="left"/>
      <w:pPr>
        <w:ind w:left="502" w:hanging="360"/>
      </w:pPr>
      <w:rPr>
        <w:rFonts w:ascii="Arial" w:eastAsia="Times New Roman" w:hAnsi="Arial" w:cs="Arial"/>
        <w:color w:val="auto"/>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5">
    <w:nsid w:val="6101343D"/>
    <w:multiLevelType w:val="hybridMultilevel"/>
    <w:tmpl w:val="67A20870"/>
    <w:lvl w:ilvl="0" w:tplc="03F2A59A">
      <w:start w:val="1"/>
      <w:numFmt w:val="decimal"/>
      <w:lvlText w:val="%1."/>
      <w:lvlJc w:val="left"/>
      <w:pPr>
        <w:ind w:left="502" w:hanging="360"/>
      </w:pPr>
      <w:rPr>
        <w:rFonts w:ascii="Arial" w:eastAsia="Times New Roman"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BE7FB1"/>
    <w:multiLevelType w:val="hybridMultilevel"/>
    <w:tmpl w:val="9F12119C"/>
    <w:lvl w:ilvl="0" w:tplc="E29E654C">
      <w:start w:val="1"/>
      <w:numFmt w:val="upperLetter"/>
      <w:pStyle w:val="Nadpis3"/>
      <w:lvlText w:val="%1)"/>
      <w:lvlJc w:val="left"/>
      <w:pPr>
        <w:tabs>
          <w:tab w:val="num" w:pos="900"/>
        </w:tabs>
        <w:ind w:left="900" w:hanging="360"/>
      </w:pPr>
      <w:rPr>
        <w:rFonts w:hint="default"/>
      </w:rPr>
    </w:lvl>
    <w:lvl w:ilvl="1" w:tplc="0405000F">
      <w:start w:val="1"/>
      <w:numFmt w:val="decimal"/>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7">
    <w:nsid w:val="69372581"/>
    <w:multiLevelType w:val="hybridMultilevel"/>
    <w:tmpl w:val="208268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9C871D1"/>
    <w:multiLevelType w:val="hybridMultilevel"/>
    <w:tmpl w:val="50D8D256"/>
    <w:lvl w:ilvl="0" w:tplc="7DA818E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837CC1"/>
    <w:multiLevelType w:val="hybridMultilevel"/>
    <w:tmpl w:val="DA102952"/>
    <w:lvl w:ilvl="0" w:tplc="87E279C8">
      <w:start w:val="1"/>
      <w:numFmt w:val="decimal"/>
      <w:lvlText w:val="%1."/>
      <w:lvlJc w:val="left"/>
      <w:pPr>
        <w:ind w:left="360" w:hanging="360"/>
      </w:pPr>
      <w:rPr>
        <w:rFonts w:ascii="Arial" w:eastAsia="Times New Roman" w:hAnsi="Arial" w:cs="Arial"/>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26"/>
  </w:num>
  <w:num w:numId="2">
    <w:abstractNumId w:val="21"/>
  </w:num>
  <w:num w:numId="3">
    <w:abstractNumId w:val="20"/>
  </w:num>
  <w:num w:numId="4">
    <w:abstractNumId w:val="15"/>
  </w:num>
  <w:num w:numId="5">
    <w:abstractNumId w:val="6"/>
  </w:num>
  <w:num w:numId="6">
    <w:abstractNumId w:val="27"/>
  </w:num>
  <w:num w:numId="7">
    <w:abstractNumId w:val="5"/>
  </w:num>
  <w:num w:numId="8">
    <w:abstractNumId w:val="16"/>
  </w:num>
  <w:num w:numId="9">
    <w:abstractNumId w:val="10"/>
  </w:num>
  <w:num w:numId="10">
    <w:abstractNumId w:val="3"/>
  </w:num>
  <w:num w:numId="11">
    <w:abstractNumId w:val="22"/>
  </w:num>
  <w:num w:numId="12">
    <w:abstractNumId w:val="9"/>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2"/>
  </w:num>
  <w:num w:numId="18">
    <w:abstractNumId w:val="23"/>
  </w:num>
  <w:num w:numId="19">
    <w:abstractNumId w:val="19"/>
  </w:num>
  <w:num w:numId="20">
    <w:abstractNumId w:val="8"/>
  </w:num>
  <w:num w:numId="21">
    <w:abstractNumId w:val="28"/>
  </w:num>
  <w:num w:numId="22">
    <w:abstractNumId w:val="11"/>
  </w:num>
  <w:num w:numId="23">
    <w:abstractNumId w:val="2"/>
  </w:num>
  <w:num w:numId="24">
    <w:abstractNumId w:val="1"/>
  </w:num>
  <w:num w:numId="25">
    <w:abstractNumId w:val="24"/>
  </w:num>
  <w:num w:numId="26">
    <w:abstractNumId w:val="0"/>
  </w:num>
  <w:num w:numId="27">
    <w:abstractNumId w:val="29"/>
  </w:num>
  <w:num w:numId="28">
    <w:abstractNumId w:val="17"/>
  </w:num>
  <w:num w:numId="29">
    <w:abstractNumId w:val="7"/>
  </w:num>
  <w:num w:numId="3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ína Žílová">
    <w15:presenceInfo w15:providerId="Windows Live" w15:userId="38e086c66f987c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trackRevisions/>
  <w:defaultTabStop w:val="708"/>
  <w:hyphenationZone w:val="425"/>
  <w:characterSpacingControl w:val="doNotCompress"/>
  <w:footnotePr>
    <w:footnote w:id="-1"/>
    <w:footnote w:id="0"/>
  </w:footnotePr>
  <w:endnotePr>
    <w:endnote w:id="-1"/>
    <w:endnote w:id="0"/>
  </w:endnotePr>
  <w:compat/>
  <w:rsids>
    <w:rsidRoot w:val="009E0E38"/>
    <w:rsid w:val="00003062"/>
    <w:rsid w:val="000040BF"/>
    <w:rsid w:val="000113F6"/>
    <w:rsid w:val="0001370E"/>
    <w:rsid w:val="0002463C"/>
    <w:rsid w:val="00033CFD"/>
    <w:rsid w:val="00033F81"/>
    <w:rsid w:val="000350AC"/>
    <w:rsid w:val="00037ABA"/>
    <w:rsid w:val="00041BF1"/>
    <w:rsid w:val="0004540D"/>
    <w:rsid w:val="00046D85"/>
    <w:rsid w:val="00047929"/>
    <w:rsid w:val="00050082"/>
    <w:rsid w:val="0005066A"/>
    <w:rsid w:val="000506FB"/>
    <w:rsid w:val="000518D9"/>
    <w:rsid w:val="00055685"/>
    <w:rsid w:val="00061231"/>
    <w:rsid w:val="00067214"/>
    <w:rsid w:val="00071357"/>
    <w:rsid w:val="000818D6"/>
    <w:rsid w:val="00091F3B"/>
    <w:rsid w:val="00095888"/>
    <w:rsid w:val="000A3A42"/>
    <w:rsid w:val="000B5229"/>
    <w:rsid w:val="000B6EFE"/>
    <w:rsid w:val="000C0E44"/>
    <w:rsid w:val="000C54FD"/>
    <w:rsid w:val="000D1B0B"/>
    <w:rsid w:val="000D4027"/>
    <w:rsid w:val="000E2FE9"/>
    <w:rsid w:val="000E74F9"/>
    <w:rsid w:val="000E7BD1"/>
    <w:rsid w:val="00105EDC"/>
    <w:rsid w:val="001115DB"/>
    <w:rsid w:val="00112D7B"/>
    <w:rsid w:val="001170FA"/>
    <w:rsid w:val="00132823"/>
    <w:rsid w:val="00136409"/>
    <w:rsid w:val="001373AE"/>
    <w:rsid w:val="00144957"/>
    <w:rsid w:val="001449BE"/>
    <w:rsid w:val="00153F86"/>
    <w:rsid w:val="001716D4"/>
    <w:rsid w:val="00171E69"/>
    <w:rsid w:val="00173DBB"/>
    <w:rsid w:val="00175364"/>
    <w:rsid w:val="00175DDE"/>
    <w:rsid w:val="00177A1C"/>
    <w:rsid w:val="0018172A"/>
    <w:rsid w:val="00187FF1"/>
    <w:rsid w:val="001922E6"/>
    <w:rsid w:val="001B2A68"/>
    <w:rsid w:val="001B4253"/>
    <w:rsid w:val="001C28C6"/>
    <w:rsid w:val="001C36AC"/>
    <w:rsid w:val="001D3F38"/>
    <w:rsid w:val="001D6186"/>
    <w:rsid w:val="001E0C88"/>
    <w:rsid w:val="001E11FD"/>
    <w:rsid w:val="001E1CEA"/>
    <w:rsid w:val="001E3E84"/>
    <w:rsid w:val="001F0A28"/>
    <w:rsid w:val="001F1038"/>
    <w:rsid w:val="001F46B5"/>
    <w:rsid w:val="001F535F"/>
    <w:rsid w:val="00207D5B"/>
    <w:rsid w:val="00216F4B"/>
    <w:rsid w:val="002324F0"/>
    <w:rsid w:val="00233A4A"/>
    <w:rsid w:val="00233E14"/>
    <w:rsid w:val="00237EDC"/>
    <w:rsid w:val="00240C0A"/>
    <w:rsid w:val="00246A3D"/>
    <w:rsid w:val="00250E7B"/>
    <w:rsid w:val="00253587"/>
    <w:rsid w:val="00254D6D"/>
    <w:rsid w:val="0026535F"/>
    <w:rsid w:val="0027285B"/>
    <w:rsid w:val="002731D7"/>
    <w:rsid w:val="0027651B"/>
    <w:rsid w:val="0028149A"/>
    <w:rsid w:val="002910FD"/>
    <w:rsid w:val="002920C8"/>
    <w:rsid w:val="002934E1"/>
    <w:rsid w:val="002A1B15"/>
    <w:rsid w:val="002A39AF"/>
    <w:rsid w:val="002B448D"/>
    <w:rsid w:val="002B5833"/>
    <w:rsid w:val="002B6E5A"/>
    <w:rsid w:val="002C06AA"/>
    <w:rsid w:val="002D002F"/>
    <w:rsid w:val="002D207A"/>
    <w:rsid w:val="002E078B"/>
    <w:rsid w:val="002F0139"/>
    <w:rsid w:val="00302527"/>
    <w:rsid w:val="003034C5"/>
    <w:rsid w:val="00313FF0"/>
    <w:rsid w:val="00314E5A"/>
    <w:rsid w:val="00316DBF"/>
    <w:rsid w:val="00320C36"/>
    <w:rsid w:val="003216F1"/>
    <w:rsid w:val="00333500"/>
    <w:rsid w:val="00334417"/>
    <w:rsid w:val="00342873"/>
    <w:rsid w:val="0034709A"/>
    <w:rsid w:val="00353C12"/>
    <w:rsid w:val="00355933"/>
    <w:rsid w:val="00356311"/>
    <w:rsid w:val="00365508"/>
    <w:rsid w:val="00373AC2"/>
    <w:rsid w:val="00376D29"/>
    <w:rsid w:val="00381DF0"/>
    <w:rsid w:val="003973E8"/>
    <w:rsid w:val="003A37F4"/>
    <w:rsid w:val="003A7605"/>
    <w:rsid w:val="003B1797"/>
    <w:rsid w:val="003B185B"/>
    <w:rsid w:val="003B2CE1"/>
    <w:rsid w:val="003C5527"/>
    <w:rsid w:val="003D0A60"/>
    <w:rsid w:val="003D19FD"/>
    <w:rsid w:val="003D365D"/>
    <w:rsid w:val="003D45F8"/>
    <w:rsid w:val="003D67E4"/>
    <w:rsid w:val="004007F2"/>
    <w:rsid w:val="004102FD"/>
    <w:rsid w:val="00412655"/>
    <w:rsid w:val="00414AD3"/>
    <w:rsid w:val="00420E79"/>
    <w:rsid w:val="00422F76"/>
    <w:rsid w:val="00427E69"/>
    <w:rsid w:val="00430EB2"/>
    <w:rsid w:val="00431EA1"/>
    <w:rsid w:val="00434DB1"/>
    <w:rsid w:val="00435747"/>
    <w:rsid w:val="004400C4"/>
    <w:rsid w:val="00442881"/>
    <w:rsid w:val="004432A1"/>
    <w:rsid w:val="004458DD"/>
    <w:rsid w:val="004627AB"/>
    <w:rsid w:val="00464348"/>
    <w:rsid w:val="004658E0"/>
    <w:rsid w:val="00466108"/>
    <w:rsid w:val="00472812"/>
    <w:rsid w:val="00483C75"/>
    <w:rsid w:val="004872B2"/>
    <w:rsid w:val="004875B8"/>
    <w:rsid w:val="00492BDC"/>
    <w:rsid w:val="00495850"/>
    <w:rsid w:val="00496BB3"/>
    <w:rsid w:val="004A096D"/>
    <w:rsid w:val="004B2835"/>
    <w:rsid w:val="004B5140"/>
    <w:rsid w:val="004B7948"/>
    <w:rsid w:val="004C1668"/>
    <w:rsid w:val="004C3398"/>
    <w:rsid w:val="004C76EF"/>
    <w:rsid w:val="004D464E"/>
    <w:rsid w:val="004E5BF1"/>
    <w:rsid w:val="004F4EAE"/>
    <w:rsid w:val="004F5532"/>
    <w:rsid w:val="004F6633"/>
    <w:rsid w:val="005014C9"/>
    <w:rsid w:val="00503B50"/>
    <w:rsid w:val="00503B61"/>
    <w:rsid w:val="00505289"/>
    <w:rsid w:val="005111C5"/>
    <w:rsid w:val="0051310A"/>
    <w:rsid w:val="00513314"/>
    <w:rsid w:val="00517293"/>
    <w:rsid w:val="00517313"/>
    <w:rsid w:val="0052505D"/>
    <w:rsid w:val="00532728"/>
    <w:rsid w:val="005357D1"/>
    <w:rsid w:val="00537B8A"/>
    <w:rsid w:val="00542812"/>
    <w:rsid w:val="00553365"/>
    <w:rsid w:val="0055689C"/>
    <w:rsid w:val="005630A3"/>
    <w:rsid w:val="00570B61"/>
    <w:rsid w:val="00571B83"/>
    <w:rsid w:val="0057571B"/>
    <w:rsid w:val="00583109"/>
    <w:rsid w:val="005861E1"/>
    <w:rsid w:val="00594B52"/>
    <w:rsid w:val="005A104B"/>
    <w:rsid w:val="005A2671"/>
    <w:rsid w:val="005A357D"/>
    <w:rsid w:val="005B02E3"/>
    <w:rsid w:val="005B35DF"/>
    <w:rsid w:val="005B49A0"/>
    <w:rsid w:val="005C046B"/>
    <w:rsid w:val="005D1D21"/>
    <w:rsid w:val="005D7D5B"/>
    <w:rsid w:val="005E08FD"/>
    <w:rsid w:val="005E675E"/>
    <w:rsid w:val="005F01D9"/>
    <w:rsid w:val="005F12E9"/>
    <w:rsid w:val="005F1629"/>
    <w:rsid w:val="005F4F17"/>
    <w:rsid w:val="00605457"/>
    <w:rsid w:val="0061727A"/>
    <w:rsid w:val="006448C2"/>
    <w:rsid w:val="00647840"/>
    <w:rsid w:val="006541F7"/>
    <w:rsid w:val="00655B28"/>
    <w:rsid w:val="006570DF"/>
    <w:rsid w:val="00663BB4"/>
    <w:rsid w:val="006647B8"/>
    <w:rsid w:val="00671B2E"/>
    <w:rsid w:val="00673577"/>
    <w:rsid w:val="00675A51"/>
    <w:rsid w:val="006768E7"/>
    <w:rsid w:val="006836EE"/>
    <w:rsid w:val="006856B1"/>
    <w:rsid w:val="0069032B"/>
    <w:rsid w:val="00692691"/>
    <w:rsid w:val="006963B3"/>
    <w:rsid w:val="00696ABD"/>
    <w:rsid w:val="006A4E3D"/>
    <w:rsid w:val="006A62E0"/>
    <w:rsid w:val="006B703F"/>
    <w:rsid w:val="006B7F72"/>
    <w:rsid w:val="006C7E85"/>
    <w:rsid w:val="006D4528"/>
    <w:rsid w:val="006D4F4F"/>
    <w:rsid w:val="006E2147"/>
    <w:rsid w:val="006E4729"/>
    <w:rsid w:val="006E50AB"/>
    <w:rsid w:val="006E5B4B"/>
    <w:rsid w:val="006F032C"/>
    <w:rsid w:val="006F5350"/>
    <w:rsid w:val="006F58C9"/>
    <w:rsid w:val="00706E54"/>
    <w:rsid w:val="00707B79"/>
    <w:rsid w:val="00710AC6"/>
    <w:rsid w:val="0071117C"/>
    <w:rsid w:val="0072353C"/>
    <w:rsid w:val="00723627"/>
    <w:rsid w:val="00736F07"/>
    <w:rsid w:val="007439BB"/>
    <w:rsid w:val="007470F1"/>
    <w:rsid w:val="0074722E"/>
    <w:rsid w:val="00752AE3"/>
    <w:rsid w:val="00763F49"/>
    <w:rsid w:val="007814E4"/>
    <w:rsid w:val="00785D9F"/>
    <w:rsid w:val="007A04EF"/>
    <w:rsid w:val="007A1BC0"/>
    <w:rsid w:val="007A3140"/>
    <w:rsid w:val="007B2C0E"/>
    <w:rsid w:val="007C1F74"/>
    <w:rsid w:val="007C5D12"/>
    <w:rsid w:val="007C7793"/>
    <w:rsid w:val="007D11D5"/>
    <w:rsid w:val="007D2507"/>
    <w:rsid w:val="007F510C"/>
    <w:rsid w:val="00803937"/>
    <w:rsid w:val="0081508F"/>
    <w:rsid w:val="00823001"/>
    <w:rsid w:val="00823AEC"/>
    <w:rsid w:val="008263FB"/>
    <w:rsid w:val="008328B3"/>
    <w:rsid w:val="00835063"/>
    <w:rsid w:val="0083705E"/>
    <w:rsid w:val="00843D81"/>
    <w:rsid w:val="00846754"/>
    <w:rsid w:val="00846D16"/>
    <w:rsid w:val="008477CF"/>
    <w:rsid w:val="0085054B"/>
    <w:rsid w:val="00852168"/>
    <w:rsid w:val="00855A6A"/>
    <w:rsid w:val="0085736F"/>
    <w:rsid w:val="00880A62"/>
    <w:rsid w:val="008828D9"/>
    <w:rsid w:val="008845A1"/>
    <w:rsid w:val="00886BEC"/>
    <w:rsid w:val="008870DF"/>
    <w:rsid w:val="008916D7"/>
    <w:rsid w:val="00897F05"/>
    <w:rsid w:val="008A1AAD"/>
    <w:rsid w:val="008A3731"/>
    <w:rsid w:val="008A3A24"/>
    <w:rsid w:val="008B46E5"/>
    <w:rsid w:val="008B5C00"/>
    <w:rsid w:val="008B7413"/>
    <w:rsid w:val="008C4E02"/>
    <w:rsid w:val="008C60BE"/>
    <w:rsid w:val="008C7E91"/>
    <w:rsid w:val="008D08A1"/>
    <w:rsid w:val="008D1220"/>
    <w:rsid w:val="008D2B37"/>
    <w:rsid w:val="008D51D8"/>
    <w:rsid w:val="008F20B0"/>
    <w:rsid w:val="008F47F2"/>
    <w:rsid w:val="00901785"/>
    <w:rsid w:val="00902AE3"/>
    <w:rsid w:val="00902E7C"/>
    <w:rsid w:val="00910E31"/>
    <w:rsid w:val="009139B3"/>
    <w:rsid w:val="00913A08"/>
    <w:rsid w:val="00920DEF"/>
    <w:rsid w:val="009303F2"/>
    <w:rsid w:val="00930A91"/>
    <w:rsid w:val="00936809"/>
    <w:rsid w:val="00942809"/>
    <w:rsid w:val="00945D34"/>
    <w:rsid w:val="0094682D"/>
    <w:rsid w:val="00950D68"/>
    <w:rsid w:val="00952D8F"/>
    <w:rsid w:val="00954168"/>
    <w:rsid w:val="0095701D"/>
    <w:rsid w:val="00961A3D"/>
    <w:rsid w:val="00966991"/>
    <w:rsid w:val="00977D18"/>
    <w:rsid w:val="00991E1D"/>
    <w:rsid w:val="00992EB2"/>
    <w:rsid w:val="00996FD4"/>
    <w:rsid w:val="009A240B"/>
    <w:rsid w:val="009B29AC"/>
    <w:rsid w:val="009B310E"/>
    <w:rsid w:val="009C223E"/>
    <w:rsid w:val="009C3190"/>
    <w:rsid w:val="009C5EFD"/>
    <w:rsid w:val="009C6201"/>
    <w:rsid w:val="009D4A66"/>
    <w:rsid w:val="009D68EF"/>
    <w:rsid w:val="009E0E38"/>
    <w:rsid w:val="009F5028"/>
    <w:rsid w:val="00A001F3"/>
    <w:rsid w:val="00A0098C"/>
    <w:rsid w:val="00A04661"/>
    <w:rsid w:val="00A070B6"/>
    <w:rsid w:val="00A07732"/>
    <w:rsid w:val="00A1046A"/>
    <w:rsid w:val="00A10E5F"/>
    <w:rsid w:val="00A10F35"/>
    <w:rsid w:val="00A118C6"/>
    <w:rsid w:val="00A11902"/>
    <w:rsid w:val="00A120D8"/>
    <w:rsid w:val="00A12532"/>
    <w:rsid w:val="00A17C51"/>
    <w:rsid w:val="00A21245"/>
    <w:rsid w:val="00A23007"/>
    <w:rsid w:val="00A30320"/>
    <w:rsid w:val="00A32842"/>
    <w:rsid w:val="00A32B55"/>
    <w:rsid w:val="00A333D7"/>
    <w:rsid w:val="00A377FC"/>
    <w:rsid w:val="00A44492"/>
    <w:rsid w:val="00A56051"/>
    <w:rsid w:val="00A61A96"/>
    <w:rsid w:val="00A628CC"/>
    <w:rsid w:val="00A632BF"/>
    <w:rsid w:val="00A90609"/>
    <w:rsid w:val="00A906D0"/>
    <w:rsid w:val="00A96EBC"/>
    <w:rsid w:val="00AB0A9B"/>
    <w:rsid w:val="00AB352E"/>
    <w:rsid w:val="00AC0892"/>
    <w:rsid w:val="00AC13BB"/>
    <w:rsid w:val="00AC45BF"/>
    <w:rsid w:val="00AD203C"/>
    <w:rsid w:val="00AD4F9B"/>
    <w:rsid w:val="00AE286F"/>
    <w:rsid w:val="00AE42AA"/>
    <w:rsid w:val="00AE4CD2"/>
    <w:rsid w:val="00AF1942"/>
    <w:rsid w:val="00AF2408"/>
    <w:rsid w:val="00AF28D1"/>
    <w:rsid w:val="00AF7181"/>
    <w:rsid w:val="00AF782B"/>
    <w:rsid w:val="00B1735B"/>
    <w:rsid w:val="00B21736"/>
    <w:rsid w:val="00B22F1B"/>
    <w:rsid w:val="00B25BE3"/>
    <w:rsid w:val="00B352BD"/>
    <w:rsid w:val="00B352E5"/>
    <w:rsid w:val="00B378A1"/>
    <w:rsid w:val="00B424FB"/>
    <w:rsid w:val="00B429F5"/>
    <w:rsid w:val="00B47B13"/>
    <w:rsid w:val="00B51066"/>
    <w:rsid w:val="00B54593"/>
    <w:rsid w:val="00B54D7F"/>
    <w:rsid w:val="00B670AF"/>
    <w:rsid w:val="00B7190B"/>
    <w:rsid w:val="00B71F39"/>
    <w:rsid w:val="00B8004F"/>
    <w:rsid w:val="00B8106E"/>
    <w:rsid w:val="00B81121"/>
    <w:rsid w:val="00B819F7"/>
    <w:rsid w:val="00B81B16"/>
    <w:rsid w:val="00B852A9"/>
    <w:rsid w:val="00B87E4F"/>
    <w:rsid w:val="00B90AFC"/>
    <w:rsid w:val="00BA4E7E"/>
    <w:rsid w:val="00BA5BCB"/>
    <w:rsid w:val="00BB0908"/>
    <w:rsid w:val="00BB0D55"/>
    <w:rsid w:val="00BB25AD"/>
    <w:rsid w:val="00BB4563"/>
    <w:rsid w:val="00BB4B68"/>
    <w:rsid w:val="00BB59A2"/>
    <w:rsid w:val="00BC58B4"/>
    <w:rsid w:val="00BC64FD"/>
    <w:rsid w:val="00BD0196"/>
    <w:rsid w:val="00BD0BB3"/>
    <w:rsid w:val="00BD2645"/>
    <w:rsid w:val="00BE4965"/>
    <w:rsid w:val="00BF1B7F"/>
    <w:rsid w:val="00BF76C2"/>
    <w:rsid w:val="00C057CE"/>
    <w:rsid w:val="00C156DF"/>
    <w:rsid w:val="00C15941"/>
    <w:rsid w:val="00C30D24"/>
    <w:rsid w:val="00C33FD5"/>
    <w:rsid w:val="00C37F13"/>
    <w:rsid w:val="00C42C3B"/>
    <w:rsid w:val="00C44C07"/>
    <w:rsid w:val="00C45E41"/>
    <w:rsid w:val="00C46D3E"/>
    <w:rsid w:val="00C55B99"/>
    <w:rsid w:val="00C65526"/>
    <w:rsid w:val="00C671A2"/>
    <w:rsid w:val="00C7351F"/>
    <w:rsid w:val="00C80166"/>
    <w:rsid w:val="00C92201"/>
    <w:rsid w:val="00CA775E"/>
    <w:rsid w:val="00CB1EB2"/>
    <w:rsid w:val="00CC3605"/>
    <w:rsid w:val="00CD1793"/>
    <w:rsid w:val="00CD4752"/>
    <w:rsid w:val="00CD5BD8"/>
    <w:rsid w:val="00CD6906"/>
    <w:rsid w:val="00CD7671"/>
    <w:rsid w:val="00CE35BB"/>
    <w:rsid w:val="00CF7160"/>
    <w:rsid w:val="00D01330"/>
    <w:rsid w:val="00D02DDA"/>
    <w:rsid w:val="00D041C5"/>
    <w:rsid w:val="00D0485D"/>
    <w:rsid w:val="00D056F2"/>
    <w:rsid w:val="00D06CF8"/>
    <w:rsid w:val="00D131E5"/>
    <w:rsid w:val="00D1415D"/>
    <w:rsid w:val="00D15985"/>
    <w:rsid w:val="00D3067A"/>
    <w:rsid w:val="00D308E1"/>
    <w:rsid w:val="00D466BA"/>
    <w:rsid w:val="00D4758C"/>
    <w:rsid w:val="00D6323C"/>
    <w:rsid w:val="00D663FD"/>
    <w:rsid w:val="00D7154F"/>
    <w:rsid w:val="00D72E59"/>
    <w:rsid w:val="00D77E9F"/>
    <w:rsid w:val="00DA2DE9"/>
    <w:rsid w:val="00DA6D0F"/>
    <w:rsid w:val="00DA7C16"/>
    <w:rsid w:val="00DB697C"/>
    <w:rsid w:val="00DD43A1"/>
    <w:rsid w:val="00DD52D9"/>
    <w:rsid w:val="00DD62CF"/>
    <w:rsid w:val="00DE0C41"/>
    <w:rsid w:val="00DE16C3"/>
    <w:rsid w:val="00DE3504"/>
    <w:rsid w:val="00DF0448"/>
    <w:rsid w:val="00DF4A4B"/>
    <w:rsid w:val="00DF6DF0"/>
    <w:rsid w:val="00E0154C"/>
    <w:rsid w:val="00E037F2"/>
    <w:rsid w:val="00E05501"/>
    <w:rsid w:val="00E15F7F"/>
    <w:rsid w:val="00E2400D"/>
    <w:rsid w:val="00E276B6"/>
    <w:rsid w:val="00E32535"/>
    <w:rsid w:val="00E40BF2"/>
    <w:rsid w:val="00E42669"/>
    <w:rsid w:val="00E477F8"/>
    <w:rsid w:val="00E64057"/>
    <w:rsid w:val="00E66CBB"/>
    <w:rsid w:val="00E677DE"/>
    <w:rsid w:val="00E75549"/>
    <w:rsid w:val="00E8191B"/>
    <w:rsid w:val="00E81D9E"/>
    <w:rsid w:val="00E83239"/>
    <w:rsid w:val="00E84515"/>
    <w:rsid w:val="00E8548B"/>
    <w:rsid w:val="00E94740"/>
    <w:rsid w:val="00E9524C"/>
    <w:rsid w:val="00EA4474"/>
    <w:rsid w:val="00EA7BC7"/>
    <w:rsid w:val="00EB1322"/>
    <w:rsid w:val="00EB5C4D"/>
    <w:rsid w:val="00EB6C13"/>
    <w:rsid w:val="00EC340A"/>
    <w:rsid w:val="00EC58C6"/>
    <w:rsid w:val="00ED0FD4"/>
    <w:rsid w:val="00ED42B9"/>
    <w:rsid w:val="00ED683A"/>
    <w:rsid w:val="00ED7F02"/>
    <w:rsid w:val="00EE71F1"/>
    <w:rsid w:val="00EF06C0"/>
    <w:rsid w:val="00EF13CF"/>
    <w:rsid w:val="00EF1A6E"/>
    <w:rsid w:val="00F00860"/>
    <w:rsid w:val="00F10A60"/>
    <w:rsid w:val="00F12155"/>
    <w:rsid w:val="00F14829"/>
    <w:rsid w:val="00F15314"/>
    <w:rsid w:val="00F20591"/>
    <w:rsid w:val="00F22793"/>
    <w:rsid w:val="00F372C1"/>
    <w:rsid w:val="00F376F9"/>
    <w:rsid w:val="00F405F4"/>
    <w:rsid w:val="00F44258"/>
    <w:rsid w:val="00F60835"/>
    <w:rsid w:val="00F62F04"/>
    <w:rsid w:val="00F63F8E"/>
    <w:rsid w:val="00F715F7"/>
    <w:rsid w:val="00F721AC"/>
    <w:rsid w:val="00F74C29"/>
    <w:rsid w:val="00F76ECB"/>
    <w:rsid w:val="00F80F37"/>
    <w:rsid w:val="00F85F51"/>
    <w:rsid w:val="00F86CA9"/>
    <w:rsid w:val="00F86F1E"/>
    <w:rsid w:val="00FA7E15"/>
    <w:rsid w:val="00FA7E41"/>
    <w:rsid w:val="00FB4EF0"/>
    <w:rsid w:val="00FE1808"/>
    <w:rsid w:val="00FF05A6"/>
    <w:rsid w:val="00FF0E49"/>
    <w:rsid w:val="00FF39C2"/>
    <w:rsid w:val="00FF3D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1AC"/>
    <w:rPr>
      <w:sz w:val="24"/>
      <w:szCs w:val="24"/>
    </w:rPr>
  </w:style>
  <w:style w:type="paragraph" w:styleId="Nadpis1">
    <w:name w:val="heading 1"/>
    <w:basedOn w:val="Normln"/>
    <w:next w:val="Normln"/>
    <w:link w:val="Nadpis1Char"/>
    <w:qFormat/>
    <w:rsid w:val="003D365D"/>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B670AF"/>
    <w:pPr>
      <w:keepNext/>
      <w:tabs>
        <w:tab w:val="left" w:pos="360"/>
      </w:tabs>
      <w:jc w:val="both"/>
      <w:outlineLvl w:val="1"/>
    </w:pPr>
    <w:rPr>
      <w:rFonts w:ascii="Arial" w:hAnsi="Arial"/>
      <w:b/>
      <w:bCs/>
      <w:u w:val="single"/>
    </w:rPr>
  </w:style>
  <w:style w:type="paragraph" w:styleId="Nadpis3">
    <w:name w:val="heading 3"/>
    <w:basedOn w:val="Normln"/>
    <w:next w:val="Normln"/>
    <w:qFormat/>
    <w:rsid w:val="00B670AF"/>
    <w:pPr>
      <w:keepNext/>
      <w:numPr>
        <w:numId w:val="1"/>
      </w:numPr>
      <w:tabs>
        <w:tab w:val="left" w:pos="360"/>
      </w:tabs>
      <w:jc w:val="both"/>
      <w:outlineLvl w:val="2"/>
    </w:pPr>
    <w:rPr>
      <w:rFonts w:ascii="Arial" w:hAnsi="Arial"/>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B670AF"/>
    <w:pPr>
      <w:ind w:firstLine="360"/>
      <w:jc w:val="both"/>
    </w:pPr>
    <w:rPr>
      <w:rFonts w:ascii="Arial" w:hAnsi="Arial"/>
    </w:rPr>
  </w:style>
  <w:style w:type="paragraph" w:styleId="Zkladntext3">
    <w:name w:val="Body Text 3"/>
    <w:basedOn w:val="Normln"/>
    <w:link w:val="Zkladntext3Char"/>
    <w:rsid w:val="00B670AF"/>
    <w:pPr>
      <w:tabs>
        <w:tab w:val="left" w:pos="360"/>
      </w:tabs>
      <w:jc w:val="both"/>
    </w:pPr>
    <w:rPr>
      <w:rFonts w:ascii="Arial" w:hAnsi="Arial"/>
      <w:b/>
      <w:bCs/>
    </w:rPr>
  </w:style>
  <w:style w:type="paragraph" w:customStyle="1" w:styleId="Zkladntext21">
    <w:name w:val="Základní text 21"/>
    <w:basedOn w:val="Normln"/>
    <w:rsid w:val="00B670AF"/>
    <w:pPr>
      <w:overflowPunct w:val="0"/>
      <w:autoSpaceDE w:val="0"/>
      <w:autoSpaceDN w:val="0"/>
      <w:adjustRightInd w:val="0"/>
      <w:jc w:val="both"/>
    </w:pPr>
    <w:rPr>
      <w:szCs w:val="20"/>
    </w:rPr>
  </w:style>
  <w:style w:type="paragraph" w:customStyle="1" w:styleId="Rozvrendokumentu1">
    <w:name w:val="Rozvržení dokumentu1"/>
    <w:basedOn w:val="Normln"/>
    <w:semiHidden/>
    <w:rsid w:val="00B670AF"/>
    <w:pPr>
      <w:shd w:val="clear" w:color="auto" w:fill="000080"/>
    </w:pPr>
    <w:rPr>
      <w:rFonts w:ascii="Tahoma" w:hAnsi="Tahoma" w:cs="Tahoma"/>
      <w:sz w:val="20"/>
      <w:szCs w:val="20"/>
    </w:rPr>
  </w:style>
  <w:style w:type="paragraph" w:styleId="Textbubliny">
    <w:name w:val="Balloon Text"/>
    <w:basedOn w:val="Normln"/>
    <w:semiHidden/>
    <w:rsid w:val="009E0E38"/>
    <w:rPr>
      <w:rFonts w:ascii="Tahoma" w:hAnsi="Tahoma" w:cs="Tahoma"/>
      <w:sz w:val="16"/>
      <w:szCs w:val="16"/>
    </w:rPr>
  </w:style>
  <w:style w:type="paragraph" w:styleId="Zpat">
    <w:name w:val="footer"/>
    <w:basedOn w:val="Normln"/>
    <w:link w:val="ZpatChar"/>
    <w:rsid w:val="00B71F39"/>
    <w:pPr>
      <w:tabs>
        <w:tab w:val="center" w:pos="4536"/>
        <w:tab w:val="right" w:pos="9072"/>
      </w:tabs>
    </w:pPr>
  </w:style>
  <w:style w:type="character" w:styleId="slostrnky">
    <w:name w:val="page number"/>
    <w:basedOn w:val="Standardnpsmoodstavce"/>
    <w:rsid w:val="00B71F39"/>
  </w:style>
  <w:style w:type="character" w:customStyle="1" w:styleId="Zkladntext3Char">
    <w:name w:val="Základní text 3 Char"/>
    <w:link w:val="Zkladntext3"/>
    <w:semiHidden/>
    <w:rsid w:val="00483C75"/>
    <w:rPr>
      <w:rFonts w:ascii="Arial" w:hAnsi="Arial"/>
      <w:b/>
      <w:bCs/>
      <w:sz w:val="24"/>
      <w:szCs w:val="24"/>
      <w:lang w:val="cs-CZ" w:eastAsia="cs-CZ" w:bidi="ar-SA"/>
    </w:rPr>
  </w:style>
  <w:style w:type="paragraph" w:customStyle="1" w:styleId="Zkladntext210">
    <w:name w:val="Základní text 21"/>
    <w:basedOn w:val="Normln"/>
    <w:rsid w:val="00483C75"/>
    <w:pPr>
      <w:overflowPunct w:val="0"/>
      <w:autoSpaceDE w:val="0"/>
      <w:autoSpaceDN w:val="0"/>
      <w:adjustRightInd w:val="0"/>
      <w:jc w:val="both"/>
    </w:pPr>
    <w:rPr>
      <w:szCs w:val="20"/>
    </w:rPr>
  </w:style>
  <w:style w:type="paragraph" w:styleId="Zkladntext">
    <w:name w:val="Body Text"/>
    <w:basedOn w:val="Normln"/>
    <w:link w:val="ZkladntextChar"/>
    <w:rsid w:val="003A37F4"/>
    <w:pPr>
      <w:spacing w:after="120"/>
    </w:pPr>
    <w:rPr>
      <w:rFonts w:ascii="Arial" w:hAnsi="Arial"/>
      <w:sz w:val="20"/>
    </w:rPr>
  </w:style>
  <w:style w:type="paragraph" w:styleId="Zkladntext2">
    <w:name w:val="Body Text 2"/>
    <w:basedOn w:val="Normln"/>
    <w:rsid w:val="002A1B15"/>
    <w:pPr>
      <w:spacing w:after="120" w:line="480" w:lineRule="auto"/>
    </w:pPr>
  </w:style>
  <w:style w:type="paragraph" w:customStyle="1" w:styleId="StylStylStyl11bZarovnatdoblokuTimesNewRomanVlevo1">
    <w:name w:val="Styl Styl Styl 11 b. Zarovnat do bloku + Times New Roman + Vlevo: ...1"/>
    <w:basedOn w:val="Normln"/>
    <w:rsid w:val="002934E1"/>
    <w:pPr>
      <w:spacing w:before="40" w:after="40"/>
      <w:jc w:val="both"/>
    </w:pPr>
    <w:rPr>
      <w:rFonts w:ascii="Arial" w:hAnsi="Arial"/>
      <w:sz w:val="22"/>
      <w:szCs w:val="20"/>
    </w:rPr>
  </w:style>
  <w:style w:type="character" w:customStyle="1" w:styleId="Styl11b1">
    <w:name w:val="Styl 11 b.1"/>
    <w:rsid w:val="002934E1"/>
    <w:rPr>
      <w:color w:val="auto"/>
      <w:sz w:val="22"/>
      <w:szCs w:val="22"/>
    </w:rPr>
  </w:style>
  <w:style w:type="paragraph" w:customStyle="1" w:styleId="Hladktext">
    <w:name w:val="Hladký  text"/>
    <w:link w:val="HladktextChar"/>
    <w:rsid w:val="0095701D"/>
    <w:pPr>
      <w:spacing w:line="290" w:lineRule="exact"/>
      <w:jc w:val="both"/>
    </w:pPr>
    <w:rPr>
      <w:rFonts w:ascii="Arial" w:hAnsi="Arial"/>
      <w:sz w:val="24"/>
    </w:rPr>
  </w:style>
  <w:style w:type="character" w:customStyle="1" w:styleId="HladktextChar">
    <w:name w:val="Hladký  text Char"/>
    <w:link w:val="Hladktext"/>
    <w:rsid w:val="0095701D"/>
    <w:rPr>
      <w:rFonts w:ascii="Arial" w:hAnsi="Arial"/>
      <w:sz w:val="24"/>
      <w:lang w:val="cs-CZ" w:eastAsia="cs-CZ" w:bidi="ar-SA"/>
    </w:rPr>
  </w:style>
  <w:style w:type="paragraph" w:customStyle="1" w:styleId="Normodstavec">
    <w:name w:val="Norm_odstavec"/>
    <w:basedOn w:val="Normln"/>
    <w:rsid w:val="0095701D"/>
    <w:pPr>
      <w:tabs>
        <w:tab w:val="left" w:pos="284"/>
        <w:tab w:val="left" w:pos="851"/>
        <w:tab w:val="center" w:pos="6804"/>
        <w:tab w:val="decimal" w:pos="8222"/>
      </w:tabs>
      <w:overflowPunct w:val="0"/>
      <w:autoSpaceDE w:val="0"/>
      <w:autoSpaceDN w:val="0"/>
      <w:adjustRightInd w:val="0"/>
      <w:spacing w:before="240" w:after="40"/>
      <w:jc w:val="both"/>
      <w:textAlignment w:val="baseline"/>
    </w:pPr>
    <w:rPr>
      <w:szCs w:val="20"/>
    </w:rPr>
  </w:style>
  <w:style w:type="paragraph" w:styleId="Zhlav">
    <w:name w:val="header"/>
    <w:basedOn w:val="Normln"/>
    <w:rsid w:val="00E9524C"/>
    <w:pPr>
      <w:tabs>
        <w:tab w:val="center" w:pos="4536"/>
        <w:tab w:val="right" w:pos="9072"/>
      </w:tabs>
    </w:pPr>
  </w:style>
  <w:style w:type="paragraph" w:styleId="Bezmezer">
    <w:name w:val="No Spacing"/>
    <w:aliases w:val="odrážky"/>
    <w:uiPriority w:val="1"/>
    <w:qFormat/>
    <w:rsid w:val="00A10E5F"/>
    <w:pPr>
      <w:numPr>
        <w:numId w:val="20"/>
      </w:numPr>
      <w:spacing w:before="60" w:after="60"/>
      <w:ind w:left="527" w:hanging="357"/>
      <w:jc w:val="both"/>
    </w:pPr>
    <w:rPr>
      <w:rFonts w:ascii="Arial" w:hAnsi="Arial"/>
      <w:color w:val="000000"/>
      <w:sz w:val="22"/>
    </w:rPr>
  </w:style>
  <w:style w:type="paragraph" w:customStyle="1" w:styleId="StylZaorkou6b">
    <w:name w:val="Styl Za:orážkou 6 b."/>
    <w:basedOn w:val="Normln"/>
    <w:qFormat/>
    <w:rsid w:val="002910FD"/>
    <w:pPr>
      <w:numPr>
        <w:numId w:val="22"/>
      </w:numPr>
      <w:spacing w:after="120"/>
      <w:jc w:val="both"/>
    </w:pPr>
    <w:rPr>
      <w:rFonts w:ascii="Arial" w:hAnsi="Arial"/>
      <w:sz w:val="22"/>
      <w:szCs w:val="20"/>
      <w:lang w:eastAsia="en-US" w:bidi="en-US"/>
    </w:rPr>
  </w:style>
  <w:style w:type="paragraph" w:customStyle="1" w:styleId="Zkladntext31">
    <w:name w:val="Základní text 31"/>
    <w:basedOn w:val="Normln"/>
    <w:uiPriority w:val="99"/>
    <w:rsid w:val="009F5028"/>
    <w:pPr>
      <w:suppressAutoHyphens/>
      <w:jc w:val="both"/>
    </w:pPr>
    <w:rPr>
      <w:sz w:val="22"/>
      <w:szCs w:val="20"/>
      <w:lang w:eastAsia="ar-SA"/>
    </w:rPr>
  </w:style>
  <w:style w:type="character" w:customStyle="1" w:styleId="Nadpis1Char">
    <w:name w:val="Nadpis 1 Char"/>
    <w:link w:val="Nadpis1"/>
    <w:rsid w:val="00517293"/>
    <w:rPr>
      <w:rFonts w:ascii="Arial" w:hAnsi="Arial" w:cs="Arial"/>
      <w:b/>
      <w:bCs/>
      <w:kern w:val="32"/>
      <w:sz w:val="32"/>
      <w:szCs w:val="32"/>
    </w:rPr>
  </w:style>
  <w:style w:type="character" w:customStyle="1" w:styleId="ZkladntextodsazenChar">
    <w:name w:val="Základní text odsazený Char"/>
    <w:link w:val="Zkladntextodsazen"/>
    <w:rsid w:val="00517293"/>
    <w:rPr>
      <w:rFonts w:ascii="Arial" w:hAnsi="Arial"/>
      <w:sz w:val="24"/>
      <w:szCs w:val="24"/>
    </w:rPr>
  </w:style>
  <w:style w:type="character" w:customStyle="1" w:styleId="ZpatChar">
    <w:name w:val="Zápatí Char"/>
    <w:link w:val="Zpat"/>
    <w:rsid w:val="00517293"/>
    <w:rPr>
      <w:sz w:val="24"/>
      <w:szCs w:val="24"/>
    </w:rPr>
  </w:style>
  <w:style w:type="character" w:customStyle="1" w:styleId="ZkladntextChar">
    <w:name w:val="Základní text Char"/>
    <w:link w:val="Zkladntext"/>
    <w:rsid w:val="00517293"/>
    <w:rPr>
      <w:rFonts w:ascii="Arial" w:hAnsi="Arial"/>
      <w:szCs w:val="24"/>
    </w:rPr>
  </w:style>
  <w:style w:type="paragraph" w:styleId="Odstavecseseznamem">
    <w:name w:val="List Paragraph"/>
    <w:basedOn w:val="Normln"/>
    <w:uiPriority w:val="34"/>
    <w:qFormat/>
    <w:rsid w:val="00AD4F9B"/>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A44492"/>
    <w:rPr>
      <w:sz w:val="16"/>
      <w:szCs w:val="16"/>
    </w:rPr>
  </w:style>
  <w:style w:type="paragraph" w:styleId="Textkomente">
    <w:name w:val="annotation text"/>
    <w:basedOn w:val="Normln"/>
    <w:link w:val="TextkomenteChar"/>
    <w:rsid w:val="00A44492"/>
    <w:rPr>
      <w:sz w:val="20"/>
      <w:szCs w:val="20"/>
    </w:rPr>
  </w:style>
  <w:style w:type="character" w:customStyle="1" w:styleId="TextkomenteChar">
    <w:name w:val="Text komentáře Char"/>
    <w:basedOn w:val="Standardnpsmoodstavce"/>
    <w:link w:val="Textkomente"/>
    <w:rsid w:val="00A44492"/>
  </w:style>
  <w:style w:type="paragraph" w:styleId="Pedmtkomente">
    <w:name w:val="annotation subject"/>
    <w:basedOn w:val="Textkomente"/>
    <w:next w:val="Textkomente"/>
    <w:link w:val="PedmtkomenteChar"/>
    <w:rsid w:val="00A44492"/>
    <w:rPr>
      <w:b/>
      <w:bCs/>
    </w:rPr>
  </w:style>
  <w:style w:type="character" w:customStyle="1" w:styleId="PedmtkomenteChar">
    <w:name w:val="Předmět komentáře Char"/>
    <w:link w:val="Pedmtkomente"/>
    <w:rsid w:val="00A44492"/>
    <w:rPr>
      <w:b/>
      <w:bCs/>
    </w:rPr>
  </w:style>
  <w:style w:type="table" w:styleId="Mkatabulky">
    <w:name w:val="Table Grid"/>
    <w:basedOn w:val="Normlntabulka"/>
    <w:rsid w:val="00A62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8">
    <w:name w:val="Table Grid 8"/>
    <w:basedOn w:val="Normlntabulka"/>
    <w:rsid w:val="00A628C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seznamzvraznn1">
    <w:name w:val="Light List Accent 1"/>
    <w:basedOn w:val="Normlntabulka"/>
    <w:uiPriority w:val="61"/>
    <w:rsid w:val="00A628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lasicktabulka3">
    <w:name w:val="Table Classic 3"/>
    <w:basedOn w:val="Normlntabulka"/>
    <w:rsid w:val="00033F8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Revize">
    <w:name w:val="Revision"/>
    <w:hidden/>
    <w:uiPriority w:val="99"/>
    <w:semiHidden/>
    <w:rsid w:val="006963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1AC"/>
    <w:rPr>
      <w:sz w:val="24"/>
      <w:szCs w:val="24"/>
    </w:rPr>
  </w:style>
  <w:style w:type="paragraph" w:styleId="Nadpis1">
    <w:name w:val="heading 1"/>
    <w:basedOn w:val="Normln"/>
    <w:next w:val="Normln"/>
    <w:link w:val="Nadpis1Char"/>
    <w:qFormat/>
    <w:rsid w:val="003D365D"/>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tabs>
        <w:tab w:val="left" w:pos="360"/>
      </w:tabs>
      <w:jc w:val="both"/>
      <w:outlineLvl w:val="1"/>
    </w:pPr>
    <w:rPr>
      <w:rFonts w:ascii="Arial" w:hAnsi="Arial"/>
      <w:b/>
      <w:bCs/>
      <w:u w:val="single"/>
    </w:rPr>
  </w:style>
  <w:style w:type="paragraph" w:styleId="Nadpis3">
    <w:name w:val="heading 3"/>
    <w:basedOn w:val="Normln"/>
    <w:next w:val="Normln"/>
    <w:qFormat/>
    <w:pPr>
      <w:keepNext/>
      <w:numPr>
        <w:numId w:val="1"/>
      </w:numPr>
      <w:tabs>
        <w:tab w:val="left" w:pos="360"/>
      </w:tabs>
      <w:jc w:val="both"/>
      <w:outlineLvl w:val="2"/>
    </w:pPr>
    <w:rPr>
      <w:rFonts w:ascii="Arial" w:hAnsi="Arial"/>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firstLine="360"/>
      <w:jc w:val="both"/>
    </w:pPr>
    <w:rPr>
      <w:rFonts w:ascii="Arial" w:hAnsi="Arial"/>
    </w:rPr>
  </w:style>
  <w:style w:type="paragraph" w:styleId="Zkladntext3">
    <w:name w:val="Body Text 3"/>
    <w:basedOn w:val="Normln"/>
    <w:link w:val="Zkladntext3Char"/>
    <w:pPr>
      <w:tabs>
        <w:tab w:val="left" w:pos="360"/>
      </w:tabs>
      <w:jc w:val="both"/>
    </w:pPr>
    <w:rPr>
      <w:rFonts w:ascii="Arial" w:hAnsi="Arial"/>
      <w:b/>
      <w:bCs/>
    </w:rPr>
  </w:style>
  <w:style w:type="paragraph" w:customStyle="1" w:styleId="Zkladntext21">
    <w:name w:val="Základní text 21"/>
    <w:basedOn w:val="Normln"/>
    <w:pPr>
      <w:overflowPunct w:val="0"/>
      <w:autoSpaceDE w:val="0"/>
      <w:autoSpaceDN w:val="0"/>
      <w:adjustRightInd w:val="0"/>
      <w:jc w:val="both"/>
    </w:pPr>
    <w:rPr>
      <w:szCs w:val="20"/>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Textbubliny">
    <w:name w:val="Balloon Text"/>
    <w:basedOn w:val="Normln"/>
    <w:semiHidden/>
    <w:rsid w:val="009E0E38"/>
    <w:rPr>
      <w:rFonts w:ascii="Tahoma" w:hAnsi="Tahoma" w:cs="Tahoma"/>
      <w:sz w:val="16"/>
      <w:szCs w:val="16"/>
    </w:rPr>
  </w:style>
  <w:style w:type="paragraph" w:styleId="Zpat">
    <w:name w:val="footer"/>
    <w:basedOn w:val="Normln"/>
    <w:link w:val="ZpatChar"/>
    <w:rsid w:val="00B71F39"/>
    <w:pPr>
      <w:tabs>
        <w:tab w:val="center" w:pos="4536"/>
        <w:tab w:val="right" w:pos="9072"/>
      </w:tabs>
    </w:pPr>
  </w:style>
  <w:style w:type="character" w:styleId="slostrnky">
    <w:name w:val="page number"/>
    <w:basedOn w:val="Standardnpsmoodstavce"/>
    <w:rsid w:val="00B71F39"/>
  </w:style>
  <w:style w:type="character" w:customStyle="1" w:styleId="Zkladntext3Char">
    <w:name w:val="Základní text 3 Char"/>
    <w:link w:val="Zkladntext3"/>
    <w:semiHidden/>
    <w:rsid w:val="00483C75"/>
    <w:rPr>
      <w:rFonts w:ascii="Arial" w:hAnsi="Arial"/>
      <w:b/>
      <w:bCs/>
      <w:sz w:val="24"/>
      <w:szCs w:val="24"/>
      <w:lang w:val="cs-CZ" w:eastAsia="cs-CZ" w:bidi="ar-SA"/>
    </w:rPr>
  </w:style>
  <w:style w:type="paragraph" w:customStyle="1" w:styleId="Zkladntext210">
    <w:name w:val="Základní text 21"/>
    <w:basedOn w:val="Normln"/>
    <w:rsid w:val="00483C75"/>
    <w:pPr>
      <w:overflowPunct w:val="0"/>
      <w:autoSpaceDE w:val="0"/>
      <w:autoSpaceDN w:val="0"/>
      <w:adjustRightInd w:val="0"/>
      <w:jc w:val="both"/>
    </w:pPr>
    <w:rPr>
      <w:szCs w:val="20"/>
    </w:rPr>
  </w:style>
  <w:style w:type="paragraph" w:styleId="Zkladntext">
    <w:name w:val="Body Text"/>
    <w:basedOn w:val="Normln"/>
    <w:link w:val="ZkladntextChar"/>
    <w:rsid w:val="003A37F4"/>
    <w:pPr>
      <w:spacing w:after="120"/>
    </w:pPr>
    <w:rPr>
      <w:rFonts w:ascii="Arial" w:hAnsi="Arial"/>
      <w:sz w:val="20"/>
    </w:rPr>
  </w:style>
  <w:style w:type="paragraph" w:styleId="Zkladntext2">
    <w:name w:val="Body Text 2"/>
    <w:basedOn w:val="Normln"/>
    <w:rsid w:val="002A1B15"/>
    <w:pPr>
      <w:spacing w:after="120" w:line="480" w:lineRule="auto"/>
    </w:pPr>
  </w:style>
  <w:style w:type="paragraph" w:customStyle="1" w:styleId="StylStylStyl11bZarovnatdoblokuTimesNewRomanVlevo1">
    <w:name w:val="Styl Styl Styl 11 b. Zarovnat do bloku + Times New Roman + Vlevo: ...1"/>
    <w:basedOn w:val="Normln"/>
    <w:rsid w:val="002934E1"/>
    <w:pPr>
      <w:spacing w:before="40" w:after="40"/>
      <w:jc w:val="both"/>
    </w:pPr>
    <w:rPr>
      <w:rFonts w:ascii="Arial" w:hAnsi="Arial"/>
      <w:sz w:val="22"/>
      <w:szCs w:val="20"/>
    </w:rPr>
  </w:style>
  <w:style w:type="character" w:customStyle="1" w:styleId="Styl11b1">
    <w:name w:val="Styl 11 b.1"/>
    <w:rsid w:val="002934E1"/>
    <w:rPr>
      <w:color w:val="auto"/>
      <w:sz w:val="22"/>
      <w:szCs w:val="22"/>
    </w:rPr>
  </w:style>
  <w:style w:type="paragraph" w:customStyle="1" w:styleId="Hladktext">
    <w:name w:val="Hladký  text"/>
    <w:link w:val="HladktextChar"/>
    <w:rsid w:val="0095701D"/>
    <w:pPr>
      <w:spacing w:line="290" w:lineRule="exact"/>
      <w:jc w:val="both"/>
    </w:pPr>
    <w:rPr>
      <w:rFonts w:ascii="Arial" w:hAnsi="Arial"/>
      <w:sz w:val="24"/>
    </w:rPr>
  </w:style>
  <w:style w:type="character" w:customStyle="1" w:styleId="HladktextChar">
    <w:name w:val="Hladký  text Char"/>
    <w:link w:val="Hladktext"/>
    <w:rsid w:val="0095701D"/>
    <w:rPr>
      <w:rFonts w:ascii="Arial" w:hAnsi="Arial"/>
      <w:sz w:val="24"/>
      <w:lang w:val="cs-CZ" w:eastAsia="cs-CZ" w:bidi="ar-SA"/>
    </w:rPr>
  </w:style>
  <w:style w:type="paragraph" w:customStyle="1" w:styleId="Normodstavec">
    <w:name w:val="Norm_odstavec"/>
    <w:basedOn w:val="Normln"/>
    <w:rsid w:val="0095701D"/>
    <w:pPr>
      <w:tabs>
        <w:tab w:val="left" w:pos="284"/>
        <w:tab w:val="left" w:pos="851"/>
        <w:tab w:val="center" w:pos="6804"/>
        <w:tab w:val="decimal" w:pos="8222"/>
      </w:tabs>
      <w:overflowPunct w:val="0"/>
      <w:autoSpaceDE w:val="0"/>
      <w:autoSpaceDN w:val="0"/>
      <w:adjustRightInd w:val="0"/>
      <w:spacing w:before="240" w:after="40"/>
      <w:jc w:val="both"/>
      <w:textAlignment w:val="baseline"/>
    </w:pPr>
    <w:rPr>
      <w:szCs w:val="20"/>
    </w:rPr>
  </w:style>
  <w:style w:type="paragraph" w:styleId="Zhlav">
    <w:name w:val="header"/>
    <w:basedOn w:val="Normln"/>
    <w:rsid w:val="00E9524C"/>
    <w:pPr>
      <w:tabs>
        <w:tab w:val="center" w:pos="4536"/>
        <w:tab w:val="right" w:pos="9072"/>
      </w:tabs>
    </w:pPr>
  </w:style>
  <w:style w:type="paragraph" w:styleId="Bezmezer">
    <w:name w:val="No Spacing"/>
    <w:aliases w:val="odrážky"/>
    <w:uiPriority w:val="1"/>
    <w:qFormat/>
    <w:rsid w:val="00A10E5F"/>
    <w:pPr>
      <w:numPr>
        <w:numId w:val="20"/>
      </w:numPr>
      <w:spacing w:before="60" w:after="60"/>
      <w:ind w:left="527" w:hanging="357"/>
      <w:jc w:val="both"/>
    </w:pPr>
    <w:rPr>
      <w:rFonts w:ascii="Arial" w:hAnsi="Arial"/>
      <w:color w:val="000000"/>
      <w:sz w:val="22"/>
    </w:rPr>
  </w:style>
  <w:style w:type="paragraph" w:customStyle="1" w:styleId="StylZaorkou6b">
    <w:name w:val="Styl Za:orážkou 6 b."/>
    <w:basedOn w:val="Normln"/>
    <w:qFormat/>
    <w:rsid w:val="002910FD"/>
    <w:pPr>
      <w:numPr>
        <w:numId w:val="22"/>
      </w:numPr>
      <w:spacing w:after="120"/>
      <w:jc w:val="both"/>
    </w:pPr>
    <w:rPr>
      <w:rFonts w:ascii="Arial" w:hAnsi="Arial"/>
      <w:sz w:val="22"/>
      <w:szCs w:val="20"/>
      <w:lang w:eastAsia="en-US" w:bidi="en-US"/>
    </w:rPr>
  </w:style>
  <w:style w:type="paragraph" w:customStyle="1" w:styleId="Zkladntext31">
    <w:name w:val="Základní text 31"/>
    <w:basedOn w:val="Normln"/>
    <w:uiPriority w:val="99"/>
    <w:rsid w:val="009F5028"/>
    <w:pPr>
      <w:suppressAutoHyphens/>
      <w:jc w:val="both"/>
    </w:pPr>
    <w:rPr>
      <w:sz w:val="22"/>
      <w:szCs w:val="20"/>
      <w:lang w:eastAsia="ar-SA"/>
    </w:rPr>
  </w:style>
  <w:style w:type="character" w:customStyle="1" w:styleId="Nadpis1Char">
    <w:name w:val="Nadpis 1 Char"/>
    <w:link w:val="Nadpis1"/>
    <w:rsid w:val="00517293"/>
    <w:rPr>
      <w:rFonts w:ascii="Arial" w:hAnsi="Arial" w:cs="Arial"/>
      <w:b/>
      <w:bCs/>
      <w:kern w:val="32"/>
      <w:sz w:val="32"/>
      <w:szCs w:val="32"/>
    </w:rPr>
  </w:style>
  <w:style w:type="character" w:customStyle="1" w:styleId="ZkladntextodsazenChar">
    <w:name w:val="Základní text odsazený Char"/>
    <w:link w:val="Zkladntextodsazen"/>
    <w:rsid w:val="00517293"/>
    <w:rPr>
      <w:rFonts w:ascii="Arial" w:hAnsi="Arial"/>
      <w:sz w:val="24"/>
      <w:szCs w:val="24"/>
    </w:rPr>
  </w:style>
  <w:style w:type="character" w:customStyle="1" w:styleId="ZpatChar">
    <w:name w:val="Zápatí Char"/>
    <w:link w:val="Zpat"/>
    <w:rsid w:val="00517293"/>
    <w:rPr>
      <w:sz w:val="24"/>
      <w:szCs w:val="24"/>
    </w:rPr>
  </w:style>
  <w:style w:type="character" w:customStyle="1" w:styleId="ZkladntextChar">
    <w:name w:val="Základní text Char"/>
    <w:link w:val="Zkladntext"/>
    <w:rsid w:val="00517293"/>
    <w:rPr>
      <w:rFonts w:ascii="Arial" w:hAnsi="Arial"/>
      <w:szCs w:val="24"/>
    </w:rPr>
  </w:style>
  <w:style w:type="paragraph" w:styleId="Odstavecseseznamem">
    <w:name w:val="List Paragraph"/>
    <w:basedOn w:val="Normln"/>
    <w:uiPriority w:val="34"/>
    <w:qFormat/>
    <w:rsid w:val="00AD4F9B"/>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A44492"/>
    <w:rPr>
      <w:sz w:val="16"/>
      <w:szCs w:val="16"/>
    </w:rPr>
  </w:style>
  <w:style w:type="paragraph" w:styleId="Textkomente">
    <w:name w:val="annotation text"/>
    <w:basedOn w:val="Normln"/>
    <w:link w:val="TextkomenteChar"/>
    <w:rsid w:val="00A44492"/>
    <w:rPr>
      <w:sz w:val="20"/>
      <w:szCs w:val="20"/>
    </w:rPr>
  </w:style>
  <w:style w:type="character" w:customStyle="1" w:styleId="TextkomenteChar">
    <w:name w:val="Text komentáře Char"/>
    <w:basedOn w:val="Standardnpsmoodstavce"/>
    <w:link w:val="Textkomente"/>
    <w:rsid w:val="00A44492"/>
  </w:style>
  <w:style w:type="paragraph" w:styleId="Pedmtkomente">
    <w:name w:val="annotation subject"/>
    <w:basedOn w:val="Textkomente"/>
    <w:next w:val="Textkomente"/>
    <w:link w:val="PedmtkomenteChar"/>
    <w:rsid w:val="00A44492"/>
    <w:rPr>
      <w:b/>
      <w:bCs/>
    </w:rPr>
  </w:style>
  <w:style w:type="character" w:customStyle="1" w:styleId="PedmtkomenteChar">
    <w:name w:val="Předmět komentáře Char"/>
    <w:link w:val="Pedmtkomente"/>
    <w:rsid w:val="00A44492"/>
    <w:rPr>
      <w:b/>
      <w:bCs/>
    </w:rPr>
  </w:style>
  <w:style w:type="table" w:styleId="Mkatabulky">
    <w:name w:val="Table Grid"/>
    <w:basedOn w:val="Normlntabulka"/>
    <w:rsid w:val="00A62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8">
    <w:name w:val="Table Grid 8"/>
    <w:basedOn w:val="Normlntabulka"/>
    <w:rsid w:val="00A628C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seznamzvraznn1">
    <w:name w:val="Light List Accent 1"/>
    <w:basedOn w:val="Normlntabulka"/>
    <w:uiPriority w:val="61"/>
    <w:rsid w:val="00A628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lasicktabulka3">
    <w:name w:val="Table Classic 3"/>
    <w:basedOn w:val="Normlntabulka"/>
    <w:rsid w:val="00033F8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Revize">
    <w:name w:val="Revision"/>
    <w:hidden/>
    <w:uiPriority w:val="99"/>
    <w:semiHidden/>
    <w:rsid w:val="006963B3"/>
    <w:rPr>
      <w:sz w:val="24"/>
      <w:szCs w:val="24"/>
    </w:rPr>
  </w:style>
</w:styles>
</file>

<file path=word/webSettings.xml><?xml version="1.0" encoding="utf-8"?>
<w:webSettings xmlns:r="http://schemas.openxmlformats.org/officeDocument/2006/relationships" xmlns:w="http://schemas.openxmlformats.org/wordprocessingml/2006/main">
  <w:divs>
    <w:div w:id="86777207">
      <w:bodyDiv w:val="1"/>
      <w:marLeft w:val="0"/>
      <w:marRight w:val="0"/>
      <w:marTop w:val="0"/>
      <w:marBottom w:val="0"/>
      <w:divBdr>
        <w:top w:val="none" w:sz="0" w:space="0" w:color="auto"/>
        <w:left w:val="none" w:sz="0" w:space="0" w:color="auto"/>
        <w:bottom w:val="none" w:sz="0" w:space="0" w:color="auto"/>
        <w:right w:val="none" w:sz="0" w:space="0" w:color="auto"/>
      </w:divBdr>
    </w:div>
    <w:div w:id="361135048">
      <w:bodyDiv w:val="1"/>
      <w:marLeft w:val="0"/>
      <w:marRight w:val="0"/>
      <w:marTop w:val="0"/>
      <w:marBottom w:val="0"/>
      <w:divBdr>
        <w:top w:val="none" w:sz="0" w:space="0" w:color="auto"/>
        <w:left w:val="none" w:sz="0" w:space="0" w:color="auto"/>
        <w:bottom w:val="none" w:sz="0" w:space="0" w:color="auto"/>
        <w:right w:val="none" w:sz="0" w:space="0" w:color="auto"/>
      </w:divBdr>
    </w:div>
    <w:div w:id="440491127">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141773036">
      <w:bodyDiv w:val="1"/>
      <w:marLeft w:val="0"/>
      <w:marRight w:val="0"/>
      <w:marTop w:val="0"/>
      <w:marBottom w:val="0"/>
      <w:divBdr>
        <w:top w:val="none" w:sz="0" w:space="0" w:color="auto"/>
        <w:left w:val="none" w:sz="0" w:space="0" w:color="auto"/>
        <w:bottom w:val="none" w:sz="0" w:space="0" w:color="auto"/>
        <w:right w:val="none" w:sz="0" w:space="0" w:color="auto"/>
      </w:divBdr>
    </w:div>
    <w:div w:id="1358889046">
      <w:bodyDiv w:val="1"/>
      <w:marLeft w:val="0"/>
      <w:marRight w:val="0"/>
      <w:marTop w:val="0"/>
      <w:marBottom w:val="0"/>
      <w:divBdr>
        <w:top w:val="none" w:sz="0" w:space="0" w:color="auto"/>
        <w:left w:val="none" w:sz="0" w:space="0" w:color="auto"/>
        <w:bottom w:val="none" w:sz="0" w:space="0" w:color="auto"/>
        <w:right w:val="none" w:sz="0" w:space="0" w:color="auto"/>
      </w:divBdr>
    </w:div>
    <w:div w:id="1374884869">
      <w:bodyDiv w:val="1"/>
      <w:marLeft w:val="0"/>
      <w:marRight w:val="0"/>
      <w:marTop w:val="0"/>
      <w:marBottom w:val="0"/>
      <w:divBdr>
        <w:top w:val="none" w:sz="0" w:space="0" w:color="auto"/>
        <w:left w:val="none" w:sz="0" w:space="0" w:color="auto"/>
        <w:bottom w:val="none" w:sz="0" w:space="0" w:color="auto"/>
        <w:right w:val="none" w:sz="0" w:space="0" w:color="auto"/>
      </w:divBdr>
    </w:div>
    <w:div w:id="1386562778">
      <w:bodyDiv w:val="1"/>
      <w:marLeft w:val="0"/>
      <w:marRight w:val="0"/>
      <w:marTop w:val="0"/>
      <w:marBottom w:val="0"/>
      <w:divBdr>
        <w:top w:val="none" w:sz="0" w:space="0" w:color="auto"/>
        <w:left w:val="none" w:sz="0" w:space="0" w:color="auto"/>
        <w:bottom w:val="none" w:sz="0" w:space="0" w:color="auto"/>
        <w:right w:val="none" w:sz="0" w:space="0" w:color="auto"/>
      </w:divBdr>
    </w:div>
    <w:div w:id="1839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oleObject" Target="file:///\\mzsfps01.mzcr.cz\plochy$\zilovap\tabulky_grafy.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grafy.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E:\grafy.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E:\grafy.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zsfps01.mzcr.cz\plochy$\zilovap\VoZP.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zsfps01.mzcr.cz\plochy$\zilovap\VoZP.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zsfps01.mzcr.cz\plochy$\zilovap\VoZP.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zsfps01.mzcr.cz\plochy$\zilovap\VoZP.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grafy.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VZP_naklady!$F$30</c:f>
              <c:strCache>
                <c:ptCount val="1"/>
                <c:pt idx="0">
                  <c:v>Celkové náklady</c:v>
                </c:pt>
              </c:strCache>
            </c:strRef>
          </c:tx>
          <c:spPr>
            <a:ln>
              <a:solidFill>
                <a:srgbClr val="C00000"/>
              </a:solidFill>
            </a:ln>
          </c:spPr>
          <c:marker>
            <c:symbol val="none"/>
          </c:marker>
          <c:cat>
            <c:numRef>
              <c:f>VZP_naklady!$F$42:$K$42</c:f>
              <c:numCache>
                <c:formatCode>General</c:formatCode>
                <c:ptCount val="6"/>
                <c:pt idx="0">
                  <c:v>2009</c:v>
                </c:pt>
                <c:pt idx="1">
                  <c:v>2010</c:v>
                </c:pt>
                <c:pt idx="2">
                  <c:v>2011</c:v>
                </c:pt>
                <c:pt idx="3">
                  <c:v>2012</c:v>
                </c:pt>
                <c:pt idx="4">
                  <c:v>2013</c:v>
                </c:pt>
                <c:pt idx="5">
                  <c:v>2014</c:v>
                </c:pt>
              </c:numCache>
            </c:numRef>
          </c:cat>
          <c:val>
            <c:numRef>
              <c:f>VZP_naklady!$G$58:$L$58</c:f>
              <c:numCache>
                <c:formatCode>#,##0</c:formatCode>
                <c:ptCount val="6"/>
                <c:pt idx="0">
                  <c:v>22163</c:v>
                </c:pt>
                <c:pt idx="1">
                  <c:v>22398</c:v>
                </c:pt>
                <c:pt idx="2">
                  <c:v>22765</c:v>
                </c:pt>
                <c:pt idx="3">
                  <c:v>23293</c:v>
                </c:pt>
                <c:pt idx="4">
                  <c:v>22885</c:v>
                </c:pt>
                <c:pt idx="5">
                  <c:v>23842</c:v>
                </c:pt>
              </c:numCache>
            </c:numRef>
          </c:val>
          <c:smooth val="1"/>
        </c:ser>
        <c:marker val="1"/>
        <c:axId val="96144384"/>
        <c:axId val="96080640"/>
      </c:lineChart>
      <c:catAx>
        <c:axId val="96144384"/>
        <c:scaling>
          <c:orientation val="minMax"/>
        </c:scaling>
        <c:axPos val="b"/>
        <c:numFmt formatCode="General" sourceLinked="1"/>
        <c:majorTickMark val="none"/>
        <c:tickLblPos val="nextTo"/>
        <c:crossAx val="96080640"/>
        <c:crosses val="autoZero"/>
        <c:auto val="1"/>
        <c:lblAlgn val="ctr"/>
        <c:lblOffset val="100"/>
      </c:catAx>
      <c:valAx>
        <c:axId val="96080640"/>
        <c:scaling>
          <c:orientation val="minMax"/>
          <c:min val="22000"/>
        </c:scaling>
        <c:axPos val="l"/>
        <c:majorGridlines/>
        <c:numFmt formatCode="#,##0" sourceLinked="1"/>
        <c:majorTickMark val="none"/>
        <c:tickLblPos val="nextTo"/>
        <c:crossAx val="96144384"/>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r>
              <a:rPr lang="cs-CZ" sz="1400"/>
              <a:t> </a:t>
            </a:r>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ZPŠ!$B$5</c:f>
              <c:strCache>
                <c:ptCount val="1"/>
                <c:pt idx="0">
                  <c:v>Náklady na ambulantní péči</c:v>
                </c:pt>
              </c:strCache>
            </c:strRef>
          </c:tx>
          <c:marker>
            <c:symbol val="none"/>
          </c:marker>
          <c:cat>
            <c:numRef>
              <c:f>ZPŠ!$K$9:$P$9</c:f>
              <c:numCache>
                <c:formatCode>General</c:formatCode>
                <c:ptCount val="6"/>
                <c:pt idx="0">
                  <c:v>2009</c:v>
                </c:pt>
                <c:pt idx="1">
                  <c:v>2010</c:v>
                </c:pt>
                <c:pt idx="2">
                  <c:v>2011</c:v>
                </c:pt>
                <c:pt idx="3">
                  <c:v>2012</c:v>
                </c:pt>
                <c:pt idx="4">
                  <c:v>2013</c:v>
                </c:pt>
                <c:pt idx="5">
                  <c:v>2014</c:v>
                </c:pt>
              </c:numCache>
            </c:numRef>
          </c:cat>
          <c:val>
            <c:numRef>
              <c:f>ZPŠ!$C$5:$H$5</c:f>
              <c:numCache>
                <c:formatCode>#,##0</c:formatCode>
                <c:ptCount val="6"/>
                <c:pt idx="0">
                  <c:v>4414</c:v>
                </c:pt>
                <c:pt idx="1">
                  <c:v>4618</c:v>
                </c:pt>
                <c:pt idx="2">
                  <c:v>4759</c:v>
                </c:pt>
                <c:pt idx="3">
                  <c:v>4809</c:v>
                </c:pt>
                <c:pt idx="4">
                  <c:v>5123</c:v>
                </c:pt>
                <c:pt idx="5">
                  <c:v>5230</c:v>
                </c:pt>
              </c:numCache>
            </c:numRef>
          </c:val>
          <c:smooth val="1"/>
        </c:ser>
        <c:ser>
          <c:idx val="0"/>
          <c:order val="1"/>
          <c:tx>
            <c:strRef>
              <c:f>ZPŠ!$B$6</c:f>
              <c:strCache>
                <c:ptCount val="1"/>
                <c:pt idx="0">
                  <c:v>Náklady na lůžkovou péči</c:v>
                </c:pt>
              </c:strCache>
            </c:strRef>
          </c:tx>
          <c:marker>
            <c:symbol val="none"/>
          </c:marker>
          <c:cat>
            <c:numRef>
              <c:f>ZPŠ!$K$9:$P$9</c:f>
              <c:numCache>
                <c:formatCode>General</c:formatCode>
                <c:ptCount val="6"/>
                <c:pt idx="0">
                  <c:v>2009</c:v>
                </c:pt>
                <c:pt idx="1">
                  <c:v>2010</c:v>
                </c:pt>
                <c:pt idx="2">
                  <c:v>2011</c:v>
                </c:pt>
                <c:pt idx="3">
                  <c:v>2012</c:v>
                </c:pt>
                <c:pt idx="4">
                  <c:v>2013</c:v>
                </c:pt>
                <c:pt idx="5">
                  <c:v>2014</c:v>
                </c:pt>
              </c:numCache>
            </c:numRef>
          </c:cat>
          <c:val>
            <c:numRef>
              <c:f>ZPŠ!$C$6:$H$6</c:f>
              <c:numCache>
                <c:formatCode>#,##0</c:formatCode>
                <c:ptCount val="6"/>
                <c:pt idx="0">
                  <c:v>10570</c:v>
                </c:pt>
                <c:pt idx="1">
                  <c:v>10487</c:v>
                </c:pt>
                <c:pt idx="2">
                  <c:v>10634</c:v>
                </c:pt>
                <c:pt idx="3">
                  <c:v>10760</c:v>
                </c:pt>
                <c:pt idx="4">
                  <c:v>10896</c:v>
                </c:pt>
                <c:pt idx="5">
                  <c:v>11281</c:v>
                </c:pt>
              </c:numCache>
            </c:numRef>
          </c:val>
          <c:smooth val="1"/>
        </c:ser>
        <c:ser>
          <c:idx val="1"/>
          <c:order val="2"/>
          <c:tx>
            <c:strRef>
              <c:f>ZPŠ!$B$7</c:f>
              <c:strCache>
                <c:ptCount val="1"/>
                <c:pt idx="0">
                  <c:v>Ostatní náklady</c:v>
                </c:pt>
              </c:strCache>
            </c:strRef>
          </c:tx>
          <c:marker>
            <c:symbol val="none"/>
          </c:marker>
          <c:cat>
            <c:numRef>
              <c:f>ZPŠ!$K$9:$P$9</c:f>
              <c:numCache>
                <c:formatCode>General</c:formatCode>
                <c:ptCount val="6"/>
                <c:pt idx="0">
                  <c:v>2009</c:v>
                </c:pt>
                <c:pt idx="1">
                  <c:v>2010</c:v>
                </c:pt>
                <c:pt idx="2">
                  <c:v>2011</c:v>
                </c:pt>
                <c:pt idx="3">
                  <c:v>2012</c:v>
                </c:pt>
                <c:pt idx="4">
                  <c:v>2013</c:v>
                </c:pt>
                <c:pt idx="5">
                  <c:v>2014</c:v>
                </c:pt>
              </c:numCache>
            </c:numRef>
          </c:cat>
          <c:val>
            <c:numRef>
              <c:f>ZPŠ!$C$7:$H$7</c:f>
              <c:numCache>
                <c:formatCode>#,##0</c:formatCode>
                <c:ptCount val="6"/>
                <c:pt idx="0">
                  <c:v>4720</c:v>
                </c:pt>
                <c:pt idx="1">
                  <c:v>4610</c:v>
                </c:pt>
                <c:pt idx="2">
                  <c:v>4556</c:v>
                </c:pt>
                <c:pt idx="3">
                  <c:v>4734</c:v>
                </c:pt>
                <c:pt idx="4">
                  <c:v>4654</c:v>
                </c:pt>
                <c:pt idx="5">
                  <c:v>4697</c:v>
                </c:pt>
              </c:numCache>
            </c:numRef>
          </c:val>
          <c:smooth val="1"/>
        </c:ser>
        <c:marker val="1"/>
        <c:axId val="100175232"/>
        <c:axId val="100181120"/>
      </c:lineChart>
      <c:catAx>
        <c:axId val="100175232"/>
        <c:scaling>
          <c:orientation val="minMax"/>
        </c:scaling>
        <c:axPos val="b"/>
        <c:numFmt formatCode="General" sourceLinked="1"/>
        <c:majorTickMark val="none"/>
        <c:tickLblPos val="nextTo"/>
        <c:crossAx val="100181120"/>
        <c:crosses val="autoZero"/>
        <c:auto val="1"/>
        <c:lblAlgn val="ctr"/>
        <c:lblOffset val="100"/>
      </c:catAx>
      <c:valAx>
        <c:axId val="100181120"/>
        <c:scaling>
          <c:orientation val="minMax"/>
          <c:min val="3000"/>
        </c:scaling>
        <c:axPos val="l"/>
        <c:majorGridlines/>
        <c:numFmt formatCode="#,##0" sourceLinked="1"/>
        <c:majorTickMark val="none"/>
        <c:tickLblPos val="nextTo"/>
        <c:crossAx val="100175232"/>
        <c:crosses val="autoZero"/>
        <c:crossBetween val="between"/>
      </c:valAx>
      <c:spPr>
        <a:noFill/>
        <a:ln w="25400">
          <a:noFill/>
        </a:ln>
      </c:spPr>
    </c:plotArea>
    <c:legend>
      <c:legendPos val="r"/>
      <c:layout>
        <c:manualLayout>
          <c:xMode val="edge"/>
          <c:yMode val="edge"/>
          <c:x val="0.73980830174005996"/>
          <c:y val="0.35317231413489014"/>
          <c:w val="0.23500508732704706"/>
          <c:h val="0.31834828511604629"/>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'ZP MV ČR'!$B$9</c:f>
              <c:strCache>
                <c:ptCount val="1"/>
                <c:pt idx="0">
                  <c:v>Celkové náklady</c:v>
                </c:pt>
              </c:strCache>
            </c:strRef>
          </c:tx>
          <c:spPr>
            <a:ln>
              <a:solidFill>
                <a:srgbClr val="FF0000"/>
              </a:solidFill>
            </a:ln>
          </c:spPr>
          <c:marker>
            <c:symbol val="none"/>
          </c:marker>
          <c:cat>
            <c:numRef>
              <c:f>'ZP MV ČR'!$K$10:$P$10</c:f>
              <c:numCache>
                <c:formatCode>General</c:formatCode>
                <c:ptCount val="6"/>
                <c:pt idx="0">
                  <c:v>2009</c:v>
                </c:pt>
                <c:pt idx="1">
                  <c:v>2010</c:v>
                </c:pt>
                <c:pt idx="2">
                  <c:v>2011</c:v>
                </c:pt>
                <c:pt idx="3">
                  <c:v>2012</c:v>
                </c:pt>
                <c:pt idx="4">
                  <c:v>2013</c:v>
                </c:pt>
                <c:pt idx="5">
                  <c:v>2014</c:v>
                </c:pt>
              </c:numCache>
            </c:numRef>
          </c:cat>
          <c:val>
            <c:numRef>
              <c:f>'ZP MV ČR'!$C$9:$H$9</c:f>
              <c:numCache>
                <c:formatCode>#,##0</c:formatCode>
                <c:ptCount val="6"/>
                <c:pt idx="0">
                  <c:v>17707</c:v>
                </c:pt>
                <c:pt idx="1">
                  <c:v>18219</c:v>
                </c:pt>
                <c:pt idx="2">
                  <c:v>18570</c:v>
                </c:pt>
                <c:pt idx="3">
                  <c:v>18986</c:v>
                </c:pt>
                <c:pt idx="4">
                  <c:v>19709</c:v>
                </c:pt>
                <c:pt idx="5">
                  <c:v>20395</c:v>
                </c:pt>
              </c:numCache>
            </c:numRef>
          </c:val>
          <c:smooth val="1"/>
        </c:ser>
        <c:marker val="1"/>
        <c:axId val="100226176"/>
        <c:axId val="100227712"/>
      </c:lineChart>
      <c:catAx>
        <c:axId val="100226176"/>
        <c:scaling>
          <c:orientation val="minMax"/>
        </c:scaling>
        <c:axPos val="b"/>
        <c:numFmt formatCode="General" sourceLinked="1"/>
        <c:majorTickMark val="none"/>
        <c:tickLblPos val="nextTo"/>
        <c:crossAx val="100227712"/>
        <c:crosses val="autoZero"/>
        <c:auto val="1"/>
        <c:lblAlgn val="ctr"/>
        <c:lblOffset val="100"/>
      </c:catAx>
      <c:valAx>
        <c:axId val="100227712"/>
        <c:scaling>
          <c:orientation val="minMax"/>
          <c:max val="20500"/>
          <c:min val="17500"/>
        </c:scaling>
        <c:axPos val="l"/>
        <c:majorGridlines/>
        <c:numFmt formatCode="#,##0" sourceLinked="1"/>
        <c:majorTickMark val="none"/>
        <c:tickLblPos val="nextTo"/>
        <c:crossAx val="100226176"/>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r>
              <a:rPr lang="cs-CZ" sz="1400"/>
              <a:t> </a:t>
            </a:r>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'ZP MV ČR'!$B$6</c:f>
              <c:strCache>
                <c:ptCount val="1"/>
                <c:pt idx="0">
                  <c:v>Náklady na ambulantní péči</c:v>
                </c:pt>
              </c:strCache>
            </c:strRef>
          </c:tx>
          <c:marker>
            <c:symbol val="none"/>
          </c:marker>
          <c:cat>
            <c:numRef>
              <c:f>'ZP MV ČR'!$K$10:$P$10</c:f>
              <c:numCache>
                <c:formatCode>General</c:formatCode>
                <c:ptCount val="6"/>
                <c:pt idx="0">
                  <c:v>2009</c:v>
                </c:pt>
                <c:pt idx="1">
                  <c:v>2010</c:v>
                </c:pt>
                <c:pt idx="2">
                  <c:v>2011</c:v>
                </c:pt>
                <c:pt idx="3">
                  <c:v>2012</c:v>
                </c:pt>
                <c:pt idx="4">
                  <c:v>2013</c:v>
                </c:pt>
                <c:pt idx="5">
                  <c:v>2014</c:v>
                </c:pt>
              </c:numCache>
            </c:numRef>
          </c:cat>
          <c:val>
            <c:numRef>
              <c:f>'ZP MV ČR'!$C$6:$H$6</c:f>
              <c:numCache>
                <c:formatCode>#,##0</c:formatCode>
                <c:ptCount val="6"/>
                <c:pt idx="0">
                  <c:v>5292</c:v>
                </c:pt>
                <c:pt idx="1">
                  <c:v>5465</c:v>
                </c:pt>
                <c:pt idx="2">
                  <c:v>5648</c:v>
                </c:pt>
                <c:pt idx="3">
                  <c:v>5659</c:v>
                </c:pt>
                <c:pt idx="4">
                  <c:v>5888</c:v>
                </c:pt>
                <c:pt idx="5">
                  <c:v>5885</c:v>
                </c:pt>
              </c:numCache>
            </c:numRef>
          </c:val>
          <c:smooth val="1"/>
        </c:ser>
        <c:ser>
          <c:idx val="0"/>
          <c:order val="1"/>
          <c:tx>
            <c:strRef>
              <c:f>'ZP MV ČR'!$B$7</c:f>
              <c:strCache>
                <c:ptCount val="1"/>
                <c:pt idx="0">
                  <c:v>Náklady na lůžkovou péči</c:v>
                </c:pt>
              </c:strCache>
            </c:strRef>
          </c:tx>
          <c:marker>
            <c:symbol val="none"/>
          </c:marker>
          <c:cat>
            <c:numRef>
              <c:f>'ZP MV ČR'!$K$10:$P$10</c:f>
              <c:numCache>
                <c:formatCode>General</c:formatCode>
                <c:ptCount val="6"/>
                <c:pt idx="0">
                  <c:v>2009</c:v>
                </c:pt>
                <c:pt idx="1">
                  <c:v>2010</c:v>
                </c:pt>
                <c:pt idx="2">
                  <c:v>2011</c:v>
                </c:pt>
                <c:pt idx="3">
                  <c:v>2012</c:v>
                </c:pt>
                <c:pt idx="4">
                  <c:v>2013</c:v>
                </c:pt>
                <c:pt idx="5">
                  <c:v>2014</c:v>
                </c:pt>
              </c:numCache>
            </c:numRef>
          </c:cat>
          <c:val>
            <c:numRef>
              <c:f>'ZP MV ČR'!$C$7:$H$7</c:f>
              <c:numCache>
                <c:formatCode>#,##0</c:formatCode>
                <c:ptCount val="6"/>
                <c:pt idx="0">
                  <c:v>8063</c:v>
                </c:pt>
                <c:pt idx="1">
                  <c:v>8525</c:v>
                </c:pt>
                <c:pt idx="2">
                  <c:v>8616</c:v>
                </c:pt>
                <c:pt idx="3">
                  <c:v>8778</c:v>
                </c:pt>
                <c:pt idx="4">
                  <c:v>9303</c:v>
                </c:pt>
                <c:pt idx="5">
                  <c:v>10023</c:v>
                </c:pt>
              </c:numCache>
            </c:numRef>
          </c:val>
          <c:smooth val="1"/>
        </c:ser>
        <c:ser>
          <c:idx val="1"/>
          <c:order val="2"/>
          <c:tx>
            <c:strRef>
              <c:f>'ZP MV ČR'!$B$8</c:f>
              <c:strCache>
                <c:ptCount val="1"/>
                <c:pt idx="0">
                  <c:v>Ostatní náklady</c:v>
                </c:pt>
              </c:strCache>
            </c:strRef>
          </c:tx>
          <c:marker>
            <c:symbol val="none"/>
          </c:marker>
          <c:cat>
            <c:numRef>
              <c:f>'ZP MV ČR'!$K$10:$P$10</c:f>
              <c:numCache>
                <c:formatCode>General</c:formatCode>
                <c:ptCount val="6"/>
                <c:pt idx="0">
                  <c:v>2009</c:v>
                </c:pt>
                <c:pt idx="1">
                  <c:v>2010</c:v>
                </c:pt>
                <c:pt idx="2">
                  <c:v>2011</c:v>
                </c:pt>
                <c:pt idx="3">
                  <c:v>2012</c:v>
                </c:pt>
                <c:pt idx="4">
                  <c:v>2013</c:v>
                </c:pt>
                <c:pt idx="5">
                  <c:v>2014</c:v>
                </c:pt>
              </c:numCache>
            </c:numRef>
          </c:cat>
          <c:val>
            <c:numRef>
              <c:f>'ZP MV ČR'!$C$8:$H$8</c:f>
              <c:numCache>
                <c:formatCode>#,##0</c:formatCode>
                <c:ptCount val="6"/>
                <c:pt idx="0">
                  <c:v>4352</c:v>
                </c:pt>
                <c:pt idx="1">
                  <c:v>4229</c:v>
                </c:pt>
                <c:pt idx="2">
                  <c:v>4306</c:v>
                </c:pt>
                <c:pt idx="3">
                  <c:v>4549</c:v>
                </c:pt>
                <c:pt idx="4">
                  <c:v>4518</c:v>
                </c:pt>
                <c:pt idx="5">
                  <c:v>4487</c:v>
                </c:pt>
              </c:numCache>
            </c:numRef>
          </c:val>
          <c:smooth val="1"/>
        </c:ser>
        <c:marker val="1"/>
        <c:axId val="100283136"/>
        <c:axId val="100284672"/>
      </c:lineChart>
      <c:catAx>
        <c:axId val="100283136"/>
        <c:scaling>
          <c:orientation val="minMax"/>
        </c:scaling>
        <c:axPos val="b"/>
        <c:numFmt formatCode="General" sourceLinked="1"/>
        <c:majorTickMark val="none"/>
        <c:tickLblPos val="nextTo"/>
        <c:crossAx val="100284672"/>
        <c:crosses val="autoZero"/>
        <c:auto val="1"/>
        <c:lblAlgn val="ctr"/>
        <c:lblOffset val="100"/>
      </c:catAx>
      <c:valAx>
        <c:axId val="100284672"/>
        <c:scaling>
          <c:orientation val="minMax"/>
          <c:min val="3000"/>
        </c:scaling>
        <c:axPos val="l"/>
        <c:majorGridlines/>
        <c:numFmt formatCode="#,##0" sourceLinked="1"/>
        <c:majorTickMark val="none"/>
        <c:tickLblPos val="nextTo"/>
        <c:crossAx val="100283136"/>
        <c:crosses val="autoZero"/>
        <c:crossBetween val="between"/>
      </c:valAx>
      <c:spPr>
        <a:noFill/>
        <a:ln w="25400">
          <a:noFill/>
        </a:ln>
      </c:spPr>
    </c:plotArea>
    <c:legend>
      <c:legendPos val="r"/>
      <c:layout>
        <c:manualLayout>
          <c:xMode val="edge"/>
          <c:yMode val="edge"/>
          <c:x val="0.73980830174005996"/>
          <c:y val="0.35317231413489014"/>
          <c:w val="0.23500508732704706"/>
          <c:h val="0.31834828511604629"/>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RBP!$B$8</c:f>
              <c:strCache>
                <c:ptCount val="1"/>
                <c:pt idx="0">
                  <c:v>Celkové náklady</c:v>
                </c:pt>
              </c:strCache>
            </c:strRef>
          </c:tx>
          <c:spPr>
            <a:ln>
              <a:solidFill>
                <a:srgbClr val="FF0000"/>
              </a:solidFill>
            </a:ln>
          </c:spPr>
          <c:marker>
            <c:symbol val="none"/>
          </c:marker>
          <c:cat>
            <c:numRef>
              <c:f>RBP!$L$6:$Q$6</c:f>
              <c:numCache>
                <c:formatCode>General</c:formatCode>
                <c:ptCount val="6"/>
                <c:pt idx="0">
                  <c:v>2009</c:v>
                </c:pt>
                <c:pt idx="1">
                  <c:v>2010</c:v>
                </c:pt>
                <c:pt idx="2">
                  <c:v>2011</c:v>
                </c:pt>
                <c:pt idx="3">
                  <c:v>2012</c:v>
                </c:pt>
                <c:pt idx="4">
                  <c:v>2013</c:v>
                </c:pt>
                <c:pt idx="5">
                  <c:v>2014</c:v>
                </c:pt>
              </c:numCache>
            </c:numRef>
          </c:cat>
          <c:val>
            <c:numRef>
              <c:f>RBP!$C$8:$H$8</c:f>
              <c:numCache>
                <c:formatCode>#,##0</c:formatCode>
                <c:ptCount val="6"/>
                <c:pt idx="0">
                  <c:v>16064</c:v>
                </c:pt>
                <c:pt idx="1">
                  <c:v>16777</c:v>
                </c:pt>
                <c:pt idx="2">
                  <c:v>17343</c:v>
                </c:pt>
                <c:pt idx="3">
                  <c:v>17565</c:v>
                </c:pt>
                <c:pt idx="4">
                  <c:v>18197</c:v>
                </c:pt>
                <c:pt idx="5">
                  <c:v>18424</c:v>
                </c:pt>
              </c:numCache>
            </c:numRef>
          </c:val>
          <c:smooth val="1"/>
        </c:ser>
        <c:marker val="1"/>
        <c:axId val="100206848"/>
        <c:axId val="98893824"/>
      </c:lineChart>
      <c:catAx>
        <c:axId val="100206848"/>
        <c:scaling>
          <c:orientation val="minMax"/>
        </c:scaling>
        <c:axPos val="b"/>
        <c:numFmt formatCode="General" sourceLinked="1"/>
        <c:majorTickMark val="none"/>
        <c:tickLblPos val="nextTo"/>
        <c:crossAx val="98893824"/>
        <c:crosses val="autoZero"/>
        <c:auto val="1"/>
        <c:lblAlgn val="ctr"/>
        <c:lblOffset val="100"/>
      </c:catAx>
      <c:valAx>
        <c:axId val="98893824"/>
        <c:scaling>
          <c:orientation val="minMax"/>
          <c:max val="18500"/>
          <c:min val="16000"/>
        </c:scaling>
        <c:axPos val="l"/>
        <c:majorGridlines/>
        <c:numFmt formatCode="#,##0" sourceLinked="1"/>
        <c:majorTickMark val="none"/>
        <c:tickLblPos val="nextTo"/>
        <c:crossAx val="100206848"/>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r>
              <a:rPr lang="cs-CZ" sz="1400"/>
              <a:t> </a:t>
            </a:r>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RBP!$B$5</c:f>
              <c:strCache>
                <c:ptCount val="1"/>
                <c:pt idx="0">
                  <c:v>Náklady na ambulantní péči</c:v>
                </c:pt>
              </c:strCache>
            </c:strRef>
          </c:tx>
          <c:marker>
            <c:symbol val="none"/>
          </c:marker>
          <c:cat>
            <c:numRef>
              <c:f>RBP!$L$6:$Q$6</c:f>
              <c:numCache>
                <c:formatCode>General</c:formatCode>
                <c:ptCount val="6"/>
                <c:pt idx="0">
                  <c:v>2009</c:v>
                </c:pt>
                <c:pt idx="1">
                  <c:v>2010</c:v>
                </c:pt>
                <c:pt idx="2">
                  <c:v>2011</c:v>
                </c:pt>
                <c:pt idx="3">
                  <c:v>2012</c:v>
                </c:pt>
                <c:pt idx="4">
                  <c:v>2013</c:v>
                </c:pt>
                <c:pt idx="5">
                  <c:v>2014</c:v>
                </c:pt>
              </c:numCache>
            </c:numRef>
          </c:cat>
          <c:val>
            <c:numRef>
              <c:f>RBP!$C$5:$H$5</c:f>
              <c:numCache>
                <c:formatCode>#,##0</c:formatCode>
                <c:ptCount val="6"/>
                <c:pt idx="0">
                  <c:v>5138</c:v>
                </c:pt>
                <c:pt idx="1">
                  <c:v>5273</c:v>
                </c:pt>
                <c:pt idx="2">
                  <c:v>5706</c:v>
                </c:pt>
                <c:pt idx="3">
                  <c:v>5645</c:v>
                </c:pt>
                <c:pt idx="4">
                  <c:v>5797</c:v>
                </c:pt>
                <c:pt idx="5">
                  <c:v>5803</c:v>
                </c:pt>
              </c:numCache>
            </c:numRef>
          </c:val>
          <c:smooth val="1"/>
        </c:ser>
        <c:ser>
          <c:idx val="0"/>
          <c:order val="1"/>
          <c:tx>
            <c:strRef>
              <c:f>RBP!$B$6</c:f>
              <c:strCache>
                <c:ptCount val="1"/>
                <c:pt idx="0">
                  <c:v>Náklady na lůžkovou péči</c:v>
                </c:pt>
              </c:strCache>
            </c:strRef>
          </c:tx>
          <c:marker>
            <c:symbol val="none"/>
          </c:marker>
          <c:cat>
            <c:numRef>
              <c:f>RBP!$L$6:$Q$6</c:f>
              <c:numCache>
                <c:formatCode>General</c:formatCode>
                <c:ptCount val="6"/>
                <c:pt idx="0">
                  <c:v>2009</c:v>
                </c:pt>
                <c:pt idx="1">
                  <c:v>2010</c:v>
                </c:pt>
                <c:pt idx="2">
                  <c:v>2011</c:v>
                </c:pt>
                <c:pt idx="3">
                  <c:v>2012</c:v>
                </c:pt>
                <c:pt idx="4">
                  <c:v>2013</c:v>
                </c:pt>
                <c:pt idx="5">
                  <c:v>2014</c:v>
                </c:pt>
              </c:numCache>
            </c:numRef>
          </c:cat>
          <c:val>
            <c:numRef>
              <c:f>RBP!$C$6:$H$6</c:f>
              <c:numCache>
                <c:formatCode>#,##0</c:formatCode>
                <c:ptCount val="6"/>
                <c:pt idx="0">
                  <c:v>7144</c:v>
                </c:pt>
                <c:pt idx="1">
                  <c:v>7761</c:v>
                </c:pt>
                <c:pt idx="2">
                  <c:v>7757</c:v>
                </c:pt>
                <c:pt idx="3">
                  <c:v>7804</c:v>
                </c:pt>
                <c:pt idx="4">
                  <c:v>8331</c:v>
                </c:pt>
                <c:pt idx="5">
                  <c:v>8427</c:v>
                </c:pt>
              </c:numCache>
            </c:numRef>
          </c:val>
          <c:smooth val="1"/>
        </c:ser>
        <c:ser>
          <c:idx val="1"/>
          <c:order val="2"/>
          <c:tx>
            <c:strRef>
              <c:f>RBP!$B$7</c:f>
              <c:strCache>
                <c:ptCount val="1"/>
                <c:pt idx="0">
                  <c:v>Ostatní náklady</c:v>
                </c:pt>
              </c:strCache>
            </c:strRef>
          </c:tx>
          <c:marker>
            <c:symbol val="none"/>
          </c:marker>
          <c:cat>
            <c:numRef>
              <c:f>RBP!$L$6:$Q$6</c:f>
              <c:numCache>
                <c:formatCode>General</c:formatCode>
                <c:ptCount val="6"/>
                <c:pt idx="0">
                  <c:v>2009</c:v>
                </c:pt>
                <c:pt idx="1">
                  <c:v>2010</c:v>
                </c:pt>
                <c:pt idx="2">
                  <c:v>2011</c:v>
                </c:pt>
                <c:pt idx="3">
                  <c:v>2012</c:v>
                </c:pt>
                <c:pt idx="4">
                  <c:v>2013</c:v>
                </c:pt>
                <c:pt idx="5">
                  <c:v>2014</c:v>
                </c:pt>
              </c:numCache>
            </c:numRef>
          </c:cat>
          <c:val>
            <c:numRef>
              <c:f>RBP!$C$7:$H$7</c:f>
              <c:numCache>
                <c:formatCode>#,##0</c:formatCode>
                <c:ptCount val="6"/>
                <c:pt idx="0">
                  <c:v>3782</c:v>
                </c:pt>
                <c:pt idx="1">
                  <c:v>3743</c:v>
                </c:pt>
                <c:pt idx="2">
                  <c:v>3880</c:v>
                </c:pt>
                <c:pt idx="3">
                  <c:v>4116</c:v>
                </c:pt>
                <c:pt idx="4">
                  <c:v>4069</c:v>
                </c:pt>
                <c:pt idx="5">
                  <c:v>4194</c:v>
                </c:pt>
              </c:numCache>
            </c:numRef>
          </c:val>
          <c:smooth val="1"/>
        </c:ser>
        <c:marker val="1"/>
        <c:axId val="98944896"/>
        <c:axId val="98946432"/>
      </c:lineChart>
      <c:catAx>
        <c:axId val="98944896"/>
        <c:scaling>
          <c:orientation val="minMax"/>
        </c:scaling>
        <c:axPos val="b"/>
        <c:numFmt formatCode="General" sourceLinked="1"/>
        <c:majorTickMark val="none"/>
        <c:tickLblPos val="nextTo"/>
        <c:crossAx val="98946432"/>
        <c:crosses val="autoZero"/>
        <c:auto val="1"/>
        <c:lblAlgn val="ctr"/>
        <c:lblOffset val="100"/>
      </c:catAx>
      <c:valAx>
        <c:axId val="98946432"/>
        <c:scaling>
          <c:orientation val="minMax"/>
          <c:min val="3000"/>
        </c:scaling>
        <c:axPos val="l"/>
        <c:majorGridlines/>
        <c:numFmt formatCode="#,##0" sourceLinked="1"/>
        <c:majorTickMark val="none"/>
        <c:tickLblPos val="nextTo"/>
        <c:crossAx val="98944896"/>
        <c:crosses val="autoZero"/>
        <c:crossBetween val="between"/>
      </c:valAx>
      <c:spPr>
        <a:noFill/>
        <a:ln w="25400">
          <a:noFill/>
        </a:ln>
      </c:spPr>
    </c:plotArea>
    <c:legend>
      <c:legendPos val="r"/>
      <c:layout>
        <c:manualLayout>
          <c:xMode val="edge"/>
          <c:yMode val="edge"/>
          <c:x val="0.73980830174005996"/>
          <c:y val="0.35317231413489014"/>
          <c:w val="0.23500508732704706"/>
          <c:h val="0.31834828511604629"/>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endParaRPr lang="cs-CZ" sz="1400"/>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List1!$C$21</c:f>
              <c:strCache>
                <c:ptCount val="1"/>
                <c:pt idx="0">
                  <c:v>Náklady na ambulantní péči</c:v>
                </c:pt>
              </c:strCache>
            </c:strRef>
          </c:tx>
          <c:marker>
            <c:symbol val="none"/>
          </c:marker>
          <c:cat>
            <c:numRef>
              <c:f>List1!$M$20:$R$20</c:f>
              <c:numCache>
                <c:formatCode>General</c:formatCode>
                <c:ptCount val="6"/>
                <c:pt idx="0">
                  <c:v>2009</c:v>
                </c:pt>
                <c:pt idx="1">
                  <c:v>2010</c:v>
                </c:pt>
                <c:pt idx="2">
                  <c:v>2011</c:v>
                </c:pt>
                <c:pt idx="3">
                  <c:v>2012</c:v>
                </c:pt>
                <c:pt idx="4">
                  <c:v>2013</c:v>
                </c:pt>
                <c:pt idx="5">
                  <c:v>2014</c:v>
                </c:pt>
              </c:numCache>
            </c:numRef>
          </c:cat>
          <c:val>
            <c:numRef>
              <c:f>List1!$D$21:$I$21</c:f>
              <c:numCache>
                <c:formatCode>#,##0</c:formatCode>
                <c:ptCount val="6"/>
                <c:pt idx="0">
                  <c:v>5183</c:v>
                </c:pt>
                <c:pt idx="1">
                  <c:v>5258</c:v>
                </c:pt>
                <c:pt idx="2">
                  <c:v>5495</c:v>
                </c:pt>
                <c:pt idx="3">
                  <c:v>5613</c:v>
                </c:pt>
                <c:pt idx="4">
                  <c:v>5717</c:v>
                </c:pt>
                <c:pt idx="5">
                  <c:v>5830</c:v>
                </c:pt>
              </c:numCache>
            </c:numRef>
          </c:val>
          <c:smooth val="1"/>
        </c:ser>
        <c:ser>
          <c:idx val="0"/>
          <c:order val="1"/>
          <c:tx>
            <c:strRef>
              <c:f>List1!$C$22</c:f>
              <c:strCache>
                <c:ptCount val="1"/>
                <c:pt idx="0">
                  <c:v>Náklady na lůžkovou péči</c:v>
                </c:pt>
              </c:strCache>
            </c:strRef>
          </c:tx>
          <c:marker>
            <c:symbol val="none"/>
          </c:marker>
          <c:cat>
            <c:numRef>
              <c:f>List1!$M$20:$R$20</c:f>
              <c:numCache>
                <c:formatCode>General</c:formatCode>
                <c:ptCount val="6"/>
                <c:pt idx="0">
                  <c:v>2009</c:v>
                </c:pt>
                <c:pt idx="1">
                  <c:v>2010</c:v>
                </c:pt>
                <c:pt idx="2">
                  <c:v>2011</c:v>
                </c:pt>
                <c:pt idx="3">
                  <c:v>2012</c:v>
                </c:pt>
                <c:pt idx="4">
                  <c:v>2013</c:v>
                </c:pt>
                <c:pt idx="5">
                  <c:v>2014</c:v>
                </c:pt>
              </c:numCache>
            </c:numRef>
          </c:cat>
          <c:val>
            <c:numRef>
              <c:f>List1!$D$22:$I$22</c:f>
              <c:numCache>
                <c:formatCode>#,##0</c:formatCode>
                <c:ptCount val="6"/>
                <c:pt idx="0">
                  <c:v>11762</c:v>
                </c:pt>
                <c:pt idx="1">
                  <c:v>12120</c:v>
                </c:pt>
                <c:pt idx="2">
                  <c:v>12259</c:v>
                </c:pt>
                <c:pt idx="3">
                  <c:v>12412</c:v>
                </c:pt>
                <c:pt idx="4">
                  <c:v>11988</c:v>
                </c:pt>
                <c:pt idx="5">
                  <c:v>12834</c:v>
                </c:pt>
              </c:numCache>
            </c:numRef>
          </c:val>
          <c:smooth val="1"/>
        </c:ser>
        <c:ser>
          <c:idx val="1"/>
          <c:order val="2"/>
          <c:tx>
            <c:strRef>
              <c:f>List1!$C$23</c:f>
              <c:strCache>
                <c:ptCount val="1"/>
                <c:pt idx="0">
                  <c:v>Ostatní náklady</c:v>
                </c:pt>
              </c:strCache>
            </c:strRef>
          </c:tx>
          <c:marker>
            <c:symbol val="none"/>
          </c:marker>
          <c:cat>
            <c:numRef>
              <c:f>List1!$M$20:$R$20</c:f>
              <c:numCache>
                <c:formatCode>General</c:formatCode>
                <c:ptCount val="6"/>
                <c:pt idx="0">
                  <c:v>2009</c:v>
                </c:pt>
                <c:pt idx="1">
                  <c:v>2010</c:v>
                </c:pt>
                <c:pt idx="2">
                  <c:v>2011</c:v>
                </c:pt>
                <c:pt idx="3">
                  <c:v>2012</c:v>
                </c:pt>
                <c:pt idx="4">
                  <c:v>2013</c:v>
                </c:pt>
                <c:pt idx="5">
                  <c:v>2014</c:v>
                </c:pt>
              </c:numCache>
            </c:numRef>
          </c:cat>
          <c:val>
            <c:numRef>
              <c:f>List1!$D$23:$I$23</c:f>
              <c:numCache>
                <c:formatCode>#,##0</c:formatCode>
                <c:ptCount val="6"/>
                <c:pt idx="0">
                  <c:v>5218</c:v>
                </c:pt>
                <c:pt idx="1">
                  <c:v>5020</c:v>
                </c:pt>
                <c:pt idx="2">
                  <c:v>5011</c:v>
                </c:pt>
                <c:pt idx="3">
                  <c:v>5268</c:v>
                </c:pt>
                <c:pt idx="4">
                  <c:v>5180</c:v>
                </c:pt>
                <c:pt idx="5">
                  <c:v>5178</c:v>
                </c:pt>
              </c:numCache>
            </c:numRef>
          </c:val>
          <c:smooth val="1"/>
        </c:ser>
        <c:marker val="1"/>
        <c:axId val="96111232"/>
        <c:axId val="96133504"/>
      </c:lineChart>
      <c:catAx>
        <c:axId val="96111232"/>
        <c:scaling>
          <c:orientation val="minMax"/>
        </c:scaling>
        <c:axPos val="b"/>
        <c:numFmt formatCode="General" sourceLinked="1"/>
        <c:majorTickMark val="none"/>
        <c:tickLblPos val="nextTo"/>
        <c:crossAx val="96133504"/>
        <c:crosses val="autoZero"/>
        <c:auto val="1"/>
        <c:lblAlgn val="ctr"/>
        <c:lblOffset val="100"/>
      </c:catAx>
      <c:valAx>
        <c:axId val="96133504"/>
        <c:scaling>
          <c:orientation val="minMax"/>
          <c:min val="4000"/>
        </c:scaling>
        <c:axPos val="l"/>
        <c:majorGridlines/>
        <c:numFmt formatCode="#,##0" sourceLinked="1"/>
        <c:majorTickMark val="none"/>
        <c:tickLblPos val="nextTo"/>
        <c:crossAx val="96111232"/>
        <c:crosses val="autoZero"/>
        <c:crossBetween val="between"/>
      </c:valAx>
      <c:spPr>
        <a:noFill/>
        <a:ln w="25400">
          <a:noFill/>
        </a:ln>
      </c:spPr>
    </c:plotArea>
    <c:legend>
      <c:legendPos val="r"/>
      <c:layout>
        <c:manualLayout>
          <c:xMode val="edge"/>
          <c:yMode val="edge"/>
          <c:x val="0.76549845062470645"/>
          <c:y val="0.33935002310757723"/>
          <c:w val="0.20085075572449998"/>
          <c:h val="0.32346352054830402"/>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naklady_1pojistence!$A$7</c:f>
              <c:strCache>
                <c:ptCount val="1"/>
                <c:pt idx="0">
                  <c:v>Celkové náklady</c:v>
                </c:pt>
              </c:strCache>
            </c:strRef>
          </c:tx>
          <c:spPr>
            <a:ln>
              <a:solidFill>
                <a:srgbClr val="FF0000"/>
              </a:solidFill>
            </a:ln>
          </c:spPr>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naklady_1pojistence!$B$7:$G$7</c:f>
              <c:numCache>
                <c:formatCode>#,##0</c:formatCode>
                <c:ptCount val="6"/>
                <c:pt idx="0">
                  <c:v>19263</c:v>
                </c:pt>
                <c:pt idx="1">
                  <c:v>19085.07862263167</c:v>
                </c:pt>
                <c:pt idx="2">
                  <c:v>19720.31741814168</c:v>
                </c:pt>
                <c:pt idx="3">
                  <c:v>19296.923194942108</c:v>
                </c:pt>
                <c:pt idx="4">
                  <c:v>19059.88915518274</c:v>
                </c:pt>
                <c:pt idx="5">
                  <c:v>19887.429503730746</c:v>
                </c:pt>
              </c:numCache>
            </c:numRef>
          </c:val>
          <c:smooth val="1"/>
        </c:ser>
        <c:marker val="1"/>
        <c:axId val="95961472"/>
        <c:axId val="95963008"/>
      </c:lineChart>
      <c:catAx>
        <c:axId val="95961472"/>
        <c:scaling>
          <c:orientation val="minMax"/>
        </c:scaling>
        <c:axPos val="b"/>
        <c:numFmt formatCode="General" sourceLinked="1"/>
        <c:majorTickMark val="none"/>
        <c:tickLblPos val="nextTo"/>
        <c:crossAx val="95963008"/>
        <c:crosses val="autoZero"/>
        <c:auto val="1"/>
        <c:lblAlgn val="ctr"/>
        <c:lblOffset val="100"/>
      </c:catAx>
      <c:valAx>
        <c:axId val="95963008"/>
        <c:scaling>
          <c:orientation val="minMax"/>
          <c:min val="19000"/>
        </c:scaling>
        <c:axPos val="l"/>
        <c:majorGridlines/>
        <c:numFmt formatCode="#,##0" sourceLinked="1"/>
        <c:majorTickMark val="none"/>
        <c:tickLblPos val="nextTo"/>
        <c:crossAx val="95961472"/>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r>
              <a:rPr lang="cs-CZ" sz="1400"/>
              <a:t> </a:t>
            </a:r>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naklady_1pojistence!$A$4</c:f>
              <c:strCache>
                <c:ptCount val="1"/>
                <c:pt idx="0">
                  <c:v>Náklady na ambulantní péči</c:v>
                </c:pt>
              </c:strCache>
            </c:strRef>
          </c:tx>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naklady_1pojistence!$B$4:$G$4</c:f>
              <c:numCache>
                <c:formatCode>#,##0</c:formatCode>
                <c:ptCount val="6"/>
                <c:pt idx="0">
                  <c:v>5116.8166881986199</c:v>
                </c:pt>
                <c:pt idx="1">
                  <c:v>5134.2846118959478</c:v>
                </c:pt>
                <c:pt idx="2">
                  <c:v>5500.7136628105027</c:v>
                </c:pt>
                <c:pt idx="3">
                  <c:v>5464.5381116612398</c:v>
                </c:pt>
                <c:pt idx="4">
                  <c:v>5396.6282204913196</c:v>
                </c:pt>
                <c:pt idx="5">
                  <c:v>5289.8899009013294</c:v>
                </c:pt>
              </c:numCache>
            </c:numRef>
          </c:val>
          <c:smooth val="1"/>
        </c:ser>
        <c:ser>
          <c:idx val="0"/>
          <c:order val="1"/>
          <c:tx>
            <c:strRef>
              <c:f>naklady_1pojistence!$A$5</c:f>
              <c:strCache>
                <c:ptCount val="1"/>
                <c:pt idx="0">
                  <c:v>Náklady na lůžkovou péči</c:v>
                </c:pt>
              </c:strCache>
            </c:strRef>
          </c:tx>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naklady_1pojistence!$B$5:$G$5</c:f>
              <c:numCache>
                <c:formatCode>#,##0</c:formatCode>
                <c:ptCount val="6"/>
                <c:pt idx="0">
                  <c:v>9577</c:v>
                </c:pt>
                <c:pt idx="1">
                  <c:v>9633.4317103383928</c:v>
                </c:pt>
                <c:pt idx="2">
                  <c:v>9863.870947962223</c:v>
                </c:pt>
                <c:pt idx="3">
                  <c:v>9408.2711909914051</c:v>
                </c:pt>
                <c:pt idx="4">
                  <c:v>9335.7130017974869</c:v>
                </c:pt>
                <c:pt idx="5">
                  <c:v>10199.226745865144</c:v>
                </c:pt>
              </c:numCache>
            </c:numRef>
          </c:val>
          <c:smooth val="1"/>
        </c:ser>
        <c:ser>
          <c:idx val="1"/>
          <c:order val="2"/>
          <c:tx>
            <c:strRef>
              <c:f>naklady_1pojistence!$A$6</c:f>
              <c:strCache>
                <c:ptCount val="1"/>
                <c:pt idx="0">
                  <c:v>Ostatní náklady</c:v>
                </c:pt>
              </c:strCache>
            </c:strRef>
          </c:tx>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naklady_1pojistence!$B$6:$G$6</c:f>
              <c:numCache>
                <c:formatCode>#,##0</c:formatCode>
                <c:ptCount val="6"/>
                <c:pt idx="0">
                  <c:v>4569.1833118013819</c:v>
                </c:pt>
                <c:pt idx="1">
                  <c:v>4317.3623003973444</c:v>
                </c:pt>
                <c:pt idx="2">
                  <c:v>4355.7328073689496</c:v>
                </c:pt>
                <c:pt idx="3">
                  <c:v>4424.1138922894515</c:v>
                </c:pt>
                <c:pt idx="4">
                  <c:v>4327.54793289395</c:v>
                </c:pt>
                <c:pt idx="5">
                  <c:v>4398.3128569642759</c:v>
                </c:pt>
              </c:numCache>
            </c:numRef>
          </c:val>
          <c:smooth val="1"/>
        </c:ser>
        <c:marker val="1"/>
        <c:axId val="96231424"/>
        <c:axId val="96232960"/>
      </c:lineChart>
      <c:catAx>
        <c:axId val="96231424"/>
        <c:scaling>
          <c:orientation val="minMax"/>
        </c:scaling>
        <c:axPos val="b"/>
        <c:numFmt formatCode="General" sourceLinked="1"/>
        <c:majorTickMark val="none"/>
        <c:tickLblPos val="nextTo"/>
        <c:crossAx val="96232960"/>
        <c:crosses val="autoZero"/>
        <c:auto val="1"/>
        <c:lblAlgn val="ctr"/>
        <c:lblOffset val="100"/>
      </c:catAx>
      <c:valAx>
        <c:axId val="96232960"/>
        <c:scaling>
          <c:orientation val="minMax"/>
          <c:min val="3000"/>
        </c:scaling>
        <c:axPos val="l"/>
        <c:majorGridlines/>
        <c:numFmt formatCode="#,##0" sourceLinked="1"/>
        <c:majorTickMark val="none"/>
        <c:tickLblPos val="nextTo"/>
        <c:crossAx val="96231424"/>
        <c:crosses val="autoZero"/>
        <c:crossBetween val="between"/>
      </c:valAx>
      <c:spPr>
        <a:noFill/>
        <a:ln w="25400">
          <a:noFill/>
        </a:ln>
      </c:spPr>
    </c:plotArea>
    <c:legend>
      <c:legendPos val="r"/>
      <c:layout>
        <c:manualLayout>
          <c:xMode val="edge"/>
          <c:yMode val="edge"/>
          <c:x val="0.73980830174005996"/>
          <c:y val="0.35317231413489014"/>
          <c:w val="0.23500508732704706"/>
          <c:h val="0.31834828511604629"/>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naklady_1pojistence!$A$7</c:f>
              <c:strCache>
                <c:ptCount val="1"/>
                <c:pt idx="0">
                  <c:v>Celkové náklady</c:v>
                </c:pt>
              </c:strCache>
            </c:strRef>
          </c:tx>
          <c:spPr>
            <a:ln w="28575">
              <a:solidFill>
                <a:srgbClr val="FF0000"/>
              </a:solidFill>
            </a:ln>
          </c:spPr>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naklady_1pojistence!$B$7:$G$7</c:f>
              <c:numCache>
                <c:formatCode>#,##0</c:formatCode>
                <c:ptCount val="6"/>
                <c:pt idx="0">
                  <c:v>17900</c:v>
                </c:pt>
                <c:pt idx="1">
                  <c:v>18596</c:v>
                </c:pt>
                <c:pt idx="2" formatCode="General">
                  <c:v>18831</c:v>
                </c:pt>
                <c:pt idx="3">
                  <c:v>18921</c:v>
                </c:pt>
                <c:pt idx="4" formatCode="General">
                  <c:v>18338</c:v>
                </c:pt>
                <c:pt idx="5">
                  <c:v>19888</c:v>
                </c:pt>
              </c:numCache>
            </c:numRef>
          </c:val>
          <c:smooth val="1"/>
        </c:ser>
        <c:marker val="1"/>
        <c:axId val="96253440"/>
        <c:axId val="96254976"/>
      </c:lineChart>
      <c:catAx>
        <c:axId val="96253440"/>
        <c:scaling>
          <c:orientation val="minMax"/>
        </c:scaling>
        <c:axPos val="b"/>
        <c:numFmt formatCode="General" sourceLinked="1"/>
        <c:majorTickMark val="none"/>
        <c:tickLblPos val="nextTo"/>
        <c:crossAx val="96254976"/>
        <c:crosses val="autoZero"/>
        <c:auto val="1"/>
        <c:lblAlgn val="ctr"/>
        <c:lblOffset val="100"/>
      </c:catAx>
      <c:valAx>
        <c:axId val="96254976"/>
        <c:scaling>
          <c:orientation val="minMax"/>
          <c:max val="20000"/>
          <c:min val="17500"/>
        </c:scaling>
        <c:axPos val="l"/>
        <c:majorGridlines/>
        <c:numFmt formatCode="#,##0" sourceLinked="1"/>
        <c:majorTickMark val="none"/>
        <c:tickLblPos val="nextTo"/>
        <c:crossAx val="96253440"/>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r>
              <a:rPr lang="cs-CZ" sz="1400"/>
              <a:t> </a:t>
            </a:r>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naklady_1pojistence!$A$4</c:f>
              <c:strCache>
                <c:ptCount val="1"/>
                <c:pt idx="0">
                  <c:v>Náklady na ambulantní péči</c:v>
                </c:pt>
              </c:strCache>
            </c:strRef>
          </c:tx>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naklady_1pojistence!$B$4:$G$4</c:f>
              <c:numCache>
                <c:formatCode>#,##0</c:formatCode>
                <c:ptCount val="6"/>
                <c:pt idx="0">
                  <c:v>5306</c:v>
                </c:pt>
                <c:pt idx="1">
                  <c:v>5552</c:v>
                </c:pt>
                <c:pt idx="2">
                  <c:v>5842</c:v>
                </c:pt>
                <c:pt idx="3">
                  <c:v>5772</c:v>
                </c:pt>
                <c:pt idx="4" formatCode="General">
                  <c:v>5592</c:v>
                </c:pt>
                <c:pt idx="5">
                  <c:v>5816</c:v>
                </c:pt>
              </c:numCache>
            </c:numRef>
          </c:val>
          <c:smooth val="1"/>
        </c:ser>
        <c:ser>
          <c:idx val="0"/>
          <c:order val="1"/>
          <c:tx>
            <c:strRef>
              <c:f>naklady_1pojistence!$A$5</c:f>
              <c:strCache>
                <c:ptCount val="1"/>
                <c:pt idx="0">
                  <c:v>Náklady na lůžkovou péči</c:v>
                </c:pt>
              </c:strCache>
            </c:strRef>
          </c:tx>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naklady_1pojistence!$B$5:$G$5</c:f>
              <c:numCache>
                <c:formatCode>#,##0</c:formatCode>
                <c:ptCount val="6"/>
                <c:pt idx="0">
                  <c:v>8515</c:v>
                </c:pt>
                <c:pt idx="1">
                  <c:v>9043</c:v>
                </c:pt>
                <c:pt idx="2">
                  <c:v>8921</c:v>
                </c:pt>
                <c:pt idx="3">
                  <c:v>8945</c:v>
                </c:pt>
                <c:pt idx="4">
                  <c:v>8721</c:v>
                </c:pt>
                <c:pt idx="5">
                  <c:v>9907</c:v>
                </c:pt>
              </c:numCache>
            </c:numRef>
          </c:val>
          <c:smooth val="1"/>
        </c:ser>
        <c:ser>
          <c:idx val="1"/>
          <c:order val="2"/>
          <c:tx>
            <c:strRef>
              <c:f>naklady_1pojistence!$A$6</c:f>
              <c:strCache>
                <c:ptCount val="1"/>
                <c:pt idx="0">
                  <c:v>Ostatní náklady</c:v>
                </c:pt>
              </c:strCache>
            </c:strRef>
          </c:tx>
          <c:marker>
            <c:symbol val="none"/>
          </c:marker>
          <c:cat>
            <c:numRef>
              <c:f>naklady_1pojistence!$K$2:$P$2</c:f>
              <c:numCache>
                <c:formatCode>General</c:formatCode>
                <c:ptCount val="6"/>
                <c:pt idx="0">
                  <c:v>2009</c:v>
                </c:pt>
                <c:pt idx="1">
                  <c:v>2010</c:v>
                </c:pt>
                <c:pt idx="2">
                  <c:v>2011</c:v>
                </c:pt>
                <c:pt idx="3">
                  <c:v>2012</c:v>
                </c:pt>
                <c:pt idx="4">
                  <c:v>2013</c:v>
                </c:pt>
                <c:pt idx="5">
                  <c:v>2014</c:v>
                </c:pt>
              </c:numCache>
            </c:numRef>
          </c:cat>
          <c:val>
            <c:numRef>
              <c:f>naklady_1pojistence!$B$6:$G$6</c:f>
              <c:numCache>
                <c:formatCode>#,##0</c:formatCode>
                <c:ptCount val="6"/>
                <c:pt idx="0">
                  <c:v>4079</c:v>
                </c:pt>
                <c:pt idx="1">
                  <c:v>4001</c:v>
                </c:pt>
                <c:pt idx="2">
                  <c:v>4068</c:v>
                </c:pt>
                <c:pt idx="3">
                  <c:v>4204</c:v>
                </c:pt>
                <c:pt idx="4">
                  <c:v>4025</c:v>
                </c:pt>
                <c:pt idx="5">
                  <c:v>4165</c:v>
                </c:pt>
              </c:numCache>
            </c:numRef>
          </c:val>
          <c:smooth val="1"/>
        </c:ser>
        <c:marker val="1"/>
        <c:axId val="96035968"/>
        <c:axId val="96037504"/>
      </c:lineChart>
      <c:catAx>
        <c:axId val="96035968"/>
        <c:scaling>
          <c:orientation val="minMax"/>
        </c:scaling>
        <c:axPos val="b"/>
        <c:numFmt formatCode="General" sourceLinked="1"/>
        <c:majorTickMark val="none"/>
        <c:tickLblPos val="nextTo"/>
        <c:crossAx val="96037504"/>
        <c:crosses val="autoZero"/>
        <c:auto val="1"/>
        <c:lblAlgn val="ctr"/>
        <c:lblOffset val="100"/>
      </c:catAx>
      <c:valAx>
        <c:axId val="96037504"/>
        <c:scaling>
          <c:orientation val="minMax"/>
          <c:min val="3000"/>
        </c:scaling>
        <c:axPos val="l"/>
        <c:majorGridlines/>
        <c:numFmt formatCode="#,##0" sourceLinked="1"/>
        <c:majorTickMark val="none"/>
        <c:tickLblPos val="nextTo"/>
        <c:crossAx val="96035968"/>
        <c:crosses val="autoZero"/>
        <c:crossBetween val="between"/>
      </c:valAx>
      <c:spPr>
        <a:noFill/>
        <a:ln w="25400">
          <a:noFill/>
        </a:ln>
      </c:spPr>
    </c:plotArea>
    <c:legend>
      <c:legendPos val="r"/>
      <c:layout>
        <c:manualLayout>
          <c:xMode val="edge"/>
          <c:yMode val="edge"/>
          <c:x val="0.73980830174005996"/>
          <c:y val="0.35317231413489014"/>
          <c:w val="0.23500508732704706"/>
          <c:h val="0.31834828511604629"/>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OZP!$B$8</c:f>
              <c:strCache>
                <c:ptCount val="1"/>
                <c:pt idx="0">
                  <c:v>Celkové náklady</c:v>
                </c:pt>
              </c:strCache>
            </c:strRef>
          </c:tx>
          <c:spPr>
            <a:ln>
              <a:solidFill>
                <a:srgbClr val="FF0000"/>
              </a:solidFill>
            </a:ln>
          </c:spPr>
          <c:marker>
            <c:symbol val="none"/>
          </c:marker>
          <c:cat>
            <c:numRef>
              <c:f>OZP!$K$7:$P$7</c:f>
              <c:numCache>
                <c:formatCode>General</c:formatCode>
                <c:ptCount val="6"/>
                <c:pt idx="0">
                  <c:v>2009</c:v>
                </c:pt>
                <c:pt idx="1">
                  <c:v>2010</c:v>
                </c:pt>
                <c:pt idx="2">
                  <c:v>2011</c:v>
                </c:pt>
                <c:pt idx="3">
                  <c:v>2012</c:v>
                </c:pt>
                <c:pt idx="4">
                  <c:v>2013</c:v>
                </c:pt>
                <c:pt idx="5">
                  <c:v>2014</c:v>
                </c:pt>
              </c:numCache>
            </c:numRef>
          </c:cat>
          <c:val>
            <c:numRef>
              <c:f>OZP!$C$8:$H$8</c:f>
              <c:numCache>
                <c:formatCode>#,##0</c:formatCode>
                <c:ptCount val="6"/>
                <c:pt idx="0">
                  <c:v>18143</c:v>
                </c:pt>
                <c:pt idx="1">
                  <c:v>18449</c:v>
                </c:pt>
                <c:pt idx="2">
                  <c:v>18286</c:v>
                </c:pt>
                <c:pt idx="3">
                  <c:v>18316</c:v>
                </c:pt>
                <c:pt idx="4">
                  <c:v>18390</c:v>
                </c:pt>
                <c:pt idx="5">
                  <c:v>19308</c:v>
                </c:pt>
              </c:numCache>
            </c:numRef>
          </c:val>
          <c:smooth val="1"/>
        </c:ser>
        <c:marker val="1"/>
        <c:axId val="96021120"/>
        <c:axId val="98857344"/>
      </c:lineChart>
      <c:catAx>
        <c:axId val="96021120"/>
        <c:scaling>
          <c:orientation val="minMax"/>
        </c:scaling>
        <c:axPos val="b"/>
        <c:numFmt formatCode="General" sourceLinked="1"/>
        <c:majorTickMark val="none"/>
        <c:tickLblPos val="nextTo"/>
        <c:crossAx val="98857344"/>
        <c:crosses val="autoZero"/>
        <c:auto val="1"/>
        <c:lblAlgn val="ctr"/>
        <c:lblOffset val="100"/>
      </c:catAx>
      <c:valAx>
        <c:axId val="98857344"/>
        <c:scaling>
          <c:orientation val="minMax"/>
          <c:min val="18000"/>
        </c:scaling>
        <c:axPos val="l"/>
        <c:majorGridlines/>
        <c:numFmt formatCode="#,##0" sourceLinked="1"/>
        <c:majorTickMark val="none"/>
        <c:tickLblPos val="nextTo"/>
        <c:crossAx val="96021120"/>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Náklady na zdravotní služby podle segmentů v přepočtu na 1 pojištěnce</a:t>
            </a:r>
            <a:r>
              <a:rPr lang="cs-CZ" sz="1400"/>
              <a:t> </a:t>
            </a:r>
          </a:p>
        </c:rich>
      </c:tx>
      <c:layout>
        <c:manualLayout>
          <c:xMode val="edge"/>
          <c:yMode val="edge"/>
          <c:x val="9.1579663653154494E-2"/>
          <c:y val="3.165318941873841E-2"/>
        </c:manualLayout>
      </c:layout>
      <c:spPr>
        <a:noFill/>
        <a:ln w="25400">
          <a:noFill/>
        </a:ln>
      </c:spPr>
    </c:title>
    <c:plotArea>
      <c:layout>
        <c:manualLayout>
          <c:layoutTarget val="inner"/>
          <c:xMode val="edge"/>
          <c:yMode val="edge"/>
          <c:x val="6.5616881993420431E-2"/>
          <c:y val="0.11928948793609202"/>
          <c:w val="0.66602909821457568"/>
          <c:h val="0.79441722817014482"/>
        </c:manualLayout>
      </c:layout>
      <c:lineChart>
        <c:grouping val="standard"/>
        <c:ser>
          <c:idx val="2"/>
          <c:order val="0"/>
          <c:tx>
            <c:strRef>
              <c:f>OZP!$B$5</c:f>
              <c:strCache>
                <c:ptCount val="1"/>
                <c:pt idx="0">
                  <c:v>Náklady na ambulantní péči</c:v>
                </c:pt>
              </c:strCache>
            </c:strRef>
          </c:tx>
          <c:marker>
            <c:symbol val="none"/>
          </c:marker>
          <c:cat>
            <c:numRef>
              <c:f>OZP!$K$7:$P$7</c:f>
              <c:numCache>
                <c:formatCode>General</c:formatCode>
                <c:ptCount val="6"/>
                <c:pt idx="0">
                  <c:v>2009</c:v>
                </c:pt>
                <c:pt idx="1">
                  <c:v>2010</c:v>
                </c:pt>
                <c:pt idx="2">
                  <c:v>2011</c:v>
                </c:pt>
                <c:pt idx="3">
                  <c:v>2012</c:v>
                </c:pt>
                <c:pt idx="4">
                  <c:v>2013</c:v>
                </c:pt>
                <c:pt idx="5">
                  <c:v>2014</c:v>
                </c:pt>
              </c:numCache>
            </c:numRef>
          </c:cat>
          <c:val>
            <c:numRef>
              <c:f>OZP!$C$5:$H$5</c:f>
              <c:numCache>
                <c:formatCode>#,##0</c:formatCode>
                <c:ptCount val="6"/>
                <c:pt idx="0">
                  <c:v>6115</c:v>
                </c:pt>
                <c:pt idx="1">
                  <c:v>6205</c:v>
                </c:pt>
                <c:pt idx="2">
                  <c:v>6174</c:v>
                </c:pt>
                <c:pt idx="3">
                  <c:v>6209</c:v>
                </c:pt>
                <c:pt idx="4">
                  <c:v>6046</c:v>
                </c:pt>
                <c:pt idx="5">
                  <c:v>6174</c:v>
                </c:pt>
              </c:numCache>
            </c:numRef>
          </c:val>
          <c:smooth val="1"/>
        </c:ser>
        <c:ser>
          <c:idx val="0"/>
          <c:order val="1"/>
          <c:tx>
            <c:strRef>
              <c:f>OZP!$B$6</c:f>
              <c:strCache>
                <c:ptCount val="1"/>
                <c:pt idx="0">
                  <c:v>Náklady na lůžkovou péči</c:v>
                </c:pt>
              </c:strCache>
            </c:strRef>
          </c:tx>
          <c:marker>
            <c:symbol val="none"/>
          </c:marker>
          <c:cat>
            <c:numRef>
              <c:f>OZP!$K$7:$P$7</c:f>
              <c:numCache>
                <c:formatCode>General</c:formatCode>
                <c:ptCount val="6"/>
                <c:pt idx="0">
                  <c:v>2009</c:v>
                </c:pt>
                <c:pt idx="1">
                  <c:v>2010</c:v>
                </c:pt>
                <c:pt idx="2">
                  <c:v>2011</c:v>
                </c:pt>
                <c:pt idx="3">
                  <c:v>2012</c:v>
                </c:pt>
                <c:pt idx="4">
                  <c:v>2013</c:v>
                </c:pt>
                <c:pt idx="5">
                  <c:v>2014</c:v>
                </c:pt>
              </c:numCache>
            </c:numRef>
          </c:cat>
          <c:val>
            <c:numRef>
              <c:f>OZP!$C$6:$H$6</c:f>
              <c:numCache>
                <c:formatCode>#,##0</c:formatCode>
                <c:ptCount val="6"/>
                <c:pt idx="0">
                  <c:v>8273</c:v>
                </c:pt>
                <c:pt idx="1">
                  <c:v>8554</c:v>
                </c:pt>
                <c:pt idx="2">
                  <c:v>8550</c:v>
                </c:pt>
                <c:pt idx="3">
                  <c:v>8385</c:v>
                </c:pt>
                <c:pt idx="4">
                  <c:v>8745</c:v>
                </c:pt>
                <c:pt idx="5">
                  <c:v>9551</c:v>
                </c:pt>
              </c:numCache>
            </c:numRef>
          </c:val>
          <c:smooth val="1"/>
        </c:ser>
        <c:ser>
          <c:idx val="1"/>
          <c:order val="2"/>
          <c:tx>
            <c:strRef>
              <c:f>OZP!$B$7</c:f>
              <c:strCache>
                <c:ptCount val="1"/>
                <c:pt idx="0">
                  <c:v>Ostatní náklady</c:v>
                </c:pt>
              </c:strCache>
            </c:strRef>
          </c:tx>
          <c:marker>
            <c:symbol val="none"/>
          </c:marker>
          <c:cat>
            <c:numRef>
              <c:f>OZP!$K$7:$P$7</c:f>
              <c:numCache>
                <c:formatCode>General</c:formatCode>
                <c:ptCount val="6"/>
                <c:pt idx="0">
                  <c:v>2009</c:v>
                </c:pt>
                <c:pt idx="1">
                  <c:v>2010</c:v>
                </c:pt>
                <c:pt idx="2">
                  <c:v>2011</c:v>
                </c:pt>
                <c:pt idx="3">
                  <c:v>2012</c:v>
                </c:pt>
                <c:pt idx="4">
                  <c:v>2013</c:v>
                </c:pt>
                <c:pt idx="5">
                  <c:v>2014</c:v>
                </c:pt>
              </c:numCache>
            </c:numRef>
          </c:cat>
          <c:val>
            <c:numRef>
              <c:f>OZP!$C$7:$H$7</c:f>
              <c:numCache>
                <c:formatCode>#,##0</c:formatCode>
                <c:ptCount val="6"/>
                <c:pt idx="0">
                  <c:v>3755</c:v>
                </c:pt>
                <c:pt idx="1">
                  <c:v>3690</c:v>
                </c:pt>
                <c:pt idx="2">
                  <c:v>3562</c:v>
                </c:pt>
                <c:pt idx="3">
                  <c:v>3722</c:v>
                </c:pt>
                <c:pt idx="4">
                  <c:v>3599</c:v>
                </c:pt>
                <c:pt idx="5">
                  <c:v>3583</c:v>
                </c:pt>
              </c:numCache>
            </c:numRef>
          </c:val>
          <c:smooth val="1"/>
        </c:ser>
        <c:marker val="1"/>
        <c:axId val="97720576"/>
        <c:axId val="97746944"/>
      </c:lineChart>
      <c:catAx>
        <c:axId val="97720576"/>
        <c:scaling>
          <c:orientation val="minMax"/>
        </c:scaling>
        <c:axPos val="b"/>
        <c:numFmt formatCode="General" sourceLinked="1"/>
        <c:majorTickMark val="none"/>
        <c:tickLblPos val="nextTo"/>
        <c:crossAx val="97746944"/>
        <c:crosses val="autoZero"/>
        <c:auto val="1"/>
        <c:lblAlgn val="ctr"/>
        <c:lblOffset val="100"/>
      </c:catAx>
      <c:valAx>
        <c:axId val="97746944"/>
        <c:scaling>
          <c:orientation val="minMax"/>
          <c:min val="3000"/>
        </c:scaling>
        <c:axPos val="l"/>
        <c:majorGridlines/>
        <c:numFmt formatCode="#,##0" sourceLinked="1"/>
        <c:majorTickMark val="none"/>
        <c:tickLblPos val="nextTo"/>
        <c:crossAx val="97720576"/>
        <c:crosses val="autoZero"/>
        <c:crossBetween val="between"/>
      </c:valAx>
      <c:spPr>
        <a:noFill/>
        <a:ln w="25400">
          <a:noFill/>
        </a:ln>
      </c:spPr>
    </c:plotArea>
    <c:legend>
      <c:legendPos val="r"/>
      <c:layout>
        <c:manualLayout>
          <c:xMode val="edge"/>
          <c:yMode val="edge"/>
          <c:x val="0.73980830174005996"/>
          <c:y val="0.35317231413489014"/>
          <c:w val="0.23500508732704706"/>
          <c:h val="0.31834828511604629"/>
        </c:manualLayout>
      </c:layout>
    </c:legend>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400" b="1" i="0" u="none" strike="noStrike" baseline="0">
                <a:effectLst/>
              </a:rPr>
              <a:t>Celkové náklady na zdravotní služby v přepočtu na 1 pojištěnce</a:t>
            </a:r>
            <a:r>
              <a:rPr lang="cs-CZ" sz="1400"/>
              <a:t> </a:t>
            </a:r>
          </a:p>
        </c:rich>
      </c:tx>
      <c:layout>
        <c:manualLayout>
          <c:xMode val="edge"/>
          <c:yMode val="edge"/>
          <c:x val="9.2595944106549172E-2"/>
          <c:y val="2.8701255531533406E-2"/>
        </c:manualLayout>
      </c:layout>
      <c:spPr>
        <a:noFill/>
        <a:ln w="25400">
          <a:noFill/>
        </a:ln>
      </c:spPr>
    </c:title>
    <c:plotArea>
      <c:layout>
        <c:manualLayout>
          <c:layoutTarget val="inner"/>
          <c:xMode val="edge"/>
          <c:yMode val="edge"/>
          <c:x val="6.5616881993420431E-2"/>
          <c:y val="0.11928948793609202"/>
          <c:w val="0.90059218714165556"/>
          <c:h val="0.79441722817014482"/>
        </c:manualLayout>
      </c:layout>
      <c:lineChart>
        <c:grouping val="standard"/>
        <c:ser>
          <c:idx val="2"/>
          <c:order val="0"/>
          <c:tx>
            <c:strRef>
              <c:f>ZPŠ!$B$8</c:f>
              <c:strCache>
                <c:ptCount val="1"/>
                <c:pt idx="0">
                  <c:v>Celkové náklady</c:v>
                </c:pt>
              </c:strCache>
            </c:strRef>
          </c:tx>
          <c:spPr>
            <a:ln>
              <a:solidFill>
                <a:srgbClr val="FF0000"/>
              </a:solidFill>
            </a:ln>
          </c:spPr>
          <c:marker>
            <c:symbol val="none"/>
          </c:marker>
          <c:cat>
            <c:numRef>
              <c:f>ZPŠ!$K$9:$P$9</c:f>
              <c:numCache>
                <c:formatCode>General</c:formatCode>
                <c:ptCount val="6"/>
                <c:pt idx="0">
                  <c:v>2009</c:v>
                </c:pt>
                <c:pt idx="1">
                  <c:v>2010</c:v>
                </c:pt>
                <c:pt idx="2">
                  <c:v>2011</c:v>
                </c:pt>
                <c:pt idx="3">
                  <c:v>2012</c:v>
                </c:pt>
                <c:pt idx="4">
                  <c:v>2013</c:v>
                </c:pt>
                <c:pt idx="5">
                  <c:v>2014</c:v>
                </c:pt>
              </c:numCache>
            </c:numRef>
          </c:cat>
          <c:val>
            <c:numRef>
              <c:f>ZPŠ!$C$8:$H$8</c:f>
              <c:numCache>
                <c:formatCode>#,##0</c:formatCode>
                <c:ptCount val="6"/>
                <c:pt idx="0">
                  <c:v>19704</c:v>
                </c:pt>
                <c:pt idx="1">
                  <c:v>19715</c:v>
                </c:pt>
                <c:pt idx="2">
                  <c:v>19949</c:v>
                </c:pt>
                <c:pt idx="3">
                  <c:v>20303</c:v>
                </c:pt>
                <c:pt idx="4">
                  <c:v>20673</c:v>
                </c:pt>
                <c:pt idx="5">
                  <c:v>21208</c:v>
                </c:pt>
              </c:numCache>
            </c:numRef>
          </c:val>
          <c:smooth val="1"/>
        </c:ser>
        <c:marker val="1"/>
        <c:axId val="97767424"/>
        <c:axId val="97768960"/>
      </c:lineChart>
      <c:catAx>
        <c:axId val="97767424"/>
        <c:scaling>
          <c:orientation val="minMax"/>
        </c:scaling>
        <c:axPos val="b"/>
        <c:numFmt formatCode="General" sourceLinked="1"/>
        <c:majorTickMark val="none"/>
        <c:tickLblPos val="nextTo"/>
        <c:crossAx val="97768960"/>
        <c:crosses val="autoZero"/>
        <c:auto val="1"/>
        <c:lblAlgn val="ctr"/>
        <c:lblOffset val="100"/>
      </c:catAx>
      <c:valAx>
        <c:axId val="97768960"/>
        <c:scaling>
          <c:orientation val="minMax"/>
          <c:min val="19500"/>
        </c:scaling>
        <c:axPos val="l"/>
        <c:majorGridlines/>
        <c:numFmt formatCode="#,##0" sourceLinked="1"/>
        <c:majorTickMark val="none"/>
        <c:tickLblPos val="nextTo"/>
        <c:crossAx val="97767424"/>
        <c:crosses val="autoZero"/>
        <c:crossBetween val="between"/>
      </c:valAx>
      <c:spPr>
        <a:noFill/>
        <a:ln w="25400">
          <a:noFill/>
        </a:ln>
      </c:spPr>
    </c:plotArea>
    <c:plotVisOnly val="1"/>
    <c:dispBlanksAs val="gap"/>
  </c:chart>
  <c:spPr>
    <a:gradFill rotWithShape="0">
      <a:gsLst>
        <a:gs pos="0">
          <a:srgbClr val="99CCFF"/>
        </a:gs>
        <a:gs pos="100000">
          <a:srgbClr val="FFFFFF">
            <a:gamma/>
            <a:tint val="0"/>
            <a:invGamma/>
          </a:srgbClr>
        </a:gs>
      </a:gsLst>
      <a:lin ang="2700000" scaled="1"/>
    </a:gradFill>
    <a:ln w="3175">
      <a:solidFill>
        <a:srgbClr val="808080"/>
      </a:solidFill>
      <a:prstDash val="solid"/>
    </a:ln>
  </c:spPr>
  <c:externalData r:id="rId2"/>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79BFB-6342-40D3-BC01-C5DC214C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18628</Words>
  <Characters>109911</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na Ministerstvu financí :</vt:lpstr>
    </vt:vector>
  </TitlesOfParts>
  <Company>Ministerstvo financí</Company>
  <LinksUpToDate>false</LinksUpToDate>
  <CharactersWithSpaces>128283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Ministerstvu financí :</dc:title>
  <dc:creator>mfčr</dc:creator>
  <cp:lastModifiedBy>Martina</cp:lastModifiedBy>
  <cp:revision>2</cp:revision>
  <cp:lastPrinted>2014-02-26T15:19:00Z</cp:lastPrinted>
  <dcterms:created xsi:type="dcterms:W3CDTF">2014-04-09T11:02:00Z</dcterms:created>
  <dcterms:modified xsi:type="dcterms:W3CDTF">2014-04-09T11:02:00Z</dcterms:modified>
</cp:coreProperties>
</file>