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46" w:rsidRDefault="00502E46" w:rsidP="00502E46">
      <w:pPr>
        <w:jc w:val="center"/>
        <w:rPr>
          <w:sz w:val="32"/>
          <w:szCs w:val="32"/>
        </w:rPr>
      </w:pPr>
    </w:p>
    <w:p w:rsidR="001A51B5" w:rsidRPr="00502E46" w:rsidRDefault="00D202A1" w:rsidP="00502E46">
      <w:pPr>
        <w:jc w:val="center"/>
        <w:rPr>
          <w:sz w:val="32"/>
          <w:szCs w:val="32"/>
        </w:rPr>
      </w:pPr>
      <w:r w:rsidRPr="00502E46">
        <w:rPr>
          <w:sz w:val="32"/>
          <w:szCs w:val="32"/>
        </w:rPr>
        <w:t>Jednání PT RHSD ČR pro zdravotnictví</w:t>
      </w:r>
    </w:p>
    <w:p w:rsidR="00502E46" w:rsidRPr="00502E46" w:rsidRDefault="00502E46" w:rsidP="00502E46">
      <w:pPr>
        <w:jc w:val="center"/>
        <w:rPr>
          <w:sz w:val="32"/>
          <w:szCs w:val="32"/>
        </w:rPr>
      </w:pPr>
      <w:r w:rsidRPr="00502E46">
        <w:rPr>
          <w:sz w:val="32"/>
          <w:szCs w:val="32"/>
        </w:rPr>
        <w:t>15. 4. 2014</w:t>
      </w:r>
    </w:p>
    <w:p w:rsidR="00502E46" w:rsidRDefault="00502E46" w:rsidP="00502E46">
      <w:pPr>
        <w:jc w:val="center"/>
      </w:pPr>
    </w:p>
    <w:p w:rsidR="00502E46" w:rsidRDefault="00502E46" w:rsidP="00502E46">
      <w:pPr>
        <w:jc w:val="center"/>
      </w:pPr>
    </w:p>
    <w:p w:rsidR="00502E46" w:rsidRDefault="00502E46" w:rsidP="00502E46">
      <w:pPr>
        <w:jc w:val="center"/>
      </w:pPr>
    </w:p>
    <w:p w:rsidR="00502E46" w:rsidRDefault="00502E46" w:rsidP="00502E46">
      <w:pPr>
        <w:jc w:val="center"/>
      </w:pPr>
    </w:p>
    <w:p w:rsidR="00D202A1" w:rsidRPr="00502E46" w:rsidRDefault="00D202A1" w:rsidP="00502E46">
      <w:pPr>
        <w:jc w:val="center"/>
        <w:rPr>
          <w:b/>
          <w:sz w:val="40"/>
          <w:szCs w:val="40"/>
          <w:u w:val="single"/>
        </w:rPr>
      </w:pPr>
      <w:r w:rsidRPr="00502E46">
        <w:rPr>
          <w:b/>
          <w:sz w:val="40"/>
          <w:szCs w:val="40"/>
          <w:u w:val="single"/>
        </w:rPr>
        <w:t>Bod 5.</w:t>
      </w:r>
    </w:p>
    <w:p w:rsidR="00D202A1" w:rsidRPr="00502E46" w:rsidRDefault="00D202A1" w:rsidP="00502E46">
      <w:pPr>
        <w:jc w:val="center"/>
        <w:rPr>
          <w:b/>
          <w:sz w:val="40"/>
          <w:szCs w:val="40"/>
        </w:rPr>
      </w:pPr>
      <w:r w:rsidRPr="00502E46">
        <w:rPr>
          <w:b/>
          <w:sz w:val="40"/>
          <w:szCs w:val="40"/>
        </w:rPr>
        <w:t>Léková politika</w:t>
      </w:r>
    </w:p>
    <w:p w:rsidR="00D202A1" w:rsidRDefault="00D202A1">
      <w:r>
        <w:br w:type="page"/>
      </w:r>
    </w:p>
    <w:p w:rsidR="00D202A1" w:rsidRPr="007A73ED" w:rsidRDefault="00D202A1">
      <w:pPr>
        <w:rPr>
          <w:b/>
          <w:sz w:val="32"/>
          <w:szCs w:val="32"/>
        </w:rPr>
      </w:pPr>
      <w:r w:rsidRPr="007A73ED">
        <w:rPr>
          <w:b/>
          <w:sz w:val="32"/>
          <w:szCs w:val="32"/>
        </w:rPr>
        <w:lastRenderedPageBreak/>
        <w:t>Úvod</w:t>
      </w:r>
    </w:p>
    <w:p w:rsidR="00D202A1" w:rsidRDefault="00D202A1">
      <w:r>
        <w:t>Ministerstvo zdravotnictví České republiky, sekce zdravotního pojištění předkládá PT RHSD ČR pro zdravotnictví materiál shrnující aktuální situaci v lékové politice.</w:t>
      </w:r>
    </w:p>
    <w:p w:rsidR="00D202A1" w:rsidRDefault="00D202A1">
      <w:r>
        <w:t>Předkládaný materiál vychází z informací zdravotních pojišťoven, Ústavu zdravotnických informací a statistiky a Státního ústavu pro kontrolu léčiv.</w:t>
      </w:r>
    </w:p>
    <w:p w:rsidR="00D202A1" w:rsidRDefault="00D202A1">
      <w:r>
        <w:br w:type="page"/>
      </w:r>
    </w:p>
    <w:p w:rsidR="00D202A1" w:rsidRPr="007A73ED" w:rsidRDefault="007A73E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5.1. </w:t>
      </w:r>
      <w:r w:rsidR="00D202A1" w:rsidRPr="007A73ED">
        <w:rPr>
          <w:b/>
          <w:sz w:val="32"/>
          <w:szCs w:val="32"/>
        </w:rPr>
        <w:t>Přehled vývoje cena a úhrad léčiv od roku 2009 do 2013</w:t>
      </w:r>
    </w:p>
    <w:p w:rsidR="00D202A1" w:rsidRDefault="00D202A1">
      <w:r>
        <w:t>K dispozici jsou údaje o počtech distribuovaných balení a ceně původce. Z těchto údajů je vypočítána průměrná cena za distribuované balení na úrovni cen původce.</w:t>
      </w:r>
    </w:p>
    <w:tbl>
      <w:tblPr>
        <w:tblW w:w="850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7"/>
        <w:gridCol w:w="1417"/>
        <w:gridCol w:w="1417"/>
        <w:gridCol w:w="1417"/>
        <w:gridCol w:w="1417"/>
        <w:gridCol w:w="1417"/>
      </w:tblGrid>
      <w:tr w:rsidR="00D202A1" w:rsidRPr="00221DDA" w:rsidTr="00502E46">
        <w:trPr>
          <w:trHeight w:val="794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221DDA" w:rsidRDefault="00D202A1" w:rsidP="00502E46">
            <w:pPr>
              <w:spacing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21DDA">
              <w:rPr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221DDA" w:rsidRDefault="00D202A1" w:rsidP="00502E46">
            <w:pPr>
              <w:spacing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Čtvrtletí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221DDA" w:rsidRDefault="00D202A1" w:rsidP="00D202A1">
            <w:pPr>
              <w:spacing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DDD</w:t>
            </w:r>
            <w:r w:rsidRPr="00221DDA">
              <w:rPr>
                <w:b/>
                <w:bCs/>
                <w:color w:val="000000"/>
                <w:lang w:eastAsia="cs-CZ"/>
              </w:rPr>
              <w:t xml:space="preserve"> celkem</w:t>
            </w:r>
            <w:r>
              <w:rPr>
                <w:b/>
                <w:bCs/>
                <w:color w:val="000000"/>
                <w:lang w:eastAsia="cs-CZ"/>
              </w:rPr>
              <w:br/>
            </w:r>
            <w:r w:rsidRPr="00221DDA">
              <w:rPr>
                <w:b/>
                <w:bCs/>
                <w:color w:val="000000"/>
                <w:lang w:eastAsia="cs-CZ"/>
              </w:rPr>
              <w:t>(mil.)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221DDA" w:rsidRDefault="00D202A1" w:rsidP="00D202A1">
            <w:pPr>
              <w:spacing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221DDA">
              <w:rPr>
                <w:b/>
                <w:bCs/>
                <w:color w:val="000000"/>
                <w:lang w:eastAsia="cs-CZ"/>
              </w:rPr>
              <w:t>Balení</w:t>
            </w:r>
            <w:r>
              <w:rPr>
                <w:b/>
                <w:bCs/>
                <w:color w:val="000000"/>
                <w:lang w:eastAsia="cs-CZ"/>
              </w:rPr>
              <w:br/>
            </w:r>
            <w:r w:rsidRPr="00221DDA">
              <w:rPr>
                <w:b/>
                <w:bCs/>
                <w:color w:val="000000"/>
                <w:lang w:eastAsia="cs-CZ"/>
              </w:rPr>
              <w:t>(mil. ks)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221DDA" w:rsidRDefault="00D202A1" w:rsidP="00D202A1">
            <w:pPr>
              <w:spacing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Cena </w:t>
            </w:r>
            <w:r w:rsidRPr="00221DDA">
              <w:rPr>
                <w:b/>
                <w:bCs/>
                <w:color w:val="000000"/>
                <w:lang w:eastAsia="cs-CZ"/>
              </w:rPr>
              <w:t xml:space="preserve"> původce</w:t>
            </w:r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r w:rsidRPr="00221DDA">
              <w:rPr>
                <w:b/>
                <w:bCs/>
                <w:color w:val="000000"/>
                <w:lang w:eastAsia="cs-CZ"/>
              </w:rPr>
              <w:t>(mld. Kč)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221DDA" w:rsidRDefault="00D202A1" w:rsidP="00D202A1">
            <w:pPr>
              <w:spacing w:line="240" w:lineRule="auto"/>
              <w:jc w:val="center"/>
              <w:rPr>
                <w:b/>
                <w:color w:val="000000"/>
                <w:lang w:eastAsia="cs-CZ"/>
              </w:rPr>
            </w:pPr>
            <w:r w:rsidRPr="00221DDA">
              <w:rPr>
                <w:b/>
                <w:color w:val="000000"/>
                <w:lang w:eastAsia="cs-CZ"/>
              </w:rPr>
              <w:t>Průměrná cena za balení (Kč)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1 309,42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83,366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12,933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1 378,24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78,931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13,15</w:t>
            </w:r>
            <w:r w:rsid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1 318,48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77,704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12,962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1 338,66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77,729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13,753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177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1 398,32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83,537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14,224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1 460,16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76,709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14,948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195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1 350,60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74,113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14,284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193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1 374,01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77,944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191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1 496,10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80,436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14,988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186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1 532,51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76,644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15,085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197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1 356,48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71,978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195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1 453,98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75,532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1 517,46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80,687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15,053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187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1 531,33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74,858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15,164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203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1 363,78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68,267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13,705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1 448,40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72,885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14,816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203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1 553,06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75,963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15,064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1 536,72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71,44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15,253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214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1 327,56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62,438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13,477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216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1 461,00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70,354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212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1 565,43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74,101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14,774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199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1 514,80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66,514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14,028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211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1 377,033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62,015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12,982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</w:tr>
      <w:tr w:rsidR="00D202A1" w:rsidRPr="00221DDA" w:rsidTr="007A73ED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1 519,144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65,291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2A1" w:rsidRPr="007A73ED" w:rsidRDefault="00D202A1" w:rsidP="007A73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13,425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02A1" w:rsidRPr="007A73ED" w:rsidRDefault="00D202A1" w:rsidP="007A73ED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73ED">
              <w:rPr>
                <w:rFonts w:ascii="Calibri" w:eastAsia="Times New Roman" w:hAnsi="Calibri" w:cs="Times New Roman"/>
                <w:color w:val="000000"/>
                <w:lang w:eastAsia="cs-CZ"/>
              </w:rPr>
              <w:t>206</w:t>
            </w:r>
          </w:p>
        </w:tc>
      </w:tr>
    </w:tbl>
    <w:p w:rsidR="00D202A1" w:rsidRDefault="00D202A1" w:rsidP="004B1E1A">
      <w:pPr>
        <w:pStyle w:val="Titulek"/>
        <w:jc w:val="center"/>
      </w:pPr>
      <w:r>
        <w:t xml:space="preserve">Tabulka </w:t>
      </w:r>
      <w:r w:rsidR="0046651D">
        <w:fldChar w:fldCharType="begin"/>
      </w:r>
      <w:r>
        <w:instrText xml:space="preserve"> SEQ Tabulka \* ARABIC </w:instrText>
      </w:r>
      <w:r w:rsidR="0046651D">
        <w:fldChar w:fldCharType="separate"/>
      </w:r>
      <w:r w:rsidR="009F5D5E">
        <w:rPr>
          <w:noProof/>
        </w:rPr>
        <w:t>1</w:t>
      </w:r>
      <w:r w:rsidR="0046651D">
        <w:fldChar w:fldCharType="end"/>
      </w:r>
      <w:r>
        <w:t xml:space="preserve"> Zdroj dat SÚKL</w:t>
      </w:r>
    </w:p>
    <w:p w:rsidR="00DC34EE" w:rsidRDefault="00DC34EE" w:rsidP="004B1E1A">
      <w:pPr>
        <w:keepNext/>
        <w:jc w:val="center"/>
      </w:pPr>
    </w:p>
    <w:p w:rsidR="004B1E1A" w:rsidRDefault="00502E46" w:rsidP="004B1E1A">
      <w:pPr>
        <w:keepNext/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2E46" w:rsidRDefault="004B1E1A" w:rsidP="004B1E1A">
      <w:pPr>
        <w:pStyle w:val="Titulek"/>
        <w:jc w:val="center"/>
      </w:pPr>
      <w:r>
        <w:t xml:space="preserve">Graf </w:t>
      </w:r>
      <w:r w:rsidR="0046651D">
        <w:fldChar w:fldCharType="begin"/>
      </w:r>
      <w:r>
        <w:instrText xml:space="preserve"> SEQ Graf \* ARABIC </w:instrText>
      </w:r>
      <w:r w:rsidR="0046651D">
        <w:fldChar w:fldCharType="separate"/>
      </w:r>
      <w:r w:rsidR="009F5D5E">
        <w:rPr>
          <w:noProof/>
        </w:rPr>
        <w:t>1</w:t>
      </w:r>
      <w:r w:rsidR="0046651D">
        <w:fldChar w:fldCharType="end"/>
      </w:r>
      <w:r>
        <w:t xml:space="preserve"> Zdroj dat SÚKL</w:t>
      </w:r>
    </w:p>
    <w:p w:rsidR="00DC34EE" w:rsidRDefault="00DC34EE" w:rsidP="004B1E1A"/>
    <w:p w:rsidR="004B1E1A" w:rsidRPr="004B1E1A" w:rsidRDefault="004B1E1A" w:rsidP="004B1E1A">
      <w:r>
        <w:t>Přehled vývoje úhrad zdravotních pojišťoven za léky dle způsobu výdeje.</w:t>
      </w:r>
    </w:p>
    <w:tbl>
      <w:tblPr>
        <w:tblW w:w="95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24"/>
        <w:gridCol w:w="1587"/>
        <w:gridCol w:w="1587"/>
        <w:gridCol w:w="1587"/>
        <w:gridCol w:w="1587"/>
        <w:gridCol w:w="1304"/>
        <w:gridCol w:w="1304"/>
      </w:tblGrid>
      <w:tr w:rsidR="004B1E1A" w:rsidRPr="00502E46" w:rsidTr="004B1E1A">
        <w:trPr>
          <w:trHeight w:val="6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4B1E1A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B1E1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Rok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Úhrada Rp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Úhrada ZULP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bal. Rp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bal. ZULP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Průměrná úhrada Rp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4B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Průměrná úhrada ZULP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35 569 556 541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3 428 528 170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195 789 857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15 416 155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222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38 072 810 870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3 592 142 972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197 558 567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9 513 076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378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33 987 588 294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5 221 319 263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179 823 159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7 623 727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685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33 356 449 431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9 688 435 955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189 434 693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12 723 342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761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32 720 454 240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11 176 607 281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151 132 706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8 407 439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1 329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36 924 516 511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13 524 591 486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158 817 883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9 560 341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1 415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34 123 414 982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14 565 415 682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156 017 909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10 197 317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1 428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33 905 136 424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15 235 846 617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152 885 518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10 813 551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1 409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36 083 619 297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15 114 704 691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143 513 721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9 358 106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1 615</w:t>
            </w:r>
          </w:p>
        </w:tc>
      </w:tr>
      <w:tr w:rsidR="004B1E1A" w:rsidRPr="00502E46" w:rsidTr="004B1E1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34 303 949 224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17 036 563 355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135 485 163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9 685 448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4B1E1A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1 759</w:t>
            </w:r>
          </w:p>
        </w:tc>
      </w:tr>
    </w:tbl>
    <w:p w:rsidR="00502E46" w:rsidRDefault="004B1E1A" w:rsidP="004B1E1A">
      <w:pPr>
        <w:pStyle w:val="Titulek"/>
        <w:jc w:val="center"/>
      </w:pPr>
      <w:r>
        <w:t xml:space="preserve">Tabulka </w:t>
      </w:r>
      <w:r w:rsidR="0046651D">
        <w:fldChar w:fldCharType="begin"/>
      </w:r>
      <w:r>
        <w:instrText xml:space="preserve"> SEQ Tabulka \* ARABIC </w:instrText>
      </w:r>
      <w:r w:rsidR="0046651D">
        <w:fldChar w:fldCharType="separate"/>
      </w:r>
      <w:r w:rsidR="009F5D5E">
        <w:rPr>
          <w:noProof/>
        </w:rPr>
        <w:t>2</w:t>
      </w:r>
      <w:r w:rsidR="0046651D">
        <w:fldChar w:fldCharType="end"/>
      </w:r>
      <w:r>
        <w:t xml:space="preserve"> Zdroj dat zdravotní pojišťovny</w:t>
      </w:r>
    </w:p>
    <w:p w:rsidR="004B1E1A" w:rsidRPr="004B1E1A" w:rsidRDefault="004B1E1A" w:rsidP="004B1E1A"/>
    <w:p w:rsidR="004B1E1A" w:rsidRDefault="00502E46" w:rsidP="004B1E1A">
      <w:pPr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083694"/>
            <wp:effectExtent l="0" t="0" r="11430" b="2159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2E46" w:rsidRDefault="004B1E1A" w:rsidP="004B1E1A">
      <w:pPr>
        <w:pStyle w:val="Titulek"/>
        <w:jc w:val="center"/>
      </w:pPr>
      <w:r>
        <w:t xml:space="preserve">Graf </w:t>
      </w:r>
      <w:r w:rsidR="0046651D">
        <w:fldChar w:fldCharType="begin"/>
      </w:r>
      <w:r>
        <w:instrText xml:space="preserve"> SEQ Graf \* ARABIC </w:instrText>
      </w:r>
      <w:r w:rsidR="0046651D">
        <w:fldChar w:fldCharType="separate"/>
      </w:r>
      <w:r w:rsidR="009F5D5E">
        <w:rPr>
          <w:noProof/>
        </w:rPr>
        <w:t>2</w:t>
      </w:r>
      <w:r w:rsidR="0046651D">
        <w:fldChar w:fldCharType="end"/>
      </w:r>
      <w:r>
        <w:t xml:space="preserve"> Zdroj dat zdravotní pojišťovny</w:t>
      </w:r>
    </w:p>
    <w:p w:rsidR="009F5D5E" w:rsidRDefault="00502E46" w:rsidP="009F5D5E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5760720" cy="2711936"/>
            <wp:effectExtent l="0" t="0" r="11430" b="1270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906" w:rsidRDefault="009F5D5E" w:rsidP="009F5D5E">
      <w:pPr>
        <w:pStyle w:val="Titulek"/>
        <w:jc w:val="center"/>
      </w:pPr>
      <w:r>
        <w:t xml:space="preserve">Graf </w:t>
      </w:r>
      <w:r w:rsidR="0046651D">
        <w:fldChar w:fldCharType="begin"/>
      </w:r>
      <w:r>
        <w:instrText xml:space="preserve"> SEQ Graf \* ARABIC </w:instrText>
      </w:r>
      <w:r w:rsidR="0046651D">
        <w:fldChar w:fldCharType="separate"/>
      </w:r>
      <w:r>
        <w:rPr>
          <w:noProof/>
        </w:rPr>
        <w:t>3</w:t>
      </w:r>
      <w:r w:rsidR="0046651D">
        <w:fldChar w:fldCharType="end"/>
      </w:r>
      <w:r>
        <w:t xml:space="preserve"> Zdroj dat zdravotní pojišťovny</w:t>
      </w:r>
    </w:p>
    <w:p w:rsidR="00C33906" w:rsidRDefault="00C33906">
      <w:pPr>
        <w:rPr>
          <w:b/>
          <w:bCs/>
          <w:color w:val="4F81BD" w:themeColor="accent1"/>
          <w:sz w:val="18"/>
          <w:szCs w:val="18"/>
        </w:rPr>
      </w:pPr>
      <w:r>
        <w:br w:type="page"/>
      </w:r>
    </w:p>
    <w:p w:rsidR="00502E46" w:rsidRDefault="00502E46" w:rsidP="009F5D5E">
      <w:pPr>
        <w:pStyle w:val="Titulek"/>
        <w:jc w:val="center"/>
      </w:pPr>
    </w:p>
    <w:p w:rsidR="00502E46" w:rsidRDefault="009F5D5E" w:rsidP="00502E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5.2. </w:t>
      </w:r>
      <w:r w:rsidR="00502E46" w:rsidRPr="009F5D5E">
        <w:rPr>
          <w:b/>
          <w:sz w:val="32"/>
          <w:szCs w:val="32"/>
        </w:rPr>
        <w:t>Spotřeba léků na recept a v</w:t>
      </w:r>
      <w:r w:rsidRPr="009F5D5E">
        <w:rPr>
          <w:b/>
          <w:sz w:val="32"/>
          <w:szCs w:val="32"/>
        </w:rPr>
        <w:t> </w:t>
      </w:r>
      <w:r w:rsidR="00502E46" w:rsidRPr="009F5D5E">
        <w:rPr>
          <w:b/>
          <w:sz w:val="32"/>
          <w:szCs w:val="32"/>
        </w:rPr>
        <w:t>nemocnicích</w:t>
      </w:r>
      <w:r w:rsidRPr="009F5D5E">
        <w:rPr>
          <w:b/>
          <w:sz w:val="32"/>
          <w:szCs w:val="32"/>
        </w:rPr>
        <w:t xml:space="preserve"> (ZULP)</w:t>
      </w:r>
    </w:p>
    <w:p w:rsidR="009F5D5E" w:rsidRPr="009F5D5E" w:rsidRDefault="009F5D5E" w:rsidP="009F5D5E">
      <w:r>
        <w:t>Údaje o spotřebách léků podle způsobu výdeje (recept, ZULP) jsou zpracované v předchozím bodě. Níže jsou zpracované údaje ze zprávy ÚZIS Ekonomické výsledky nemocnic.</w:t>
      </w:r>
    </w:p>
    <w:tbl>
      <w:tblPr>
        <w:tblW w:w="79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160"/>
        <w:gridCol w:w="1160"/>
        <w:gridCol w:w="1160"/>
        <w:gridCol w:w="1160"/>
        <w:gridCol w:w="1160"/>
        <w:gridCol w:w="1160"/>
      </w:tblGrid>
      <w:tr w:rsidR="00502E46" w:rsidRPr="00502E46" w:rsidTr="009F5D5E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9F5D5E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F5D5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Rok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MZ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Krajské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Obecní a městské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Jiná práv. osoba, církení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Ostatní centrální orgány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Celkem</w:t>
            </w:r>
          </w:p>
        </w:tc>
      </w:tr>
      <w:tr w:rsidR="00502E46" w:rsidRPr="00502E46" w:rsidTr="009F5D5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9 718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3 499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14 730</w:t>
            </w:r>
          </w:p>
        </w:tc>
      </w:tr>
      <w:tr w:rsidR="00502E46" w:rsidRPr="00502E46" w:rsidTr="009F5D5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10 283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3 820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15 700</w:t>
            </w:r>
          </w:p>
        </w:tc>
      </w:tr>
      <w:tr w:rsidR="00502E46" w:rsidRPr="00502E46" w:rsidTr="009F5D5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10 509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3 786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15 894</w:t>
            </w:r>
          </w:p>
        </w:tc>
      </w:tr>
      <w:tr w:rsidR="00502E46" w:rsidRPr="00502E46" w:rsidTr="009F5D5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11 141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4 277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9F5D5E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17 015</w:t>
            </w:r>
          </w:p>
        </w:tc>
      </w:tr>
    </w:tbl>
    <w:p w:rsidR="00502E46" w:rsidRDefault="009F5D5E" w:rsidP="009F5D5E">
      <w:pPr>
        <w:pStyle w:val="Titulek"/>
        <w:jc w:val="center"/>
      </w:pPr>
      <w:r>
        <w:t xml:space="preserve">Tabulka </w:t>
      </w:r>
      <w:r w:rsidR="0046651D">
        <w:fldChar w:fldCharType="begin"/>
      </w:r>
      <w:r>
        <w:instrText xml:space="preserve"> SEQ Tabulka \* ARABIC </w:instrText>
      </w:r>
      <w:r w:rsidR="0046651D">
        <w:fldChar w:fldCharType="separate"/>
      </w:r>
      <w:r>
        <w:rPr>
          <w:noProof/>
        </w:rPr>
        <w:t>3</w:t>
      </w:r>
      <w:r w:rsidR="0046651D">
        <w:fldChar w:fldCharType="end"/>
      </w:r>
      <w:r>
        <w:t xml:space="preserve"> Zdroj dat ÚZIS</w:t>
      </w:r>
    </w:p>
    <w:p w:rsidR="009F5D5E" w:rsidRDefault="00502E46" w:rsidP="009F5D5E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5760720" cy="3239257"/>
            <wp:effectExtent l="0" t="0" r="11430" b="1841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2E46" w:rsidRDefault="009F5D5E" w:rsidP="009F5D5E">
      <w:pPr>
        <w:pStyle w:val="Titulek"/>
        <w:jc w:val="center"/>
      </w:pPr>
      <w:r>
        <w:t xml:space="preserve">Graf </w:t>
      </w:r>
      <w:r w:rsidR="0046651D">
        <w:fldChar w:fldCharType="begin"/>
      </w:r>
      <w:r>
        <w:instrText xml:space="preserve"> SEQ Graf \* ARABIC </w:instrText>
      </w:r>
      <w:r w:rsidR="0046651D">
        <w:fldChar w:fldCharType="separate"/>
      </w:r>
      <w:r>
        <w:rPr>
          <w:noProof/>
        </w:rPr>
        <w:t>4</w:t>
      </w:r>
      <w:r w:rsidR="0046651D">
        <w:fldChar w:fldCharType="end"/>
      </w:r>
      <w:r>
        <w:t xml:space="preserve"> Zdroj dat ÚZIS</w:t>
      </w:r>
    </w:p>
    <w:p w:rsidR="00502E46" w:rsidRDefault="009F5D5E" w:rsidP="00502E46">
      <w:pPr>
        <w:rPr>
          <w:b/>
          <w:sz w:val="32"/>
          <w:szCs w:val="32"/>
        </w:rPr>
      </w:pPr>
      <w:r w:rsidRPr="009F5D5E">
        <w:rPr>
          <w:b/>
          <w:sz w:val="32"/>
          <w:szCs w:val="32"/>
        </w:rPr>
        <w:t xml:space="preserve">5.3. </w:t>
      </w:r>
      <w:r w:rsidR="00502E46" w:rsidRPr="009F5D5E">
        <w:rPr>
          <w:b/>
          <w:sz w:val="32"/>
          <w:szCs w:val="32"/>
        </w:rPr>
        <w:t>Podíl tzv. reexportovaných léčiv na celkové spotřebě léků v</w:t>
      </w:r>
      <w:r>
        <w:rPr>
          <w:b/>
          <w:sz w:val="32"/>
          <w:szCs w:val="32"/>
        </w:rPr>
        <w:t> </w:t>
      </w:r>
      <w:r w:rsidR="00502E46" w:rsidRPr="009F5D5E">
        <w:rPr>
          <w:b/>
          <w:sz w:val="32"/>
          <w:szCs w:val="32"/>
        </w:rPr>
        <w:t>ČR</w:t>
      </w:r>
    </w:p>
    <w:p w:rsidR="009F5D5E" w:rsidRPr="009F5D5E" w:rsidRDefault="009F5D5E" w:rsidP="009F5D5E">
      <w:r>
        <w:t>Přehled uvádí množství léčivých přípravků distribuovaných do lékáren v ČR a mimo území ČR v roce 2013. Zdroj dat je SÚKL.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18"/>
        <w:gridCol w:w="1531"/>
        <w:gridCol w:w="1531"/>
        <w:gridCol w:w="1531"/>
        <w:gridCol w:w="1304"/>
      </w:tblGrid>
      <w:tr w:rsidR="009F5D5E" w:rsidRPr="009F5D5E" w:rsidTr="009F5D5E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Dodávky do lékáren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Reexport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6" w:rsidRPr="00502E46" w:rsidRDefault="00502E46" w:rsidP="009F5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Podíl reexportu</w:t>
            </w:r>
          </w:p>
        </w:tc>
      </w:tr>
      <w:tr w:rsidR="009F5D5E" w:rsidRPr="00502E46" w:rsidTr="009F5D5E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Počet balení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267 907 155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5 364 376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273 271 531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1,96%</w:t>
            </w:r>
          </w:p>
        </w:tc>
      </w:tr>
      <w:tr w:rsidR="009F5D5E" w:rsidRPr="00502E46" w:rsidTr="009F5D5E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Definované denní dávky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5 921 879 891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138 493 955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6 060 373 846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2,29%</w:t>
            </w:r>
          </w:p>
        </w:tc>
      </w:tr>
      <w:tr w:rsidR="009F5D5E" w:rsidRPr="00502E46" w:rsidTr="009F5D5E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Objem financí bez přirážky a DPH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55 199 383 000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3 569 784 697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50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58 769 167 697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E46" w:rsidRPr="00502E46" w:rsidRDefault="00502E46" w:rsidP="009F5D5E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2E46">
              <w:rPr>
                <w:rFonts w:ascii="Calibri" w:eastAsia="Times New Roman" w:hAnsi="Calibri" w:cs="Times New Roman"/>
                <w:color w:val="000000"/>
                <w:lang w:eastAsia="cs-CZ"/>
              </w:rPr>
              <w:t>6,07%</w:t>
            </w:r>
          </w:p>
        </w:tc>
      </w:tr>
    </w:tbl>
    <w:p w:rsidR="00502E46" w:rsidRPr="00502E46" w:rsidRDefault="009F5D5E" w:rsidP="009F5D5E">
      <w:pPr>
        <w:pStyle w:val="Titulek"/>
        <w:jc w:val="center"/>
      </w:pPr>
      <w:r>
        <w:t xml:space="preserve">Tabulka </w:t>
      </w:r>
      <w:r w:rsidR="0046651D">
        <w:fldChar w:fldCharType="begin"/>
      </w:r>
      <w:r>
        <w:instrText xml:space="preserve"> SEQ Tabulka \* ARABIC </w:instrText>
      </w:r>
      <w:r w:rsidR="0046651D">
        <w:fldChar w:fldCharType="separate"/>
      </w:r>
      <w:r>
        <w:rPr>
          <w:noProof/>
        </w:rPr>
        <w:t>4</w:t>
      </w:r>
      <w:r w:rsidR="0046651D">
        <w:fldChar w:fldCharType="end"/>
      </w:r>
      <w:r>
        <w:t xml:space="preserve"> Zdroj dat SÚKL</w:t>
      </w:r>
    </w:p>
    <w:sectPr w:rsidR="00502E46" w:rsidRPr="00502E46" w:rsidSect="004665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8D0" w:rsidRDefault="004A48D0" w:rsidP="00C33906">
      <w:pPr>
        <w:spacing w:after="0" w:line="240" w:lineRule="auto"/>
      </w:pPr>
      <w:r>
        <w:separator/>
      </w:r>
    </w:p>
  </w:endnote>
  <w:endnote w:type="continuationSeparator" w:id="0">
    <w:p w:rsidR="004A48D0" w:rsidRDefault="004A48D0" w:rsidP="00C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99145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33906" w:rsidRDefault="00C33906">
            <w:pPr>
              <w:pStyle w:val="Zpat"/>
              <w:jc w:val="right"/>
            </w:pPr>
            <w:r>
              <w:t xml:space="preserve">Stránka </w:t>
            </w:r>
            <w:r w:rsidR="004665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6651D">
              <w:rPr>
                <w:b/>
                <w:bCs/>
                <w:sz w:val="24"/>
                <w:szCs w:val="24"/>
              </w:rPr>
              <w:fldChar w:fldCharType="separate"/>
            </w:r>
            <w:r w:rsidR="00802932">
              <w:rPr>
                <w:b/>
                <w:bCs/>
                <w:noProof/>
              </w:rPr>
              <w:t>6</w:t>
            </w:r>
            <w:r w:rsidR="004665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665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6651D">
              <w:rPr>
                <w:b/>
                <w:bCs/>
                <w:sz w:val="24"/>
                <w:szCs w:val="24"/>
              </w:rPr>
              <w:fldChar w:fldCharType="separate"/>
            </w:r>
            <w:r w:rsidR="00802932">
              <w:rPr>
                <w:b/>
                <w:bCs/>
                <w:noProof/>
              </w:rPr>
              <w:t>6</w:t>
            </w:r>
            <w:r w:rsidR="004665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3906" w:rsidRDefault="00C339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8D0" w:rsidRDefault="004A48D0" w:rsidP="00C33906">
      <w:pPr>
        <w:spacing w:after="0" w:line="240" w:lineRule="auto"/>
      </w:pPr>
      <w:r>
        <w:separator/>
      </w:r>
    </w:p>
  </w:footnote>
  <w:footnote w:type="continuationSeparator" w:id="0">
    <w:p w:rsidR="004A48D0" w:rsidRDefault="004A48D0" w:rsidP="00C33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2A1"/>
    <w:rsid w:val="00056D01"/>
    <w:rsid w:val="00074D2C"/>
    <w:rsid w:val="0046651D"/>
    <w:rsid w:val="004A48D0"/>
    <w:rsid w:val="004B1E1A"/>
    <w:rsid w:val="00502E46"/>
    <w:rsid w:val="007A73ED"/>
    <w:rsid w:val="00802932"/>
    <w:rsid w:val="009F5D5E"/>
    <w:rsid w:val="00C33906"/>
    <w:rsid w:val="00C44DA3"/>
    <w:rsid w:val="00D202A1"/>
    <w:rsid w:val="00DC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5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202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E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906"/>
  </w:style>
  <w:style w:type="paragraph" w:styleId="Zpat">
    <w:name w:val="footer"/>
    <w:basedOn w:val="Normln"/>
    <w:link w:val="ZpatChar"/>
    <w:uiPriority w:val="99"/>
    <w:unhideWhenUsed/>
    <w:rsid w:val="00C3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202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E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906"/>
  </w:style>
  <w:style w:type="paragraph" w:styleId="Zpat">
    <w:name w:val="footer"/>
    <w:basedOn w:val="Normln"/>
    <w:link w:val="ZpatChar"/>
    <w:uiPriority w:val="99"/>
    <w:unhideWhenUsed/>
    <w:rsid w:val="00C3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zsfps03.mzcr.cz\Dokumenty$\matlm\Tripartita%20duben%202014\Podklady%20tripartita%20duben%202014.F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zsfps03.mzcr.cz\Dokumenty$\matlm\Tripartita%20duben%202014\Podklady%20tripartita%20duben%202014.F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zsfps03.mzcr.cz\Dokumenty$\matlm\Tripartita%20duben%202014\Podklady%20tripartita%20duben%202014.F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zsfps03.mzcr.cz\Dokumenty$\matlm\Tripartita%20duben%202014\Podklady%20tripartita%20duben%202014.F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lineChart>
        <c:grouping val="standard"/>
        <c:ser>
          <c:idx val="0"/>
          <c:order val="0"/>
          <c:tx>
            <c:strRef>
              <c:f>List3!$F$4:$F$6</c:f>
              <c:strCache>
                <c:ptCount val="1"/>
                <c:pt idx="0">
                  <c:v>Průměrná cena za balení</c:v>
                </c:pt>
              </c:strCache>
            </c:strRef>
          </c:tx>
          <c:cat>
            <c:multiLvlStrRef>
              <c:f>List3!$A$7:$B$30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</c:lvl>
              </c:multiLvlStrCache>
            </c:multiLvlStrRef>
          </c:cat>
          <c:val>
            <c:numRef>
              <c:f>List3!$F$7:$F$30</c:f>
              <c:numCache>
                <c:formatCode>0</c:formatCode>
                <c:ptCount val="24"/>
                <c:pt idx="0">
                  <c:v>155.13518700669343</c:v>
                </c:pt>
                <c:pt idx="1">
                  <c:v>166.60120865059363</c:v>
                </c:pt>
                <c:pt idx="2">
                  <c:v>166.81251930402559</c:v>
                </c:pt>
                <c:pt idx="3">
                  <c:v>176.93524939211881</c:v>
                </c:pt>
                <c:pt idx="4">
                  <c:v>170.27185558495029</c:v>
                </c:pt>
                <c:pt idx="5">
                  <c:v>194.86631294893698</c:v>
                </c:pt>
                <c:pt idx="6">
                  <c:v>192.73271895618853</c:v>
                </c:pt>
                <c:pt idx="7">
                  <c:v>190.53422970337678</c:v>
                </c:pt>
                <c:pt idx="8">
                  <c:v>186.33447709980601</c:v>
                </c:pt>
                <c:pt idx="9">
                  <c:v>196.81905954804023</c:v>
                </c:pt>
                <c:pt idx="10">
                  <c:v>194.85120453471893</c:v>
                </c:pt>
                <c:pt idx="11">
                  <c:v>197.78372080707521</c:v>
                </c:pt>
                <c:pt idx="12">
                  <c:v>186.56041245801683</c:v>
                </c:pt>
                <c:pt idx="13">
                  <c:v>202.57019957786738</c:v>
                </c:pt>
                <c:pt idx="14">
                  <c:v>200.75585568429833</c:v>
                </c:pt>
                <c:pt idx="15">
                  <c:v>203.27913836866296</c:v>
                </c:pt>
                <c:pt idx="16">
                  <c:v>198.30707054750346</c:v>
                </c:pt>
                <c:pt idx="17">
                  <c:v>213.50783874580068</c:v>
                </c:pt>
                <c:pt idx="18">
                  <c:v>215.84611935039567</c:v>
                </c:pt>
                <c:pt idx="19">
                  <c:v>212.16988373084672</c:v>
                </c:pt>
                <c:pt idx="20">
                  <c:v>199.37652663256907</c:v>
                </c:pt>
                <c:pt idx="21">
                  <c:v>210.90296779625345</c:v>
                </c:pt>
                <c:pt idx="22">
                  <c:v>209.33645085866334</c:v>
                </c:pt>
                <c:pt idx="23">
                  <c:v>205.61792590096638</c:v>
                </c:pt>
              </c:numCache>
            </c:numRef>
          </c:val>
        </c:ser>
        <c:marker val="1"/>
        <c:axId val="100372864"/>
        <c:axId val="100374400"/>
      </c:lineChart>
      <c:catAx>
        <c:axId val="100372864"/>
        <c:scaling>
          <c:orientation val="minMax"/>
        </c:scaling>
        <c:axPos val="b"/>
        <c:tickLblPos val="nextTo"/>
        <c:crossAx val="100374400"/>
        <c:crosses val="autoZero"/>
        <c:auto val="1"/>
        <c:lblAlgn val="ctr"/>
        <c:lblOffset val="100"/>
      </c:catAx>
      <c:valAx>
        <c:axId val="1003744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Kč</a:t>
                </a:r>
              </a:p>
            </c:rich>
          </c:tx>
        </c:title>
        <c:numFmt formatCode="0" sourceLinked="1"/>
        <c:tickLblPos val="nextTo"/>
        <c:crossAx val="10037286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>
              <a:defRPr/>
            </a:pPr>
            <a:r>
              <a:rPr lang="cs-CZ"/>
              <a:t>Spotřeby léčivých přípravků dle způsobu výdeje/vykázání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'RX.ZULP'!$B$1</c:f>
              <c:strCache>
                <c:ptCount val="1"/>
                <c:pt idx="0">
                  <c:v>Úhrada Rp</c:v>
                </c:pt>
              </c:strCache>
            </c:strRef>
          </c:tx>
          <c:dLbls>
            <c:numFmt formatCode="#,##0.0" sourceLinked="0"/>
            <c:dLblPos val="inEnd"/>
            <c:showVal val="1"/>
          </c:dLbls>
          <c:cat>
            <c:numRef>
              <c:f>'RX.ZULP'!$A$2:$A$11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'RX.ZULP'!$B$2:$B$11</c:f>
              <c:numCache>
                <c:formatCode>#,##0</c:formatCode>
                <c:ptCount val="10"/>
                <c:pt idx="0">
                  <c:v>35569556541</c:v>
                </c:pt>
                <c:pt idx="1">
                  <c:v>38072810870</c:v>
                </c:pt>
                <c:pt idx="2">
                  <c:v>33987588294</c:v>
                </c:pt>
                <c:pt idx="3">
                  <c:v>33356449431</c:v>
                </c:pt>
                <c:pt idx="4">
                  <c:v>32720454240</c:v>
                </c:pt>
                <c:pt idx="5">
                  <c:v>36924516511</c:v>
                </c:pt>
                <c:pt idx="6">
                  <c:v>34123414982</c:v>
                </c:pt>
                <c:pt idx="7">
                  <c:v>33905136424</c:v>
                </c:pt>
                <c:pt idx="8">
                  <c:v>36083619297</c:v>
                </c:pt>
                <c:pt idx="9">
                  <c:v>34303949224</c:v>
                </c:pt>
              </c:numCache>
            </c:numRef>
          </c:val>
        </c:ser>
        <c:ser>
          <c:idx val="1"/>
          <c:order val="1"/>
          <c:tx>
            <c:strRef>
              <c:f>'RX.ZULP'!$C$1</c:f>
              <c:strCache>
                <c:ptCount val="1"/>
                <c:pt idx="0">
                  <c:v>Úhrada ZULP</c:v>
                </c:pt>
              </c:strCache>
            </c:strRef>
          </c:tx>
          <c:dLbls>
            <c:numFmt formatCode="#,##0.0" sourceLinked="0"/>
            <c:dLblPos val="inEnd"/>
            <c:showVal val="1"/>
          </c:dLbls>
          <c:cat>
            <c:numRef>
              <c:f>'RX.ZULP'!$A$2:$A$11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'RX.ZULP'!$C$2:$C$11</c:f>
              <c:numCache>
                <c:formatCode>#,##0</c:formatCode>
                <c:ptCount val="10"/>
                <c:pt idx="0">
                  <c:v>3428528170</c:v>
                </c:pt>
                <c:pt idx="1">
                  <c:v>3592142972</c:v>
                </c:pt>
                <c:pt idx="2">
                  <c:v>5221319263</c:v>
                </c:pt>
                <c:pt idx="3">
                  <c:v>9688435955</c:v>
                </c:pt>
                <c:pt idx="4">
                  <c:v>11176607281</c:v>
                </c:pt>
                <c:pt idx="5">
                  <c:v>13524591486</c:v>
                </c:pt>
                <c:pt idx="6">
                  <c:v>14565415682</c:v>
                </c:pt>
                <c:pt idx="7">
                  <c:v>15235846617</c:v>
                </c:pt>
                <c:pt idx="8">
                  <c:v>15114704691</c:v>
                </c:pt>
                <c:pt idx="9">
                  <c:v>17036563355</c:v>
                </c:pt>
              </c:numCache>
            </c:numRef>
          </c:val>
        </c:ser>
        <c:axId val="100612352"/>
        <c:axId val="100618240"/>
      </c:barChart>
      <c:lineChart>
        <c:grouping val="standard"/>
        <c:ser>
          <c:idx val="2"/>
          <c:order val="2"/>
          <c:tx>
            <c:strRef>
              <c:f>'RX.ZULP'!$D$1</c:f>
              <c:strCache>
                <c:ptCount val="1"/>
                <c:pt idx="0">
                  <c:v>Počet bal. Rp</c:v>
                </c:pt>
              </c:strCache>
            </c:strRef>
          </c:tx>
          <c:marker>
            <c:symbol val="none"/>
          </c:marker>
          <c:cat>
            <c:numRef>
              <c:f>'RX.ZULP'!$A$2:$A$11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'RX.ZULP'!$D$2:$D$11</c:f>
              <c:numCache>
                <c:formatCode>#,##0</c:formatCode>
                <c:ptCount val="10"/>
                <c:pt idx="0">
                  <c:v>195789857</c:v>
                </c:pt>
                <c:pt idx="1">
                  <c:v>197558567</c:v>
                </c:pt>
                <c:pt idx="2">
                  <c:v>179823159</c:v>
                </c:pt>
                <c:pt idx="3">
                  <c:v>189434693</c:v>
                </c:pt>
                <c:pt idx="4">
                  <c:v>151132706</c:v>
                </c:pt>
                <c:pt idx="5">
                  <c:v>158817883</c:v>
                </c:pt>
                <c:pt idx="6">
                  <c:v>156017909</c:v>
                </c:pt>
                <c:pt idx="7">
                  <c:v>152885518</c:v>
                </c:pt>
                <c:pt idx="8">
                  <c:v>143513721</c:v>
                </c:pt>
                <c:pt idx="9">
                  <c:v>135485163</c:v>
                </c:pt>
              </c:numCache>
            </c:numRef>
          </c:val>
        </c:ser>
        <c:ser>
          <c:idx val="3"/>
          <c:order val="3"/>
          <c:tx>
            <c:strRef>
              <c:f>'RX.ZULP'!$E$1</c:f>
              <c:strCache>
                <c:ptCount val="1"/>
                <c:pt idx="0">
                  <c:v>Počet bal. ZULP</c:v>
                </c:pt>
              </c:strCache>
            </c:strRef>
          </c:tx>
          <c:marker>
            <c:symbol val="none"/>
          </c:marker>
          <c:cat>
            <c:numRef>
              <c:f>'RX.ZULP'!$A$2:$A$11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'RX.ZULP'!$E$2:$E$11</c:f>
              <c:numCache>
                <c:formatCode>#,##0</c:formatCode>
                <c:ptCount val="10"/>
                <c:pt idx="0">
                  <c:v>15416155</c:v>
                </c:pt>
                <c:pt idx="1">
                  <c:v>9513076</c:v>
                </c:pt>
                <c:pt idx="2">
                  <c:v>7623727</c:v>
                </c:pt>
                <c:pt idx="3">
                  <c:v>12723342</c:v>
                </c:pt>
                <c:pt idx="4">
                  <c:v>8407439</c:v>
                </c:pt>
                <c:pt idx="5">
                  <c:v>9560341</c:v>
                </c:pt>
                <c:pt idx="6">
                  <c:v>10197317</c:v>
                </c:pt>
                <c:pt idx="7">
                  <c:v>10813551</c:v>
                </c:pt>
                <c:pt idx="8">
                  <c:v>9358106</c:v>
                </c:pt>
                <c:pt idx="9">
                  <c:v>9685448</c:v>
                </c:pt>
              </c:numCache>
            </c:numRef>
          </c:val>
        </c:ser>
        <c:marker val="1"/>
        <c:axId val="100627200"/>
        <c:axId val="100620544"/>
      </c:lineChart>
      <c:catAx>
        <c:axId val="100612352"/>
        <c:scaling>
          <c:orientation val="minMax"/>
        </c:scaling>
        <c:axPos val="b"/>
        <c:numFmt formatCode="General" sourceLinked="1"/>
        <c:tickLblPos val="nextTo"/>
        <c:crossAx val="100618240"/>
        <c:crosses val="autoZero"/>
        <c:auto val="1"/>
        <c:lblAlgn val="ctr"/>
        <c:lblOffset val="100"/>
      </c:catAx>
      <c:valAx>
        <c:axId val="100618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Úhrada zdravotních pojišťoven</a:t>
                </a:r>
              </a:p>
            </c:rich>
          </c:tx>
        </c:title>
        <c:numFmt formatCode="#,##0" sourceLinked="1"/>
        <c:tickLblPos val="nextTo"/>
        <c:crossAx val="100612352"/>
        <c:crosses val="autoZero"/>
        <c:crossBetween val="between"/>
        <c:dispUnits>
          <c:builtInUnit val="billion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cs-CZ"/>
                    <a:t>Miliardy / Kč</a:t>
                  </a:r>
                </a:p>
              </c:rich>
            </c:tx>
          </c:dispUnitsLbl>
        </c:dispUnits>
      </c:valAx>
      <c:valAx>
        <c:axId val="10062054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balení</a:t>
                </a:r>
              </a:p>
            </c:rich>
          </c:tx>
        </c:title>
        <c:numFmt formatCode="#,##0" sourceLinked="1"/>
        <c:tickLblPos val="nextTo"/>
        <c:crossAx val="100627200"/>
        <c:crosses val="max"/>
        <c:crossBetween val="between"/>
        <c:dispUnits>
          <c:builtInUnit val="million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cs-CZ"/>
                    <a:t>Miliony balení</a:t>
                  </a:r>
                </a:p>
              </c:rich>
            </c:tx>
          </c:dispUnitsLbl>
        </c:dispUnits>
      </c:valAx>
      <c:catAx>
        <c:axId val="100627200"/>
        <c:scaling>
          <c:orientation val="minMax"/>
        </c:scaling>
        <c:delete val="1"/>
        <c:axPos val="b"/>
        <c:numFmt formatCode="General" sourceLinked="1"/>
        <c:tickLblPos val="none"/>
        <c:crossAx val="100620544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>
              <a:defRPr/>
            </a:pPr>
            <a:r>
              <a:rPr lang="cs-CZ"/>
              <a:t>Průměrná úhrada za balení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'RX.ZULP'!$F$1</c:f>
              <c:strCache>
                <c:ptCount val="1"/>
                <c:pt idx="0">
                  <c:v>Průměrná úhrada Rp</c:v>
                </c:pt>
              </c:strCache>
            </c:strRef>
          </c:tx>
          <c:cat>
            <c:numRef>
              <c:f>'RX.ZULP'!$A$2:$A$11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'RX.ZULP'!$F$2:$F$11</c:f>
              <c:numCache>
                <c:formatCode>#,##0</c:formatCode>
                <c:ptCount val="10"/>
                <c:pt idx="0">
                  <c:v>181.67211052715561</c:v>
                </c:pt>
                <c:pt idx="1">
                  <c:v>192.71657740866277</c:v>
                </c:pt>
                <c:pt idx="2">
                  <c:v>189.00562354151498</c:v>
                </c:pt>
                <c:pt idx="3">
                  <c:v>176.08416337444584</c:v>
                </c:pt>
                <c:pt idx="4">
                  <c:v>216.50147811156111</c:v>
                </c:pt>
                <c:pt idx="5">
                  <c:v>232.49596212663278</c:v>
                </c:pt>
                <c:pt idx="6">
                  <c:v>218.71473089669468</c:v>
                </c:pt>
                <c:pt idx="7">
                  <c:v>221.76813649543979</c:v>
                </c:pt>
                <c:pt idx="8">
                  <c:v>251.42975212105321</c:v>
                </c:pt>
                <c:pt idx="9">
                  <c:v>253.19340114016759</c:v>
                </c:pt>
              </c:numCache>
            </c:numRef>
          </c:val>
        </c:ser>
        <c:ser>
          <c:idx val="1"/>
          <c:order val="1"/>
          <c:tx>
            <c:strRef>
              <c:f>'RX.ZULP'!$G$1</c:f>
              <c:strCache>
                <c:ptCount val="1"/>
                <c:pt idx="0">
                  <c:v>Průměrná úhrada ZULP</c:v>
                </c:pt>
              </c:strCache>
            </c:strRef>
          </c:tx>
          <c:cat>
            <c:numRef>
              <c:f>'RX.ZULP'!$A$2:$A$11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'RX.ZULP'!$G$2:$G$11</c:f>
              <c:numCache>
                <c:formatCode>#,##0</c:formatCode>
                <c:ptCount val="10"/>
                <c:pt idx="0">
                  <c:v>222.39839765492766</c:v>
                </c:pt>
                <c:pt idx="1">
                  <c:v>377.60057546055555</c:v>
                </c:pt>
                <c:pt idx="2">
                  <c:v>684.87752289660921</c:v>
                </c:pt>
                <c:pt idx="3">
                  <c:v>761.46942800091313</c:v>
                </c:pt>
                <c:pt idx="4">
                  <c:v>1329.3712010280415</c:v>
                </c:pt>
                <c:pt idx="5">
                  <c:v>1414.655762383371</c:v>
                </c:pt>
                <c:pt idx="6">
                  <c:v>1428.3576436821572</c:v>
                </c:pt>
                <c:pt idx="7">
                  <c:v>1408.9586868365443</c:v>
                </c:pt>
                <c:pt idx="8">
                  <c:v>1615.1457026667581</c:v>
                </c:pt>
                <c:pt idx="9">
                  <c:v>1758.9855786743165</c:v>
                </c:pt>
              </c:numCache>
            </c:numRef>
          </c:val>
        </c:ser>
        <c:dLbls>
          <c:showVal val="1"/>
        </c:dLbls>
        <c:overlap val="-25"/>
        <c:axId val="100665216"/>
        <c:axId val="100666752"/>
      </c:barChart>
      <c:catAx>
        <c:axId val="100665216"/>
        <c:scaling>
          <c:orientation val="minMax"/>
        </c:scaling>
        <c:axPos val="b"/>
        <c:numFmt formatCode="General" sourceLinked="1"/>
        <c:majorTickMark val="none"/>
        <c:tickLblPos val="nextTo"/>
        <c:crossAx val="100666752"/>
        <c:crosses val="autoZero"/>
        <c:auto val="1"/>
        <c:lblAlgn val="ctr"/>
        <c:lblOffset val="100"/>
      </c:catAx>
      <c:valAx>
        <c:axId val="100666752"/>
        <c:scaling>
          <c:orientation val="minMax"/>
        </c:scaling>
        <c:delete val="1"/>
        <c:axPos val="l"/>
        <c:numFmt formatCode="#,##0" sourceLinked="1"/>
        <c:tickLblPos val="none"/>
        <c:crossAx val="10066521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18"/>
  <c:chart>
    <c:title>
      <c:tx>
        <c:rich>
          <a:bodyPr/>
          <a:lstStyle/>
          <a:p>
            <a:pPr>
              <a:defRPr/>
            </a:pPr>
            <a:r>
              <a:rPr lang="cs-CZ"/>
              <a:t>Náklady</a:t>
            </a:r>
            <a:r>
              <a:rPr lang="cs-CZ" baseline="0"/>
              <a:t> nemocnic na léčivé přípravky</a:t>
            </a:r>
            <a:endParaRPr lang="cs-CZ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'Náklady nemocnic na léky'!$A$3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'Náklady nemocnic na léky'!$B$2:$G$2</c:f>
              <c:strCache>
                <c:ptCount val="6"/>
                <c:pt idx="0">
                  <c:v>MZ</c:v>
                </c:pt>
                <c:pt idx="1">
                  <c:v>Krajské</c:v>
                </c:pt>
                <c:pt idx="2">
                  <c:v>Obecní a městské</c:v>
                </c:pt>
                <c:pt idx="3">
                  <c:v>Jiná práv. osoba, církení</c:v>
                </c:pt>
                <c:pt idx="4">
                  <c:v>Ostatní centrální orgány</c:v>
                </c:pt>
                <c:pt idx="5">
                  <c:v>Celkem</c:v>
                </c:pt>
              </c:strCache>
            </c:strRef>
          </c:cat>
          <c:val>
            <c:numRef>
              <c:f>'Náklady nemocnic na léky'!$B$3:$G$3</c:f>
              <c:numCache>
                <c:formatCode>#,##0</c:formatCode>
                <c:ptCount val="6"/>
                <c:pt idx="0">
                  <c:v>9718</c:v>
                </c:pt>
                <c:pt idx="1">
                  <c:v>953</c:v>
                </c:pt>
                <c:pt idx="2">
                  <c:v>321</c:v>
                </c:pt>
                <c:pt idx="3">
                  <c:v>3499</c:v>
                </c:pt>
                <c:pt idx="4">
                  <c:v>239</c:v>
                </c:pt>
                <c:pt idx="5">
                  <c:v>14730</c:v>
                </c:pt>
              </c:numCache>
            </c:numRef>
          </c:val>
        </c:ser>
        <c:ser>
          <c:idx val="1"/>
          <c:order val="1"/>
          <c:tx>
            <c:strRef>
              <c:f>'Náklady nemocnic na léky'!$A$4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'Náklady nemocnic na léky'!$B$2:$G$2</c:f>
              <c:strCache>
                <c:ptCount val="6"/>
                <c:pt idx="0">
                  <c:v>MZ</c:v>
                </c:pt>
                <c:pt idx="1">
                  <c:v>Krajské</c:v>
                </c:pt>
                <c:pt idx="2">
                  <c:v>Obecní a městské</c:v>
                </c:pt>
                <c:pt idx="3">
                  <c:v>Jiná práv. osoba, církení</c:v>
                </c:pt>
                <c:pt idx="4">
                  <c:v>Ostatní centrální orgány</c:v>
                </c:pt>
                <c:pt idx="5">
                  <c:v>Celkem</c:v>
                </c:pt>
              </c:strCache>
            </c:strRef>
          </c:cat>
          <c:val>
            <c:numRef>
              <c:f>'Náklady nemocnic na léky'!$B$4:$G$4</c:f>
              <c:numCache>
                <c:formatCode>#,##0</c:formatCode>
                <c:ptCount val="6"/>
                <c:pt idx="0">
                  <c:v>10283</c:v>
                </c:pt>
                <c:pt idx="1">
                  <c:v>981</c:v>
                </c:pt>
                <c:pt idx="2">
                  <c:v>338</c:v>
                </c:pt>
                <c:pt idx="3">
                  <c:v>3820</c:v>
                </c:pt>
                <c:pt idx="4">
                  <c:v>278</c:v>
                </c:pt>
                <c:pt idx="5">
                  <c:v>15700</c:v>
                </c:pt>
              </c:numCache>
            </c:numRef>
          </c:val>
        </c:ser>
        <c:ser>
          <c:idx val="2"/>
          <c:order val="2"/>
          <c:tx>
            <c:strRef>
              <c:f>'Náklady nemocnic na léky'!$A$5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'Náklady nemocnic na léky'!$B$2:$G$2</c:f>
              <c:strCache>
                <c:ptCount val="6"/>
                <c:pt idx="0">
                  <c:v>MZ</c:v>
                </c:pt>
                <c:pt idx="1">
                  <c:v>Krajské</c:v>
                </c:pt>
                <c:pt idx="2">
                  <c:v>Obecní a městské</c:v>
                </c:pt>
                <c:pt idx="3">
                  <c:v>Jiná práv. osoba, církení</c:v>
                </c:pt>
                <c:pt idx="4">
                  <c:v>Ostatní centrální orgány</c:v>
                </c:pt>
                <c:pt idx="5">
                  <c:v>Celkem</c:v>
                </c:pt>
              </c:strCache>
            </c:strRef>
          </c:cat>
          <c:val>
            <c:numRef>
              <c:f>'Náklady nemocnic na léky'!$B$5:$G$5</c:f>
              <c:numCache>
                <c:formatCode>#,##0</c:formatCode>
                <c:ptCount val="6"/>
                <c:pt idx="0">
                  <c:v>10509</c:v>
                </c:pt>
                <c:pt idx="1">
                  <c:v>970</c:v>
                </c:pt>
                <c:pt idx="2">
                  <c:v>338</c:v>
                </c:pt>
                <c:pt idx="3">
                  <c:v>3786</c:v>
                </c:pt>
                <c:pt idx="4">
                  <c:v>291</c:v>
                </c:pt>
                <c:pt idx="5">
                  <c:v>15894</c:v>
                </c:pt>
              </c:numCache>
            </c:numRef>
          </c:val>
        </c:ser>
        <c:ser>
          <c:idx val="3"/>
          <c:order val="3"/>
          <c:tx>
            <c:strRef>
              <c:f>'Náklady nemocnic na léky'!$A$6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'Náklady nemocnic na léky'!$B$2:$G$2</c:f>
              <c:strCache>
                <c:ptCount val="6"/>
                <c:pt idx="0">
                  <c:v>MZ</c:v>
                </c:pt>
                <c:pt idx="1">
                  <c:v>Krajské</c:v>
                </c:pt>
                <c:pt idx="2">
                  <c:v>Obecní a městské</c:v>
                </c:pt>
                <c:pt idx="3">
                  <c:v>Jiná práv. osoba, církení</c:v>
                </c:pt>
                <c:pt idx="4">
                  <c:v>Ostatní centrální orgány</c:v>
                </c:pt>
                <c:pt idx="5">
                  <c:v>Celkem</c:v>
                </c:pt>
              </c:strCache>
            </c:strRef>
          </c:cat>
          <c:val>
            <c:numRef>
              <c:f>'Náklady nemocnic na léky'!$B$6:$G$6</c:f>
              <c:numCache>
                <c:formatCode>#,##0</c:formatCode>
                <c:ptCount val="6"/>
                <c:pt idx="0">
                  <c:v>11141</c:v>
                </c:pt>
                <c:pt idx="1">
                  <c:v>964</c:v>
                </c:pt>
                <c:pt idx="2">
                  <c:v>366</c:v>
                </c:pt>
                <c:pt idx="3">
                  <c:v>4277</c:v>
                </c:pt>
                <c:pt idx="4">
                  <c:v>267</c:v>
                </c:pt>
                <c:pt idx="5">
                  <c:v>17015</c:v>
                </c:pt>
              </c:numCache>
            </c:numRef>
          </c:val>
        </c:ser>
        <c:axId val="100707328"/>
        <c:axId val="100725504"/>
      </c:barChart>
      <c:catAx>
        <c:axId val="100707328"/>
        <c:scaling>
          <c:orientation val="minMax"/>
        </c:scaling>
        <c:axPos val="b"/>
        <c:tickLblPos val="nextTo"/>
        <c:crossAx val="100725504"/>
        <c:crosses val="autoZero"/>
        <c:auto val="1"/>
        <c:lblAlgn val="ctr"/>
        <c:lblOffset val="100"/>
      </c:catAx>
      <c:valAx>
        <c:axId val="1007255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Mil. Kč</a:t>
                </a:r>
              </a:p>
            </c:rich>
          </c:tx>
        </c:title>
        <c:numFmt formatCode="#,##0" sourceLinked="1"/>
        <c:tickLblPos val="nextTo"/>
        <c:crossAx val="10070732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 Martin Mgr.</dc:creator>
  <cp:lastModifiedBy>Martina</cp:lastModifiedBy>
  <cp:revision>2</cp:revision>
  <dcterms:created xsi:type="dcterms:W3CDTF">2014-04-08T13:55:00Z</dcterms:created>
  <dcterms:modified xsi:type="dcterms:W3CDTF">2014-04-08T13:55:00Z</dcterms:modified>
</cp:coreProperties>
</file>