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0FB" w:rsidRDefault="00F73AC7">
      <w:bookmarkStart w:id="0" w:name="_GoBack"/>
      <w:bookmarkEnd w:id="0"/>
      <w:r>
        <w:rPr>
          <w:noProof/>
          <w:lang w:eastAsia="cs-CZ"/>
        </w:rPr>
        <w:pict>
          <v:rect id="Obdélník 35" o:spid="_x0000_s1026" style="position:absolute;margin-left:270.75pt;margin-top:30pt;width:220.25pt;height:243.55pt;z-index:25165670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" fillcolor="#003a63" stroked="f" strokeweight="2pt">
            <v:textbox inset="14.4pt,14.4pt,14.4pt,28.8pt">
              <w:txbxContent>
                <w:p w:rsidR="00213264" w:rsidRPr="00052317" w:rsidRDefault="00213264">
                  <w:pPr>
                    <w:spacing w:before="240"/>
                    <w:jc w:val="center"/>
                    <w:rPr>
                      <w:color w:val="FFFFFF"/>
                      <w:sz w:val="32"/>
                    </w:rPr>
                  </w:pPr>
                  <w:r>
                    <w:rPr>
                      <w:color w:val="FFFFFF"/>
                      <w:sz w:val="32"/>
                    </w:rPr>
                    <w:t>Podkladový materiál Ministerstva zdravotnictví pro 108. Plenární zasedání RHSD</w:t>
                  </w:r>
                </w:p>
              </w:txbxContent>
            </v:textbox>
            <w10:wrap anchorx="page" anchory="page"/>
          </v:rect>
        </w:pict>
      </w:r>
      <w:r>
        <w:rPr>
          <w:noProof/>
          <w:lang w:eastAsia="cs-CZ"/>
        </w:rPr>
        <w:pict>
          <v:rect id="Obdélník 36" o:spid="_x0000_s1029" style="position:absolute;margin-left:262.65pt;margin-top:24.8pt;width:236.15pt;height:587.2pt;z-index:25165568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" strokecolor="#c2cd23" strokeweight="1.25pt">
            <w10:wrap anchorx="page" anchory="page"/>
          </v:rect>
        </w:pict>
      </w:r>
      <w:r>
        <w:rPr>
          <w:noProof/>
          <w:lang w:eastAsia="cs-CZ"/>
        </w:rPr>
        <w:pict>
          <v:rect id="Obdélník 34" o:spid="_x0000_s1027" style="position:absolute;margin-left:0;margin-top:0;width:562.65pt;height:796.95pt;z-index:-251656704;visibility:visible;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" strokecolor="#003a63" strokeweight="2pt">
            <v:path arrowok="t"/>
            <v:textbox inset="21.6pt,,21.6pt">
              <w:txbxContent>
                <w:p w:rsidR="00213264" w:rsidRDefault="00213264"/>
              </w:txbxContent>
            </v:textbox>
            <w10:wrap anchorx="page" anchory="page"/>
          </v:rect>
        </w:pict>
      </w:r>
      <w:r w:rsidR="002A0694">
        <w:tab/>
      </w:r>
    </w:p>
    <w:p w:rsidR="002F4920" w:rsidRDefault="002B7141" w:rsidP="000943D5">
      <w:pPr>
        <w:pStyle w:val="Nadpisobsahu"/>
        <w:numPr>
          <w:ilvl w:val="0"/>
          <w:numId w:val="0"/>
        </w:numPr>
        <w:ind w:left="432"/>
      </w:pPr>
      <w:r>
        <w:rPr>
          <w:noProof/>
        </w:rPr>
        <w:drawing>
          <wp:anchor distT="0" distB="0" distL="114300" distR="114300" simplePos="0" relativeHeight="251658752" behindDoc="0" locked="0" layoutInCell="1" allowOverlap="1">
            <wp:simplePos x="0" y="0"/>
            <wp:positionH relativeFrom="column">
              <wp:posOffset>2980055</wp:posOffset>
            </wp:positionH>
            <wp:positionV relativeFrom="paragraph">
              <wp:posOffset>6577965</wp:posOffset>
            </wp:positionV>
            <wp:extent cx="2794000" cy="266700"/>
            <wp:effectExtent l="0" t="0" r="6350" b="0"/>
            <wp:wrapNone/>
            <wp:docPr id="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372" t="30011" r="6372" b="29710"/>
                    <a:stretch>
                      <a:fillRect/>
                    </a:stretch>
                  </pic:blipFill>
                  <pic:spPr bwMode="auto">
                    <a:xfrm>
                      <a:off x="0" y="0"/>
                      <a:ext cx="2794000" cy="266700"/>
                    </a:xfrm>
                    <a:prstGeom prst="rect">
                      <a:avLst/>
                    </a:prstGeom>
                    <a:noFill/>
                  </pic:spPr>
                </pic:pic>
              </a:graphicData>
            </a:graphic>
          </wp:anchor>
        </w:drawing>
      </w:r>
      <w:r w:rsidR="00F73AC7">
        <w:rPr>
          <w:noProof/>
        </w:rPr>
        <w:pict>
          <v:shapetype id="_x0000_t202" coordsize="21600,21600" o:spt="202" path="m,l,21600r21600,l21600,xe">
            <v:stroke joinstyle="miter"/>
            <v:path gradientshapeok="t" o:connecttype="rect"/>
          </v:shapetype>
          <v:shape id="Textové pole 39" o:spid="_x0000_s1028" type="#_x0000_t202" style="position:absolute;left:0;text-align:left;margin-left:270.85pt;margin-top:294.65pt;width:225pt;height:225.9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" filled="f" stroked="f" strokeweight=".5pt">
            <v:textbox style="mso-fit-shape-to-text:t">
              <w:txbxContent>
                <w:p w:rsidR="00213264" w:rsidRPr="00DA42E9" w:rsidRDefault="00213264">
                  <w:pPr>
                    <w:rPr>
                      <w:rFonts w:ascii="Cambria" w:hAnsi="Cambria" w:cs="Cambria"/>
                      <w:color w:val="003A63"/>
                      <w:sz w:val="72"/>
                      <w:szCs w:val="72"/>
                    </w:rPr>
                  </w:pPr>
                  <w:r>
                    <w:rPr>
                      <w:rFonts w:ascii="Cambria" w:hAnsi="Cambria" w:cs="Cambria"/>
                      <w:color w:val="003A63"/>
                      <w:sz w:val="72"/>
                      <w:szCs w:val="72"/>
                    </w:rPr>
                    <w:t>Aktuální problémy ve zdravotnictví</w:t>
                  </w:r>
                </w:p>
              </w:txbxContent>
            </v:textbox>
            <w10:wrap type="square" anchorx="page" anchory="page"/>
          </v:shape>
        </w:pict>
      </w:r>
      <w:r w:rsidR="002830FB">
        <w:br w:type="page"/>
      </w:r>
    </w:p>
    <w:sdt>
      <w:sdtPr>
        <w:rPr>
          <w:rFonts w:ascii="Calibri" w:eastAsia="Calibri" w:hAnsi="Calibri" w:cs="Calibri"/>
          <w:b w:val="0"/>
          <w:bCs w:val="0"/>
          <w:color w:val="auto"/>
          <w:sz w:val="22"/>
          <w:szCs w:val="22"/>
          <w:lang w:eastAsia="en-US"/>
        </w:rPr>
        <w:id w:val="-871682601"/>
        <w:docPartObj>
          <w:docPartGallery w:val="Table of Contents"/>
          <w:docPartUnique/>
        </w:docPartObj>
      </w:sdtPr>
      <w:sdtContent>
        <w:p w:rsidR="00E519D7" w:rsidRDefault="00E519D7" w:rsidP="000943D5">
          <w:pPr>
            <w:pStyle w:val="Nadpisobsahu"/>
            <w:numPr>
              <w:ilvl w:val="0"/>
              <w:numId w:val="0"/>
            </w:numPr>
            <w:ind w:left="432"/>
          </w:pPr>
        </w:p>
        <w:p w:rsidR="00A17188" w:rsidRDefault="00E519D7" w:rsidP="000943D5">
          <w:pPr>
            <w:pStyle w:val="Nadpisobsahu"/>
            <w:numPr>
              <w:ilvl w:val="0"/>
              <w:numId w:val="0"/>
            </w:numPr>
            <w:ind w:left="432"/>
          </w:pPr>
          <w:r>
            <w:br w:type="column"/>
          </w:r>
        </w:p>
        <w:p w:rsidR="00A17188" w:rsidRDefault="00A17188" w:rsidP="000943D5">
          <w:pPr>
            <w:pStyle w:val="Nadpisobsahu"/>
            <w:numPr>
              <w:ilvl w:val="0"/>
              <w:numId w:val="0"/>
            </w:numPr>
            <w:tabs>
              <w:tab w:val="left" w:pos="2977"/>
            </w:tabs>
          </w:pPr>
          <w:r>
            <w:t>Obsah</w:t>
          </w:r>
        </w:p>
        <w:p w:rsidR="009B3077" w:rsidRDefault="00F73AC7">
          <w:pPr>
            <w:pStyle w:val="Obsah1"/>
            <w:rPr>
              <w:rFonts w:asciiTheme="minorHAnsi" w:eastAsiaTheme="minorEastAsia" w:hAnsiTheme="minorHAnsi" w:cstheme="minorBidi"/>
              <w:noProof/>
              <w:lang w:eastAsia="cs-CZ"/>
            </w:rPr>
          </w:pPr>
          <w:r w:rsidRPr="00F73AC7">
            <w:rPr>
              <w:sz w:val="24"/>
              <w:szCs w:val="24"/>
            </w:rPr>
            <w:fldChar w:fldCharType="begin"/>
          </w:r>
          <w:r w:rsidR="00A17188" w:rsidRPr="00C20389">
            <w:rPr>
              <w:sz w:val="24"/>
              <w:szCs w:val="24"/>
            </w:rPr>
            <w:instrText xml:space="preserve"> TOC \o "1-3" \h \z \u </w:instrText>
          </w:r>
          <w:r w:rsidRPr="00F73AC7">
            <w:rPr>
              <w:sz w:val="24"/>
              <w:szCs w:val="24"/>
            </w:rPr>
            <w:fldChar w:fldCharType="separate"/>
          </w:r>
          <w:hyperlink w:anchor="_Toc384356082" w:history="1">
            <w:r w:rsidR="009B3077" w:rsidRPr="0083117D">
              <w:rPr>
                <w:rStyle w:val="Hypertextovodkaz"/>
                <w:noProof/>
              </w:rPr>
              <w:t>1</w:t>
            </w:r>
            <w:r w:rsidR="009B3077">
              <w:rPr>
                <w:rFonts w:asciiTheme="minorHAnsi" w:eastAsiaTheme="minorEastAsia" w:hAnsiTheme="minorHAnsi" w:cstheme="minorBidi"/>
                <w:noProof/>
                <w:lang w:eastAsia="cs-CZ"/>
              </w:rPr>
              <w:tab/>
            </w:r>
            <w:r w:rsidR="009B3077" w:rsidRPr="0083117D">
              <w:rPr>
                <w:rStyle w:val="Hypertextovodkaz"/>
                <w:noProof/>
              </w:rPr>
              <w:t>Aktuální situace ve zdravotnictví</w:t>
            </w:r>
            <w:r w:rsidR="009B3077">
              <w:rPr>
                <w:noProof/>
                <w:webHidden/>
              </w:rPr>
              <w:tab/>
            </w:r>
            <w:r>
              <w:rPr>
                <w:noProof/>
                <w:webHidden/>
              </w:rPr>
              <w:fldChar w:fldCharType="begin"/>
            </w:r>
            <w:r w:rsidR="009B3077">
              <w:rPr>
                <w:noProof/>
                <w:webHidden/>
              </w:rPr>
              <w:instrText xml:space="preserve"> PAGEREF _Toc384356082 \h </w:instrText>
            </w:r>
            <w:r>
              <w:rPr>
                <w:noProof/>
                <w:webHidden/>
              </w:rPr>
            </w:r>
            <w:r>
              <w:rPr>
                <w:noProof/>
                <w:webHidden/>
              </w:rPr>
              <w:fldChar w:fldCharType="separate"/>
            </w:r>
            <w:r w:rsidR="008763C6">
              <w:rPr>
                <w:noProof/>
                <w:webHidden/>
              </w:rPr>
              <w:t>3</w:t>
            </w:r>
            <w:r>
              <w:rPr>
                <w:noProof/>
                <w:webHidden/>
              </w:rPr>
              <w:fldChar w:fldCharType="end"/>
            </w:r>
          </w:hyperlink>
        </w:p>
        <w:p w:rsidR="009B3077" w:rsidRDefault="00F73AC7">
          <w:pPr>
            <w:pStyle w:val="Obsah2"/>
            <w:tabs>
              <w:tab w:val="left" w:pos="880"/>
              <w:tab w:val="right" w:leader="dot" w:pos="10457"/>
            </w:tabs>
            <w:rPr>
              <w:rFonts w:asciiTheme="minorHAnsi" w:eastAsiaTheme="minorEastAsia" w:hAnsiTheme="minorHAnsi" w:cstheme="minorBidi"/>
              <w:noProof/>
              <w:lang w:eastAsia="cs-CZ"/>
            </w:rPr>
          </w:pPr>
          <w:hyperlink w:anchor="_Toc384356083" w:history="1">
            <w:r w:rsidR="009B3077" w:rsidRPr="0083117D">
              <w:rPr>
                <w:rStyle w:val="Hypertextovodkaz"/>
                <w:noProof/>
              </w:rPr>
              <w:t>1.1</w:t>
            </w:r>
            <w:r w:rsidR="009B3077">
              <w:rPr>
                <w:rFonts w:asciiTheme="minorHAnsi" w:eastAsiaTheme="minorEastAsia" w:hAnsiTheme="minorHAnsi" w:cstheme="minorBidi"/>
                <w:noProof/>
                <w:lang w:eastAsia="cs-CZ"/>
              </w:rPr>
              <w:tab/>
            </w:r>
            <w:r w:rsidR="009B3077" w:rsidRPr="0083117D">
              <w:rPr>
                <w:rStyle w:val="Hypertextovodkaz"/>
                <w:noProof/>
              </w:rPr>
              <w:t>Problematika nemocnic</w:t>
            </w:r>
            <w:r w:rsidR="009B3077">
              <w:rPr>
                <w:noProof/>
                <w:webHidden/>
              </w:rPr>
              <w:tab/>
            </w:r>
            <w:r>
              <w:rPr>
                <w:noProof/>
                <w:webHidden/>
              </w:rPr>
              <w:fldChar w:fldCharType="begin"/>
            </w:r>
            <w:r w:rsidR="009B3077">
              <w:rPr>
                <w:noProof/>
                <w:webHidden/>
              </w:rPr>
              <w:instrText xml:space="preserve"> PAGEREF _Toc384356083 \h </w:instrText>
            </w:r>
            <w:r>
              <w:rPr>
                <w:noProof/>
                <w:webHidden/>
              </w:rPr>
            </w:r>
            <w:r>
              <w:rPr>
                <w:noProof/>
                <w:webHidden/>
              </w:rPr>
              <w:fldChar w:fldCharType="separate"/>
            </w:r>
            <w:r w:rsidR="008763C6">
              <w:rPr>
                <w:noProof/>
                <w:webHidden/>
              </w:rPr>
              <w:t>3</w:t>
            </w:r>
            <w:r>
              <w:rPr>
                <w:noProof/>
                <w:webHidden/>
              </w:rPr>
              <w:fldChar w:fldCharType="end"/>
            </w:r>
          </w:hyperlink>
        </w:p>
        <w:p w:rsidR="009B3077" w:rsidRDefault="00F73AC7">
          <w:pPr>
            <w:pStyle w:val="Obsah2"/>
            <w:tabs>
              <w:tab w:val="left" w:pos="880"/>
              <w:tab w:val="right" w:leader="dot" w:pos="10457"/>
            </w:tabs>
            <w:rPr>
              <w:rFonts w:asciiTheme="minorHAnsi" w:eastAsiaTheme="minorEastAsia" w:hAnsiTheme="minorHAnsi" w:cstheme="minorBidi"/>
              <w:noProof/>
              <w:lang w:eastAsia="cs-CZ"/>
            </w:rPr>
          </w:pPr>
          <w:hyperlink w:anchor="_Toc384356084" w:history="1">
            <w:r w:rsidR="009B3077" w:rsidRPr="0083117D">
              <w:rPr>
                <w:rStyle w:val="Hypertextovodkaz"/>
                <w:noProof/>
              </w:rPr>
              <w:t>1.2</w:t>
            </w:r>
            <w:r w:rsidR="009B3077">
              <w:rPr>
                <w:rFonts w:asciiTheme="minorHAnsi" w:eastAsiaTheme="minorEastAsia" w:hAnsiTheme="minorHAnsi" w:cstheme="minorBidi"/>
                <w:noProof/>
                <w:lang w:eastAsia="cs-CZ"/>
              </w:rPr>
              <w:tab/>
            </w:r>
            <w:r w:rsidR="009B3077" w:rsidRPr="0083117D">
              <w:rPr>
                <w:rStyle w:val="Hypertextovodkaz"/>
                <w:noProof/>
              </w:rPr>
              <w:t>Aktuální situace pojišťoven</w:t>
            </w:r>
            <w:r w:rsidR="009B3077">
              <w:rPr>
                <w:noProof/>
                <w:webHidden/>
              </w:rPr>
              <w:tab/>
            </w:r>
            <w:r>
              <w:rPr>
                <w:noProof/>
                <w:webHidden/>
              </w:rPr>
              <w:fldChar w:fldCharType="begin"/>
            </w:r>
            <w:r w:rsidR="009B3077">
              <w:rPr>
                <w:noProof/>
                <w:webHidden/>
              </w:rPr>
              <w:instrText xml:space="preserve"> PAGEREF _Toc384356084 \h </w:instrText>
            </w:r>
            <w:r>
              <w:rPr>
                <w:noProof/>
                <w:webHidden/>
              </w:rPr>
            </w:r>
            <w:r>
              <w:rPr>
                <w:noProof/>
                <w:webHidden/>
              </w:rPr>
              <w:fldChar w:fldCharType="separate"/>
            </w:r>
            <w:r w:rsidR="008763C6">
              <w:rPr>
                <w:noProof/>
                <w:webHidden/>
              </w:rPr>
              <w:t>5</w:t>
            </w:r>
            <w:r>
              <w:rPr>
                <w:noProof/>
                <w:webHidden/>
              </w:rPr>
              <w:fldChar w:fldCharType="end"/>
            </w:r>
          </w:hyperlink>
        </w:p>
        <w:p w:rsidR="009B3077" w:rsidRDefault="00F73AC7">
          <w:pPr>
            <w:pStyle w:val="Obsah2"/>
            <w:tabs>
              <w:tab w:val="left" w:pos="880"/>
              <w:tab w:val="right" w:leader="dot" w:pos="10457"/>
            </w:tabs>
            <w:rPr>
              <w:rFonts w:asciiTheme="minorHAnsi" w:eastAsiaTheme="minorEastAsia" w:hAnsiTheme="minorHAnsi" w:cstheme="minorBidi"/>
              <w:noProof/>
              <w:lang w:eastAsia="cs-CZ"/>
            </w:rPr>
          </w:pPr>
          <w:hyperlink w:anchor="_Toc384356085" w:history="1">
            <w:r w:rsidR="009B3077" w:rsidRPr="0083117D">
              <w:rPr>
                <w:rStyle w:val="Hypertextovodkaz"/>
                <w:rFonts w:cs="Arial"/>
                <w:noProof/>
              </w:rPr>
              <w:t>1.3</w:t>
            </w:r>
            <w:r w:rsidR="009B3077">
              <w:rPr>
                <w:rFonts w:asciiTheme="minorHAnsi" w:eastAsiaTheme="minorEastAsia" w:hAnsiTheme="minorHAnsi" w:cstheme="minorBidi"/>
                <w:noProof/>
                <w:lang w:eastAsia="cs-CZ"/>
              </w:rPr>
              <w:tab/>
            </w:r>
            <w:r w:rsidR="009B3077" w:rsidRPr="0083117D">
              <w:rPr>
                <w:rStyle w:val="Hypertextovodkaz"/>
                <w:rFonts w:cs="Arial"/>
                <w:noProof/>
              </w:rPr>
              <w:t>Úhrady od ZP</w:t>
            </w:r>
            <w:r w:rsidR="009B3077">
              <w:rPr>
                <w:noProof/>
                <w:webHidden/>
              </w:rPr>
              <w:tab/>
            </w:r>
            <w:r>
              <w:rPr>
                <w:noProof/>
                <w:webHidden/>
              </w:rPr>
              <w:fldChar w:fldCharType="begin"/>
            </w:r>
            <w:r w:rsidR="009B3077">
              <w:rPr>
                <w:noProof/>
                <w:webHidden/>
              </w:rPr>
              <w:instrText xml:space="preserve"> PAGEREF _Toc384356085 \h </w:instrText>
            </w:r>
            <w:r>
              <w:rPr>
                <w:noProof/>
                <w:webHidden/>
              </w:rPr>
            </w:r>
            <w:r>
              <w:rPr>
                <w:noProof/>
                <w:webHidden/>
              </w:rPr>
              <w:fldChar w:fldCharType="separate"/>
            </w:r>
            <w:r w:rsidR="008763C6">
              <w:rPr>
                <w:noProof/>
                <w:webHidden/>
              </w:rPr>
              <w:t>6</w:t>
            </w:r>
            <w:r>
              <w:rPr>
                <w:noProof/>
                <w:webHidden/>
              </w:rPr>
              <w:fldChar w:fldCharType="end"/>
            </w:r>
          </w:hyperlink>
        </w:p>
        <w:p w:rsidR="009B3077" w:rsidRDefault="00F73AC7">
          <w:pPr>
            <w:pStyle w:val="Obsah1"/>
            <w:rPr>
              <w:rFonts w:asciiTheme="minorHAnsi" w:eastAsiaTheme="minorEastAsia" w:hAnsiTheme="minorHAnsi" w:cstheme="minorBidi"/>
              <w:noProof/>
              <w:lang w:eastAsia="cs-CZ"/>
            </w:rPr>
          </w:pPr>
          <w:hyperlink w:anchor="_Toc384356086" w:history="1">
            <w:r w:rsidR="009B3077" w:rsidRPr="0083117D">
              <w:rPr>
                <w:rStyle w:val="Hypertextovodkaz"/>
                <w:noProof/>
              </w:rPr>
              <w:t>2</w:t>
            </w:r>
            <w:r w:rsidR="009B3077">
              <w:rPr>
                <w:rFonts w:asciiTheme="minorHAnsi" w:eastAsiaTheme="minorEastAsia" w:hAnsiTheme="minorHAnsi" w:cstheme="minorBidi"/>
                <w:noProof/>
                <w:lang w:eastAsia="cs-CZ"/>
              </w:rPr>
              <w:tab/>
            </w:r>
            <w:r w:rsidR="009B3077" w:rsidRPr="0083117D">
              <w:rPr>
                <w:rStyle w:val="Hypertextovodkaz"/>
                <w:noProof/>
              </w:rPr>
              <w:t>Ekonomická problematika</w:t>
            </w:r>
            <w:r w:rsidR="009B3077">
              <w:rPr>
                <w:noProof/>
                <w:webHidden/>
              </w:rPr>
              <w:tab/>
            </w:r>
            <w:r>
              <w:rPr>
                <w:noProof/>
                <w:webHidden/>
              </w:rPr>
              <w:fldChar w:fldCharType="begin"/>
            </w:r>
            <w:r w:rsidR="009B3077">
              <w:rPr>
                <w:noProof/>
                <w:webHidden/>
              </w:rPr>
              <w:instrText xml:space="preserve"> PAGEREF _Toc384356086 \h </w:instrText>
            </w:r>
            <w:r>
              <w:rPr>
                <w:noProof/>
                <w:webHidden/>
              </w:rPr>
            </w:r>
            <w:r>
              <w:rPr>
                <w:noProof/>
                <w:webHidden/>
              </w:rPr>
              <w:fldChar w:fldCharType="separate"/>
            </w:r>
            <w:r w:rsidR="008763C6">
              <w:rPr>
                <w:noProof/>
                <w:webHidden/>
              </w:rPr>
              <w:t>7</w:t>
            </w:r>
            <w:r>
              <w:rPr>
                <w:noProof/>
                <w:webHidden/>
              </w:rPr>
              <w:fldChar w:fldCharType="end"/>
            </w:r>
          </w:hyperlink>
        </w:p>
        <w:p w:rsidR="009B3077" w:rsidRDefault="00F73AC7">
          <w:pPr>
            <w:pStyle w:val="Obsah2"/>
            <w:tabs>
              <w:tab w:val="left" w:pos="880"/>
              <w:tab w:val="right" w:leader="dot" w:pos="10457"/>
            </w:tabs>
            <w:rPr>
              <w:rFonts w:asciiTheme="minorHAnsi" w:eastAsiaTheme="minorEastAsia" w:hAnsiTheme="minorHAnsi" w:cstheme="minorBidi"/>
              <w:noProof/>
              <w:lang w:eastAsia="cs-CZ"/>
            </w:rPr>
          </w:pPr>
          <w:hyperlink w:anchor="_Toc384356087" w:history="1">
            <w:r w:rsidR="009B3077" w:rsidRPr="0083117D">
              <w:rPr>
                <w:rStyle w:val="Hypertextovodkaz"/>
                <w:noProof/>
              </w:rPr>
              <w:t>2.1</w:t>
            </w:r>
            <w:r w:rsidR="009B3077">
              <w:rPr>
                <w:rFonts w:asciiTheme="minorHAnsi" w:eastAsiaTheme="minorEastAsia" w:hAnsiTheme="minorHAnsi" w:cstheme="minorBidi"/>
                <w:noProof/>
                <w:lang w:eastAsia="cs-CZ"/>
              </w:rPr>
              <w:tab/>
            </w:r>
            <w:r w:rsidR="009B3077" w:rsidRPr="0083117D">
              <w:rPr>
                <w:rStyle w:val="Hypertextovodkaz"/>
                <w:noProof/>
              </w:rPr>
              <w:t>Kompenzace za zrušené regulační poplatky</w:t>
            </w:r>
            <w:r w:rsidR="009B3077">
              <w:rPr>
                <w:noProof/>
                <w:webHidden/>
              </w:rPr>
              <w:tab/>
            </w:r>
            <w:r>
              <w:rPr>
                <w:noProof/>
                <w:webHidden/>
              </w:rPr>
              <w:fldChar w:fldCharType="begin"/>
            </w:r>
            <w:r w:rsidR="009B3077">
              <w:rPr>
                <w:noProof/>
                <w:webHidden/>
              </w:rPr>
              <w:instrText xml:space="preserve"> PAGEREF _Toc384356087 \h </w:instrText>
            </w:r>
            <w:r>
              <w:rPr>
                <w:noProof/>
                <w:webHidden/>
              </w:rPr>
            </w:r>
            <w:r>
              <w:rPr>
                <w:noProof/>
                <w:webHidden/>
              </w:rPr>
              <w:fldChar w:fldCharType="separate"/>
            </w:r>
            <w:r w:rsidR="008763C6">
              <w:rPr>
                <w:noProof/>
                <w:webHidden/>
              </w:rPr>
              <w:t>7</w:t>
            </w:r>
            <w:r>
              <w:rPr>
                <w:noProof/>
                <w:webHidden/>
              </w:rPr>
              <w:fldChar w:fldCharType="end"/>
            </w:r>
          </w:hyperlink>
        </w:p>
        <w:p w:rsidR="009B3077" w:rsidRDefault="00F73AC7">
          <w:pPr>
            <w:pStyle w:val="Obsah2"/>
            <w:tabs>
              <w:tab w:val="left" w:pos="880"/>
              <w:tab w:val="right" w:leader="dot" w:pos="10457"/>
            </w:tabs>
            <w:rPr>
              <w:rFonts w:asciiTheme="minorHAnsi" w:eastAsiaTheme="minorEastAsia" w:hAnsiTheme="minorHAnsi" w:cstheme="minorBidi"/>
              <w:noProof/>
              <w:lang w:eastAsia="cs-CZ"/>
            </w:rPr>
          </w:pPr>
          <w:hyperlink w:anchor="_Toc384356088" w:history="1">
            <w:r w:rsidR="009B3077" w:rsidRPr="0083117D">
              <w:rPr>
                <w:rStyle w:val="Hypertextovodkaz"/>
                <w:noProof/>
              </w:rPr>
              <w:t>2.2</w:t>
            </w:r>
            <w:r w:rsidR="009B3077">
              <w:rPr>
                <w:rFonts w:asciiTheme="minorHAnsi" w:eastAsiaTheme="minorEastAsia" w:hAnsiTheme="minorHAnsi" w:cstheme="minorBidi"/>
                <w:noProof/>
                <w:lang w:eastAsia="cs-CZ"/>
              </w:rPr>
              <w:tab/>
            </w:r>
            <w:r w:rsidR="009B3077" w:rsidRPr="0083117D">
              <w:rPr>
                <w:rStyle w:val="Hypertextovodkaz"/>
                <w:noProof/>
              </w:rPr>
              <w:t>Dopad zvýšení DPH</w:t>
            </w:r>
            <w:r w:rsidR="009B3077">
              <w:rPr>
                <w:noProof/>
                <w:webHidden/>
              </w:rPr>
              <w:tab/>
            </w:r>
            <w:r>
              <w:rPr>
                <w:noProof/>
                <w:webHidden/>
              </w:rPr>
              <w:fldChar w:fldCharType="begin"/>
            </w:r>
            <w:r w:rsidR="009B3077">
              <w:rPr>
                <w:noProof/>
                <w:webHidden/>
              </w:rPr>
              <w:instrText xml:space="preserve"> PAGEREF _Toc384356088 \h </w:instrText>
            </w:r>
            <w:r>
              <w:rPr>
                <w:noProof/>
                <w:webHidden/>
              </w:rPr>
            </w:r>
            <w:r>
              <w:rPr>
                <w:noProof/>
                <w:webHidden/>
              </w:rPr>
              <w:fldChar w:fldCharType="separate"/>
            </w:r>
            <w:r w:rsidR="008763C6">
              <w:rPr>
                <w:noProof/>
                <w:webHidden/>
              </w:rPr>
              <w:t>8</w:t>
            </w:r>
            <w:r>
              <w:rPr>
                <w:noProof/>
                <w:webHidden/>
              </w:rPr>
              <w:fldChar w:fldCharType="end"/>
            </w:r>
          </w:hyperlink>
        </w:p>
        <w:p w:rsidR="009B3077" w:rsidRDefault="00F73AC7">
          <w:pPr>
            <w:pStyle w:val="Obsah2"/>
            <w:tabs>
              <w:tab w:val="left" w:pos="880"/>
              <w:tab w:val="right" w:leader="dot" w:pos="10457"/>
            </w:tabs>
            <w:rPr>
              <w:rFonts w:asciiTheme="minorHAnsi" w:eastAsiaTheme="minorEastAsia" w:hAnsiTheme="minorHAnsi" w:cstheme="minorBidi"/>
              <w:noProof/>
              <w:lang w:eastAsia="cs-CZ"/>
            </w:rPr>
          </w:pPr>
          <w:hyperlink w:anchor="_Toc384356089" w:history="1">
            <w:r w:rsidR="009B3077" w:rsidRPr="0083117D">
              <w:rPr>
                <w:rStyle w:val="Hypertextovodkaz"/>
                <w:noProof/>
              </w:rPr>
              <w:t>2.3</w:t>
            </w:r>
            <w:r w:rsidR="009B3077">
              <w:rPr>
                <w:rFonts w:asciiTheme="minorHAnsi" w:eastAsiaTheme="minorEastAsia" w:hAnsiTheme="minorHAnsi" w:cstheme="minorBidi"/>
                <w:noProof/>
                <w:lang w:eastAsia="cs-CZ"/>
              </w:rPr>
              <w:tab/>
            </w:r>
            <w:r w:rsidR="009B3077" w:rsidRPr="0083117D">
              <w:rPr>
                <w:rStyle w:val="Hypertextovodkaz"/>
                <w:noProof/>
              </w:rPr>
              <w:t>Analýza dopadu měnových intervencí</w:t>
            </w:r>
            <w:r w:rsidR="009B3077">
              <w:rPr>
                <w:noProof/>
                <w:webHidden/>
              </w:rPr>
              <w:tab/>
            </w:r>
            <w:r>
              <w:rPr>
                <w:noProof/>
                <w:webHidden/>
              </w:rPr>
              <w:fldChar w:fldCharType="begin"/>
            </w:r>
            <w:r w:rsidR="009B3077">
              <w:rPr>
                <w:noProof/>
                <w:webHidden/>
              </w:rPr>
              <w:instrText xml:space="preserve"> PAGEREF _Toc384356089 \h </w:instrText>
            </w:r>
            <w:r>
              <w:rPr>
                <w:noProof/>
                <w:webHidden/>
              </w:rPr>
            </w:r>
            <w:r>
              <w:rPr>
                <w:noProof/>
                <w:webHidden/>
              </w:rPr>
              <w:fldChar w:fldCharType="separate"/>
            </w:r>
            <w:r w:rsidR="008763C6">
              <w:rPr>
                <w:noProof/>
                <w:webHidden/>
              </w:rPr>
              <w:t>8</w:t>
            </w:r>
            <w:r>
              <w:rPr>
                <w:noProof/>
                <w:webHidden/>
              </w:rPr>
              <w:fldChar w:fldCharType="end"/>
            </w:r>
          </w:hyperlink>
        </w:p>
        <w:p w:rsidR="009B3077" w:rsidRDefault="00F73AC7">
          <w:pPr>
            <w:pStyle w:val="Obsah1"/>
            <w:rPr>
              <w:rFonts w:asciiTheme="minorHAnsi" w:eastAsiaTheme="minorEastAsia" w:hAnsiTheme="minorHAnsi" w:cstheme="minorBidi"/>
              <w:noProof/>
              <w:lang w:eastAsia="cs-CZ"/>
            </w:rPr>
          </w:pPr>
          <w:hyperlink w:anchor="_Toc384356090" w:history="1">
            <w:r w:rsidR="009B3077" w:rsidRPr="0083117D">
              <w:rPr>
                <w:rStyle w:val="Hypertextovodkaz"/>
                <w:noProof/>
              </w:rPr>
              <w:t>3</w:t>
            </w:r>
            <w:r w:rsidR="009B3077">
              <w:rPr>
                <w:rFonts w:asciiTheme="minorHAnsi" w:eastAsiaTheme="minorEastAsia" w:hAnsiTheme="minorHAnsi" w:cstheme="minorBidi"/>
                <w:noProof/>
                <w:lang w:eastAsia="cs-CZ"/>
              </w:rPr>
              <w:tab/>
            </w:r>
            <w:r w:rsidR="009B3077" w:rsidRPr="0083117D">
              <w:rPr>
                <w:rStyle w:val="Hypertextovodkaz"/>
                <w:noProof/>
              </w:rPr>
              <w:t>Odkup nedobytných pohledávek</w:t>
            </w:r>
            <w:r w:rsidR="009B3077">
              <w:rPr>
                <w:noProof/>
                <w:webHidden/>
              </w:rPr>
              <w:tab/>
            </w:r>
            <w:r>
              <w:rPr>
                <w:noProof/>
                <w:webHidden/>
              </w:rPr>
              <w:fldChar w:fldCharType="begin"/>
            </w:r>
            <w:r w:rsidR="009B3077">
              <w:rPr>
                <w:noProof/>
                <w:webHidden/>
              </w:rPr>
              <w:instrText xml:space="preserve"> PAGEREF _Toc384356090 \h </w:instrText>
            </w:r>
            <w:r>
              <w:rPr>
                <w:noProof/>
                <w:webHidden/>
              </w:rPr>
            </w:r>
            <w:r>
              <w:rPr>
                <w:noProof/>
                <w:webHidden/>
              </w:rPr>
              <w:fldChar w:fldCharType="separate"/>
            </w:r>
            <w:r w:rsidR="008763C6">
              <w:rPr>
                <w:noProof/>
                <w:webHidden/>
              </w:rPr>
              <w:t>9</w:t>
            </w:r>
            <w:r>
              <w:rPr>
                <w:noProof/>
                <w:webHidden/>
              </w:rPr>
              <w:fldChar w:fldCharType="end"/>
            </w:r>
          </w:hyperlink>
        </w:p>
        <w:p w:rsidR="009B3077" w:rsidRDefault="00F73AC7">
          <w:pPr>
            <w:pStyle w:val="Obsah1"/>
            <w:rPr>
              <w:rFonts w:asciiTheme="minorHAnsi" w:eastAsiaTheme="minorEastAsia" w:hAnsiTheme="minorHAnsi" w:cstheme="minorBidi"/>
              <w:noProof/>
              <w:lang w:eastAsia="cs-CZ"/>
            </w:rPr>
          </w:pPr>
          <w:hyperlink w:anchor="_Toc384356091" w:history="1">
            <w:r w:rsidR="009B3077" w:rsidRPr="0083117D">
              <w:rPr>
                <w:rStyle w:val="Hypertextovodkaz"/>
                <w:noProof/>
              </w:rPr>
              <w:t>4</w:t>
            </w:r>
            <w:r w:rsidR="009B3077">
              <w:rPr>
                <w:rFonts w:asciiTheme="minorHAnsi" w:eastAsiaTheme="minorEastAsia" w:hAnsiTheme="minorHAnsi" w:cstheme="minorBidi"/>
                <w:noProof/>
                <w:lang w:eastAsia="cs-CZ"/>
              </w:rPr>
              <w:tab/>
            </w:r>
            <w:r w:rsidR="009B3077" w:rsidRPr="0083117D">
              <w:rPr>
                <w:rStyle w:val="Hypertextovodkaz"/>
                <w:noProof/>
              </w:rPr>
              <w:t>Koncepce hygienické služby a prevence nemocí</w:t>
            </w:r>
            <w:r w:rsidR="009B3077">
              <w:rPr>
                <w:noProof/>
                <w:webHidden/>
              </w:rPr>
              <w:tab/>
            </w:r>
            <w:r>
              <w:rPr>
                <w:noProof/>
                <w:webHidden/>
              </w:rPr>
              <w:fldChar w:fldCharType="begin"/>
            </w:r>
            <w:r w:rsidR="009B3077">
              <w:rPr>
                <w:noProof/>
                <w:webHidden/>
              </w:rPr>
              <w:instrText xml:space="preserve"> PAGEREF _Toc384356091 \h </w:instrText>
            </w:r>
            <w:r>
              <w:rPr>
                <w:noProof/>
                <w:webHidden/>
              </w:rPr>
            </w:r>
            <w:r>
              <w:rPr>
                <w:noProof/>
                <w:webHidden/>
              </w:rPr>
              <w:fldChar w:fldCharType="separate"/>
            </w:r>
            <w:r w:rsidR="008763C6">
              <w:rPr>
                <w:noProof/>
                <w:webHidden/>
              </w:rPr>
              <w:t>10</w:t>
            </w:r>
            <w:r>
              <w:rPr>
                <w:noProof/>
                <w:webHidden/>
              </w:rPr>
              <w:fldChar w:fldCharType="end"/>
            </w:r>
          </w:hyperlink>
        </w:p>
        <w:p w:rsidR="009B3077" w:rsidRDefault="00F73AC7">
          <w:pPr>
            <w:pStyle w:val="Obsah1"/>
            <w:rPr>
              <w:rFonts w:asciiTheme="minorHAnsi" w:eastAsiaTheme="minorEastAsia" w:hAnsiTheme="minorHAnsi" w:cstheme="minorBidi"/>
              <w:noProof/>
              <w:lang w:eastAsia="cs-CZ"/>
            </w:rPr>
          </w:pPr>
          <w:hyperlink w:anchor="_Toc384356092" w:history="1">
            <w:r w:rsidR="009B3077" w:rsidRPr="0083117D">
              <w:rPr>
                <w:rStyle w:val="Hypertextovodkaz"/>
                <w:noProof/>
              </w:rPr>
              <w:t>5</w:t>
            </w:r>
            <w:r w:rsidR="009B3077">
              <w:rPr>
                <w:rFonts w:asciiTheme="minorHAnsi" w:eastAsiaTheme="minorEastAsia" w:hAnsiTheme="minorHAnsi" w:cstheme="minorBidi"/>
                <w:noProof/>
                <w:lang w:eastAsia="cs-CZ"/>
              </w:rPr>
              <w:tab/>
            </w:r>
            <w:r w:rsidR="009B3077" w:rsidRPr="0083117D">
              <w:rPr>
                <w:rStyle w:val="Hypertextovodkaz"/>
                <w:noProof/>
              </w:rPr>
              <w:t>Plnění vládního programového prohlášení</w:t>
            </w:r>
            <w:r w:rsidR="009B3077">
              <w:rPr>
                <w:noProof/>
                <w:webHidden/>
              </w:rPr>
              <w:tab/>
            </w:r>
            <w:r>
              <w:rPr>
                <w:noProof/>
                <w:webHidden/>
              </w:rPr>
              <w:fldChar w:fldCharType="begin"/>
            </w:r>
            <w:r w:rsidR="009B3077">
              <w:rPr>
                <w:noProof/>
                <w:webHidden/>
              </w:rPr>
              <w:instrText xml:space="preserve"> PAGEREF _Toc384356092 \h </w:instrText>
            </w:r>
            <w:r>
              <w:rPr>
                <w:noProof/>
                <w:webHidden/>
              </w:rPr>
            </w:r>
            <w:r>
              <w:rPr>
                <w:noProof/>
                <w:webHidden/>
              </w:rPr>
              <w:fldChar w:fldCharType="separate"/>
            </w:r>
            <w:r w:rsidR="008763C6">
              <w:rPr>
                <w:noProof/>
                <w:webHidden/>
              </w:rPr>
              <w:t>10</w:t>
            </w:r>
            <w:r>
              <w:rPr>
                <w:noProof/>
                <w:webHidden/>
              </w:rPr>
              <w:fldChar w:fldCharType="end"/>
            </w:r>
          </w:hyperlink>
        </w:p>
        <w:p w:rsidR="009B3077" w:rsidRDefault="00F73AC7">
          <w:pPr>
            <w:pStyle w:val="Obsah2"/>
            <w:tabs>
              <w:tab w:val="left" w:pos="880"/>
              <w:tab w:val="right" w:leader="dot" w:pos="10457"/>
            </w:tabs>
            <w:rPr>
              <w:rFonts w:asciiTheme="minorHAnsi" w:eastAsiaTheme="minorEastAsia" w:hAnsiTheme="minorHAnsi" w:cstheme="minorBidi"/>
              <w:noProof/>
              <w:lang w:eastAsia="cs-CZ"/>
            </w:rPr>
          </w:pPr>
          <w:hyperlink w:anchor="_Toc384356093" w:history="1">
            <w:r w:rsidR="009B3077" w:rsidRPr="0083117D">
              <w:rPr>
                <w:rStyle w:val="Hypertextovodkaz"/>
                <w:noProof/>
              </w:rPr>
              <w:t>5.1</w:t>
            </w:r>
            <w:r w:rsidR="009B3077">
              <w:rPr>
                <w:rFonts w:asciiTheme="minorHAnsi" w:eastAsiaTheme="minorEastAsia" w:hAnsiTheme="minorHAnsi" w:cstheme="minorBidi"/>
                <w:noProof/>
                <w:lang w:eastAsia="cs-CZ"/>
              </w:rPr>
              <w:tab/>
            </w:r>
            <w:r w:rsidR="009B3077" w:rsidRPr="0083117D">
              <w:rPr>
                <w:rStyle w:val="Hypertextovodkaz"/>
                <w:noProof/>
              </w:rPr>
              <w:t>Novelizace Seznamu výkonů:</w:t>
            </w:r>
            <w:r w:rsidR="009B3077">
              <w:rPr>
                <w:noProof/>
                <w:webHidden/>
              </w:rPr>
              <w:tab/>
            </w:r>
            <w:r>
              <w:rPr>
                <w:noProof/>
                <w:webHidden/>
              </w:rPr>
              <w:fldChar w:fldCharType="begin"/>
            </w:r>
            <w:r w:rsidR="009B3077">
              <w:rPr>
                <w:noProof/>
                <w:webHidden/>
              </w:rPr>
              <w:instrText xml:space="preserve"> PAGEREF _Toc384356093 \h </w:instrText>
            </w:r>
            <w:r>
              <w:rPr>
                <w:noProof/>
                <w:webHidden/>
              </w:rPr>
            </w:r>
            <w:r>
              <w:rPr>
                <w:noProof/>
                <w:webHidden/>
              </w:rPr>
              <w:fldChar w:fldCharType="separate"/>
            </w:r>
            <w:r w:rsidR="008763C6">
              <w:rPr>
                <w:noProof/>
                <w:webHidden/>
              </w:rPr>
              <w:t>10</w:t>
            </w:r>
            <w:r>
              <w:rPr>
                <w:noProof/>
                <w:webHidden/>
              </w:rPr>
              <w:fldChar w:fldCharType="end"/>
            </w:r>
          </w:hyperlink>
        </w:p>
        <w:p w:rsidR="009B3077" w:rsidRDefault="00F73AC7">
          <w:pPr>
            <w:pStyle w:val="Obsah2"/>
            <w:tabs>
              <w:tab w:val="left" w:pos="880"/>
              <w:tab w:val="right" w:leader="dot" w:pos="10457"/>
            </w:tabs>
            <w:rPr>
              <w:rFonts w:asciiTheme="minorHAnsi" w:eastAsiaTheme="minorEastAsia" w:hAnsiTheme="minorHAnsi" w:cstheme="minorBidi"/>
              <w:noProof/>
              <w:lang w:eastAsia="cs-CZ"/>
            </w:rPr>
          </w:pPr>
          <w:hyperlink w:anchor="_Toc384356094" w:history="1">
            <w:r w:rsidR="009B3077" w:rsidRPr="0083117D">
              <w:rPr>
                <w:rStyle w:val="Hypertextovodkaz"/>
                <w:noProof/>
              </w:rPr>
              <w:t>5.2</w:t>
            </w:r>
            <w:r w:rsidR="009B3077">
              <w:rPr>
                <w:rFonts w:asciiTheme="minorHAnsi" w:eastAsiaTheme="minorEastAsia" w:hAnsiTheme="minorHAnsi" w:cstheme="minorBidi"/>
                <w:noProof/>
                <w:lang w:eastAsia="cs-CZ"/>
              </w:rPr>
              <w:tab/>
            </w:r>
            <w:r w:rsidR="009B3077" w:rsidRPr="0083117D">
              <w:rPr>
                <w:rStyle w:val="Hypertextovodkaz"/>
                <w:noProof/>
              </w:rPr>
              <w:t>Narovnání úhrad v oblasti lůžkové péče</w:t>
            </w:r>
            <w:r w:rsidR="009B3077">
              <w:rPr>
                <w:noProof/>
                <w:webHidden/>
              </w:rPr>
              <w:tab/>
            </w:r>
            <w:r>
              <w:rPr>
                <w:noProof/>
                <w:webHidden/>
              </w:rPr>
              <w:fldChar w:fldCharType="begin"/>
            </w:r>
            <w:r w:rsidR="009B3077">
              <w:rPr>
                <w:noProof/>
                <w:webHidden/>
              </w:rPr>
              <w:instrText xml:space="preserve"> PAGEREF _Toc384356094 \h </w:instrText>
            </w:r>
            <w:r>
              <w:rPr>
                <w:noProof/>
                <w:webHidden/>
              </w:rPr>
            </w:r>
            <w:r>
              <w:rPr>
                <w:noProof/>
                <w:webHidden/>
              </w:rPr>
              <w:fldChar w:fldCharType="separate"/>
            </w:r>
            <w:r w:rsidR="008763C6">
              <w:rPr>
                <w:noProof/>
                <w:webHidden/>
              </w:rPr>
              <w:t>10</w:t>
            </w:r>
            <w:r>
              <w:rPr>
                <w:noProof/>
                <w:webHidden/>
              </w:rPr>
              <w:fldChar w:fldCharType="end"/>
            </w:r>
          </w:hyperlink>
        </w:p>
        <w:p w:rsidR="009B3077" w:rsidRDefault="00F73AC7">
          <w:pPr>
            <w:pStyle w:val="Obsah2"/>
            <w:tabs>
              <w:tab w:val="left" w:pos="880"/>
              <w:tab w:val="right" w:leader="dot" w:pos="10457"/>
            </w:tabs>
            <w:rPr>
              <w:rFonts w:asciiTheme="minorHAnsi" w:eastAsiaTheme="minorEastAsia" w:hAnsiTheme="minorHAnsi" w:cstheme="minorBidi"/>
              <w:noProof/>
              <w:lang w:eastAsia="cs-CZ"/>
            </w:rPr>
          </w:pPr>
          <w:hyperlink w:anchor="_Toc384356095" w:history="1">
            <w:r w:rsidR="009B3077" w:rsidRPr="0083117D">
              <w:rPr>
                <w:rStyle w:val="Hypertextovodkaz"/>
                <w:noProof/>
              </w:rPr>
              <w:t>5.3</w:t>
            </w:r>
            <w:r w:rsidR="009B3077">
              <w:rPr>
                <w:rFonts w:asciiTheme="minorHAnsi" w:eastAsiaTheme="minorEastAsia" w:hAnsiTheme="minorHAnsi" w:cstheme="minorBidi"/>
                <w:noProof/>
                <w:lang w:eastAsia="cs-CZ"/>
              </w:rPr>
              <w:tab/>
            </w:r>
            <w:r w:rsidR="009B3077" w:rsidRPr="0083117D">
              <w:rPr>
                <w:rStyle w:val="Hypertextovodkaz"/>
                <w:noProof/>
              </w:rPr>
              <w:t>Dohled nad zdravotním pojištěním a fungováním zdravotních pojišťoven</w:t>
            </w:r>
            <w:r w:rsidR="009B3077">
              <w:rPr>
                <w:noProof/>
                <w:webHidden/>
              </w:rPr>
              <w:tab/>
            </w:r>
            <w:r>
              <w:rPr>
                <w:noProof/>
                <w:webHidden/>
              </w:rPr>
              <w:fldChar w:fldCharType="begin"/>
            </w:r>
            <w:r w:rsidR="009B3077">
              <w:rPr>
                <w:noProof/>
                <w:webHidden/>
              </w:rPr>
              <w:instrText xml:space="preserve"> PAGEREF _Toc384356095 \h </w:instrText>
            </w:r>
            <w:r>
              <w:rPr>
                <w:noProof/>
                <w:webHidden/>
              </w:rPr>
            </w:r>
            <w:r>
              <w:rPr>
                <w:noProof/>
                <w:webHidden/>
              </w:rPr>
              <w:fldChar w:fldCharType="separate"/>
            </w:r>
            <w:r w:rsidR="008763C6">
              <w:rPr>
                <w:noProof/>
                <w:webHidden/>
              </w:rPr>
              <w:t>11</w:t>
            </w:r>
            <w:r>
              <w:rPr>
                <w:noProof/>
                <w:webHidden/>
              </w:rPr>
              <w:fldChar w:fldCharType="end"/>
            </w:r>
          </w:hyperlink>
        </w:p>
        <w:p w:rsidR="009B3077" w:rsidRDefault="00F73AC7">
          <w:pPr>
            <w:pStyle w:val="Obsah2"/>
            <w:tabs>
              <w:tab w:val="left" w:pos="880"/>
              <w:tab w:val="right" w:leader="dot" w:pos="10457"/>
            </w:tabs>
            <w:rPr>
              <w:rFonts w:asciiTheme="minorHAnsi" w:eastAsiaTheme="minorEastAsia" w:hAnsiTheme="minorHAnsi" w:cstheme="minorBidi"/>
              <w:noProof/>
              <w:lang w:eastAsia="cs-CZ"/>
            </w:rPr>
          </w:pPr>
          <w:hyperlink w:anchor="_Toc384356096" w:history="1">
            <w:r w:rsidR="009B3077" w:rsidRPr="0083117D">
              <w:rPr>
                <w:rStyle w:val="Hypertextovodkaz"/>
                <w:noProof/>
              </w:rPr>
              <w:t>5.4</w:t>
            </w:r>
            <w:r w:rsidR="009B3077">
              <w:rPr>
                <w:rFonts w:asciiTheme="minorHAnsi" w:eastAsiaTheme="minorEastAsia" w:hAnsiTheme="minorHAnsi" w:cstheme="minorBidi"/>
                <w:noProof/>
                <w:lang w:eastAsia="cs-CZ"/>
              </w:rPr>
              <w:tab/>
            </w:r>
            <w:r w:rsidR="009B3077" w:rsidRPr="0083117D">
              <w:rPr>
                <w:rStyle w:val="Hypertextovodkaz"/>
                <w:noProof/>
              </w:rPr>
              <w:t>Další navrhovaná opatření</w:t>
            </w:r>
            <w:r w:rsidR="009B3077">
              <w:rPr>
                <w:noProof/>
                <w:webHidden/>
              </w:rPr>
              <w:tab/>
            </w:r>
            <w:r>
              <w:rPr>
                <w:noProof/>
                <w:webHidden/>
              </w:rPr>
              <w:fldChar w:fldCharType="begin"/>
            </w:r>
            <w:r w:rsidR="009B3077">
              <w:rPr>
                <w:noProof/>
                <w:webHidden/>
              </w:rPr>
              <w:instrText xml:space="preserve"> PAGEREF _Toc384356096 \h </w:instrText>
            </w:r>
            <w:r>
              <w:rPr>
                <w:noProof/>
                <w:webHidden/>
              </w:rPr>
            </w:r>
            <w:r>
              <w:rPr>
                <w:noProof/>
                <w:webHidden/>
              </w:rPr>
              <w:fldChar w:fldCharType="separate"/>
            </w:r>
            <w:r w:rsidR="008763C6">
              <w:rPr>
                <w:noProof/>
                <w:webHidden/>
              </w:rPr>
              <w:t>12</w:t>
            </w:r>
            <w:r>
              <w:rPr>
                <w:noProof/>
                <w:webHidden/>
              </w:rPr>
              <w:fldChar w:fldCharType="end"/>
            </w:r>
          </w:hyperlink>
        </w:p>
        <w:p w:rsidR="009B3077" w:rsidRDefault="00F73AC7">
          <w:pPr>
            <w:pStyle w:val="Obsah1"/>
            <w:rPr>
              <w:rFonts w:asciiTheme="minorHAnsi" w:eastAsiaTheme="minorEastAsia" w:hAnsiTheme="minorHAnsi" w:cstheme="minorBidi"/>
              <w:noProof/>
              <w:lang w:eastAsia="cs-CZ"/>
            </w:rPr>
          </w:pPr>
          <w:hyperlink w:anchor="_Toc384356097" w:history="1">
            <w:r w:rsidR="009B3077" w:rsidRPr="0083117D">
              <w:rPr>
                <w:rStyle w:val="Hypertextovodkaz"/>
                <w:noProof/>
              </w:rPr>
              <w:t>I.</w:t>
            </w:r>
            <w:r w:rsidR="009B3077">
              <w:rPr>
                <w:rFonts w:asciiTheme="minorHAnsi" w:eastAsiaTheme="minorEastAsia" w:hAnsiTheme="minorHAnsi" w:cstheme="minorBidi"/>
                <w:noProof/>
                <w:lang w:eastAsia="cs-CZ"/>
              </w:rPr>
              <w:tab/>
            </w:r>
            <w:r w:rsidR="009B3077" w:rsidRPr="0083117D">
              <w:rPr>
                <w:rStyle w:val="Hypertextovodkaz"/>
                <w:noProof/>
              </w:rPr>
              <w:t>Oblast zdravotního pojištění</w:t>
            </w:r>
            <w:r w:rsidR="009B3077">
              <w:rPr>
                <w:noProof/>
                <w:webHidden/>
              </w:rPr>
              <w:tab/>
            </w:r>
            <w:r>
              <w:rPr>
                <w:noProof/>
                <w:webHidden/>
              </w:rPr>
              <w:fldChar w:fldCharType="begin"/>
            </w:r>
            <w:r w:rsidR="009B3077">
              <w:rPr>
                <w:noProof/>
                <w:webHidden/>
              </w:rPr>
              <w:instrText xml:space="preserve"> PAGEREF _Toc384356097 \h </w:instrText>
            </w:r>
            <w:r>
              <w:rPr>
                <w:noProof/>
                <w:webHidden/>
              </w:rPr>
            </w:r>
            <w:r>
              <w:rPr>
                <w:noProof/>
                <w:webHidden/>
              </w:rPr>
              <w:fldChar w:fldCharType="separate"/>
            </w:r>
            <w:r w:rsidR="008763C6">
              <w:rPr>
                <w:noProof/>
                <w:webHidden/>
              </w:rPr>
              <w:t>12</w:t>
            </w:r>
            <w:r>
              <w:rPr>
                <w:noProof/>
                <w:webHidden/>
              </w:rPr>
              <w:fldChar w:fldCharType="end"/>
            </w:r>
          </w:hyperlink>
        </w:p>
        <w:p w:rsidR="009B3077" w:rsidRDefault="00F73AC7">
          <w:pPr>
            <w:pStyle w:val="Obsah1"/>
            <w:rPr>
              <w:rFonts w:asciiTheme="minorHAnsi" w:eastAsiaTheme="minorEastAsia" w:hAnsiTheme="minorHAnsi" w:cstheme="minorBidi"/>
              <w:noProof/>
              <w:lang w:eastAsia="cs-CZ"/>
            </w:rPr>
          </w:pPr>
          <w:hyperlink w:anchor="_Toc384356106" w:history="1">
            <w:r w:rsidR="009B3077" w:rsidRPr="0083117D">
              <w:rPr>
                <w:rStyle w:val="Hypertextovodkaz"/>
                <w:noProof/>
              </w:rPr>
              <w:t>II.</w:t>
            </w:r>
            <w:r w:rsidR="009B3077">
              <w:rPr>
                <w:rFonts w:asciiTheme="minorHAnsi" w:eastAsiaTheme="minorEastAsia" w:hAnsiTheme="minorHAnsi" w:cstheme="minorBidi"/>
                <w:noProof/>
                <w:lang w:eastAsia="cs-CZ"/>
              </w:rPr>
              <w:tab/>
            </w:r>
            <w:r w:rsidR="009B3077" w:rsidRPr="0083117D">
              <w:rPr>
                <w:rStyle w:val="Hypertextovodkaz"/>
                <w:noProof/>
              </w:rPr>
              <w:t>Oblast zdravotních služeb</w:t>
            </w:r>
            <w:r w:rsidR="009B3077">
              <w:rPr>
                <w:noProof/>
                <w:webHidden/>
              </w:rPr>
              <w:tab/>
            </w:r>
            <w:r>
              <w:rPr>
                <w:noProof/>
                <w:webHidden/>
              </w:rPr>
              <w:fldChar w:fldCharType="begin"/>
            </w:r>
            <w:r w:rsidR="009B3077">
              <w:rPr>
                <w:noProof/>
                <w:webHidden/>
              </w:rPr>
              <w:instrText xml:space="preserve"> PAGEREF _Toc384356106 \h </w:instrText>
            </w:r>
            <w:r>
              <w:rPr>
                <w:noProof/>
                <w:webHidden/>
              </w:rPr>
            </w:r>
            <w:r>
              <w:rPr>
                <w:noProof/>
                <w:webHidden/>
              </w:rPr>
              <w:fldChar w:fldCharType="separate"/>
            </w:r>
            <w:r w:rsidR="008763C6">
              <w:rPr>
                <w:noProof/>
                <w:webHidden/>
              </w:rPr>
              <w:t>14</w:t>
            </w:r>
            <w:r>
              <w:rPr>
                <w:noProof/>
                <w:webHidden/>
              </w:rPr>
              <w:fldChar w:fldCharType="end"/>
            </w:r>
          </w:hyperlink>
        </w:p>
        <w:p w:rsidR="009B3077" w:rsidRDefault="00F73AC7">
          <w:pPr>
            <w:pStyle w:val="Obsah1"/>
            <w:rPr>
              <w:rFonts w:asciiTheme="minorHAnsi" w:eastAsiaTheme="minorEastAsia" w:hAnsiTheme="minorHAnsi" w:cstheme="minorBidi"/>
              <w:noProof/>
              <w:lang w:eastAsia="cs-CZ"/>
            </w:rPr>
          </w:pPr>
          <w:hyperlink w:anchor="_Toc384356114" w:history="1">
            <w:r w:rsidR="009B3077" w:rsidRPr="0083117D">
              <w:rPr>
                <w:rStyle w:val="Hypertextovodkaz"/>
                <w:noProof/>
              </w:rPr>
              <w:t>III.</w:t>
            </w:r>
            <w:r w:rsidR="009B3077">
              <w:rPr>
                <w:rFonts w:asciiTheme="minorHAnsi" w:eastAsiaTheme="minorEastAsia" w:hAnsiTheme="minorHAnsi" w:cstheme="minorBidi"/>
                <w:noProof/>
                <w:lang w:eastAsia="cs-CZ"/>
              </w:rPr>
              <w:tab/>
            </w:r>
            <w:r w:rsidR="009B3077" w:rsidRPr="0083117D">
              <w:rPr>
                <w:rStyle w:val="Hypertextovodkaz"/>
                <w:noProof/>
              </w:rPr>
              <w:t>Oblast ekonomiky a řízení organizací v přímé působnosti Ministerstva zdravotnictví</w:t>
            </w:r>
            <w:r w:rsidR="009B3077">
              <w:rPr>
                <w:noProof/>
                <w:webHidden/>
              </w:rPr>
              <w:tab/>
            </w:r>
            <w:r>
              <w:rPr>
                <w:noProof/>
                <w:webHidden/>
              </w:rPr>
              <w:fldChar w:fldCharType="begin"/>
            </w:r>
            <w:r w:rsidR="009B3077">
              <w:rPr>
                <w:noProof/>
                <w:webHidden/>
              </w:rPr>
              <w:instrText xml:space="preserve"> PAGEREF _Toc384356114 \h </w:instrText>
            </w:r>
            <w:r>
              <w:rPr>
                <w:noProof/>
                <w:webHidden/>
              </w:rPr>
            </w:r>
            <w:r>
              <w:rPr>
                <w:noProof/>
                <w:webHidden/>
              </w:rPr>
              <w:fldChar w:fldCharType="separate"/>
            </w:r>
            <w:r w:rsidR="008763C6">
              <w:rPr>
                <w:noProof/>
                <w:webHidden/>
              </w:rPr>
              <w:t>16</w:t>
            </w:r>
            <w:r>
              <w:rPr>
                <w:noProof/>
                <w:webHidden/>
              </w:rPr>
              <w:fldChar w:fldCharType="end"/>
            </w:r>
          </w:hyperlink>
        </w:p>
        <w:p w:rsidR="00A17188" w:rsidRDefault="00F73AC7">
          <w:r w:rsidRPr="00C20389">
            <w:rPr>
              <w:b/>
              <w:bCs/>
              <w:sz w:val="24"/>
              <w:szCs w:val="24"/>
            </w:rPr>
            <w:fldChar w:fldCharType="end"/>
          </w:r>
        </w:p>
      </w:sdtContent>
    </w:sdt>
    <w:p w:rsidR="00A17188" w:rsidRPr="00447BFC" w:rsidRDefault="002F4920" w:rsidP="00447BFC">
      <w:pPr>
        <w:pStyle w:val="Nadpis1"/>
      </w:pPr>
      <w:r>
        <w:br w:type="column"/>
      </w:r>
      <w:bookmarkStart w:id="1" w:name="_Toc384356082"/>
      <w:r w:rsidR="00D574E1" w:rsidRPr="00447BFC">
        <w:rPr>
          <w:color w:val="auto"/>
        </w:rPr>
        <w:lastRenderedPageBreak/>
        <w:t>Aktuální situace ve zdravotnictví</w:t>
      </w:r>
      <w:bookmarkEnd w:id="1"/>
    </w:p>
    <w:p w:rsidR="00A17188" w:rsidRPr="00447BFC" w:rsidRDefault="00D574E1" w:rsidP="00447BFC">
      <w:pPr>
        <w:pStyle w:val="Nadpis2"/>
        <w:rPr>
          <w:color w:val="auto"/>
        </w:rPr>
      </w:pPr>
      <w:bookmarkStart w:id="2" w:name="_Toc384356083"/>
      <w:r w:rsidRPr="00447BFC">
        <w:rPr>
          <w:color w:val="auto"/>
        </w:rPr>
        <w:t>Problematika nemocnic</w:t>
      </w:r>
      <w:bookmarkEnd w:id="2"/>
    </w:p>
    <w:p w:rsidR="00A17188" w:rsidRPr="008D0EBF" w:rsidRDefault="00A17188" w:rsidP="00A17188"/>
    <w:p w:rsidR="00D574E1" w:rsidRPr="007A7191" w:rsidRDefault="00D574E1" w:rsidP="00D574E1">
      <w:pPr>
        <w:rPr>
          <w:sz w:val="24"/>
          <w:szCs w:val="24"/>
        </w:rPr>
      </w:pPr>
      <w:bookmarkStart w:id="3" w:name="_Toc367188609"/>
      <w:r w:rsidRPr="007A7191">
        <w:rPr>
          <w:sz w:val="24"/>
          <w:szCs w:val="24"/>
        </w:rPr>
        <w:t>Přehled ekonomické situace nemocnic (právnických osob) k 31. 12. 2013 dle zřizovatele:</w:t>
      </w:r>
    </w:p>
    <w:p w:rsidR="00D574E1" w:rsidRPr="00E350E0" w:rsidRDefault="00D574E1" w:rsidP="00D574E1">
      <w:pPr>
        <w:rPr>
          <w:sz w:val="16"/>
          <w:szCs w:val="16"/>
        </w:rPr>
      </w:pPr>
      <w:r w:rsidRPr="00E350E0">
        <w:rPr>
          <w:sz w:val="16"/>
          <w:szCs w:val="16"/>
        </w:rPr>
        <w:t>(Zdroj: ÚZIS – předběžné výsledky; údaje v mil. Kč)</w:t>
      </w:r>
    </w:p>
    <w:tbl>
      <w:tblPr>
        <w:tblW w:w="10792" w:type="dxa"/>
        <w:tblLayout w:type="fixed"/>
        <w:tblCellMar>
          <w:left w:w="70" w:type="dxa"/>
          <w:right w:w="70" w:type="dxa"/>
        </w:tblCellMar>
        <w:tblLook w:val="04A0"/>
      </w:tblPr>
      <w:tblGrid>
        <w:gridCol w:w="2606"/>
        <w:gridCol w:w="1018"/>
        <w:gridCol w:w="1059"/>
        <w:gridCol w:w="1031"/>
        <w:gridCol w:w="1365"/>
        <w:gridCol w:w="838"/>
        <w:gridCol w:w="1047"/>
        <w:gridCol w:w="781"/>
        <w:gridCol w:w="1047"/>
      </w:tblGrid>
      <w:tr w:rsidR="00D574E1" w:rsidRPr="000B197D" w:rsidTr="006B6B15">
        <w:trPr>
          <w:trHeight w:val="530"/>
        </w:trPr>
        <w:tc>
          <w:tcPr>
            <w:tcW w:w="2606" w:type="dxa"/>
            <w:vMerge w:val="restart"/>
            <w:tcBorders>
              <w:top w:val="single" w:sz="8" w:space="0" w:color="000000"/>
              <w:left w:val="nil"/>
              <w:bottom w:val="single" w:sz="8" w:space="0" w:color="000000"/>
              <w:right w:val="nil"/>
            </w:tcBorders>
            <w:shd w:val="clear" w:color="auto" w:fill="auto"/>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Nemocnice podle zřizovatele</w:t>
            </w:r>
          </w:p>
        </w:tc>
        <w:tc>
          <w:tcPr>
            <w:tcW w:w="1018" w:type="dxa"/>
            <w:vMerge w:val="restart"/>
            <w:tcBorders>
              <w:top w:val="single" w:sz="8" w:space="0" w:color="000000"/>
              <w:left w:val="nil"/>
              <w:bottom w:val="single" w:sz="8" w:space="0" w:color="000000"/>
              <w:right w:val="nil"/>
            </w:tcBorders>
            <w:shd w:val="clear" w:color="auto" w:fill="auto"/>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Počet</w:t>
            </w:r>
          </w:p>
        </w:tc>
        <w:tc>
          <w:tcPr>
            <w:tcW w:w="1059" w:type="dxa"/>
            <w:vMerge w:val="restart"/>
            <w:tcBorders>
              <w:top w:val="single" w:sz="8" w:space="0" w:color="000000"/>
              <w:left w:val="nil"/>
              <w:bottom w:val="single" w:sz="8" w:space="0" w:color="000000"/>
              <w:right w:val="nil"/>
            </w:tcBorders>
            <w:shd w:val="clear" w:color="auto" w:fill="auto"/>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Náklady</w:t>
            </w:r>
          </w:p>
        </w:tc>
        <w:tc>
          <w:tcPr>
            <w:tcW w:w="1031" w:type="dxa"/>
            <w:vMerge w:val="restart"/>
            <w:tcBorders>
              <w:top w:val="single" w:sz="8" w:space="0" w:color="000000"/>
              <w:left w:val="nil"/>
              <w:bottom w:val="single" w:sz="8" w:space="0" w:color="000000"/>
              <w:right w:val="nil"/>
            </w:tcBorders>
            <w:shd w:val="clear" w:color="auto" w:fill="auto"/>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Výnosy</w:t>
            </w:r>
          </w:p>
        </w:tc>
        <w:tc>
          <w:tcPr>
            <w:tcW w:w="1365" w:type="dxa"/>
            <w:vMerge w:val="restart"/>
            <w:tcBorders>
              <w:top w:val="single" w:sz="8" w:space="0" w:color="000000"/>
              <w:left w:val="nil"/>
              <w:bottom w:val="single" w:sz="8" w:space="0" w:color="000000"/>
              <w:right w:val="nil"/>
            </w:tcBorders>
            <w:shd w:val="clear" w:color="auto" w:fill="auto"/>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 xml:space="preserve">Hospodářský výsledek </w:t>
            </w:r>
          </w:p>
        </w:tc>
        <w:tc>
          <w:tcPr>
            <w:tcW w:w="1885" w:type="dxa"/>
            <w:gridSpan w:val="2"/>
            <w:tcBorders>
              <w:top w:val="single" w:sz="8" w:space="0" w:color="000000"/>
              <w:left w:val="nil"/>
              <w:bottom w:val="nil"/>
              <w:right w:val="nil"/>
            </w:tcBorders>
            <w:shd w:val="clear" w:color="auto" w:fill="auto"/>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 xml:space="preserve">Pohledávky </w:t>
            </w:r>
            <w:r w:rsidRPr="000B197D">
              <w:rPr>
                <w:rFonts w:eastAsia="Times New Roman" w:cs="Times New Roman"/>
                <w:b/>
                <w:bCs/>
                <w:color w:val="000000"/>
                <w:lang w:eastAsia="cs-CZ"/>
              </w:rPr>
              <w:br/>
              <w:t>z obchodního styku</w:t>
            </w:r>
          </w:p>
        </w:tc>
        <w:tc>
          <w:tcPr>
            <w:tcW w:w="1828" w:type="dxa"/>
            <w:gridSpan w:val="2"/>
            <w:tcBorders>
              <w:top w:val="single" w:sz="8" w:space="0" w:color="000000"/>
              <w:left w:val="nil"/>
              <w:bottom w:val="nil"/>
              <w:right w:val="nil"/>
            </w:tcBorders>
            <w:shd w:val="clear" w:color="auto" w:fill="auto"/>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 xml:space="preserve">Závazky </w:t>
            </w:r>
            <w:r w:rsidRPr="000B197D">
              <w:rPr>
                <w:rFonts w:eastAsia="Times New Roman" w:cs="Times New Roman"/>
                <w:b/>
                <w:bCs/>
                <w:color w:val="000000"/>
                <w:lang w:eastAsia="cs-CZ"/>
              </w:rPr>
              <w:br/>
              <w:t>z obchodního styku</w:t>
            </w:r>
          </w:p>
        </w:tc>
      </w:tr>
      <w:tr w:rsidR="00D574E1" w:rsidRPr="000B197D" w:rsidTr="006B6B15">
        <w:trPr>
          <w:trHeight w:val="530"/>
        </w:trPr>
        <w:tc>
          <w:tcPr>
            <w:tcW w:w="2606" w:type="dxa"/>
            <w:vMerge/>
            <w:tcBorders>
              <w:top w:val="single" w:sz="8" w:space="0" w:color="000000"/>
              <w:left w:val="nil"/>
              <w:bottom w:val="single" w:sz="8" w:space="0" w:color="000000"/>
              <w:right w:val="nil"/>
            </w:tcBorders>
            <w:vAlign w:val="center"/>
            <w:hideMark/>
          </w:tcPr>
          <w:p w:rsidR="00D574E1" w:rsidRPr="000B197D" w:rsidRDefault="00D574E1" w:rsidP="00DE03FC">
            <w:pPr>
              <w:spacing w:after="0" w:line="240" w:lineRule="auto"/>
              <w:rPr>
                <w:rFonts w:eastAsia="Times New Roman" w:cs="Times New Roman"/>
                <w:b/>
                <w:bCs/>
                <w:color w:val="000000"/>
                <w:lang w:eastAsia="cs-CZ"/>
              </w:rPr>
            </w:pPr>
          </w:p>
        </w:tc>
        <w:tc>
          <w:tcPr>
            <w:tcW w:w="1018" w:type="dxa"/>
            <w:vMerge/>
            <w:tcBorders>
              <w:top w:val="single" w:sz="8" w:space="0" w:color="000000"/>
              <w:left w:val="nil"/>
              <w:bottom w:val="single" w:sz="8" w:space="0" w:color="000000"/>
              <w:right w:val="nil"/>
            </w:tcBorders>
            <w:vAlign w:val="center"/>
            <w:hideMark/>
          </w:tcPr>
          <w:p w:rsidR="00D574E1" w:rsidRPr="000B197D" w:rsidRDefault="00D574E1" w:rsidP="00DE03FC">
            <w:pPr>
              <w:spacing w:after="0" w:line="240" w:lineRule="auto"/>
              <w:rPr>
                <w:rFonts w:eastAsia="Times New Roman" w:cs="Times New Roman"/>
                <w:b/>
                <w:bCs/>
                <w:color w:val="000000"/>
                <w:lang w:eastAsia="cs-CZ"/>
              </w:rPr>
            </w:pPr>
          </w:p>
        </w:tc>
        <w:tc>
          <w:tcPr>
            <w:tcW w:w="1059" w:type="dxa"/>
            <w:vMerge/>
            <w:tcBorders>
              <w:top w:val="single" w:sz="8" w:space="0" w:color="000000"/>
              <w:left w:val="nil"/>
              <w:bottom w:val="single" w:sz="8" w:space="0" w:color="000000"/>
              <w:right w:val="nil"/>
            </w:tcBorders>
            <w:vAlign w:val="center"/>
            <w:hideMark/>
          </w:tcPr>
          <w:p w:rsidR="00D574E1" w:rsidRPr="000B197D" w:rsidRDefault="00D574E1" w:rsidP="00DE03FC">
            <w:pPr>
              <w:spacing w:after="0" w:line="240" w:lineRule="auto"/>
              <w:rPr>
                <w:rFonts w:eastAsia="Times New Roman" w:cs="Times New Roman"/>
                <w:b/>
                <w:bCs/>
                <w:color w:val="000000"/>
                <w:lang w:eastAsia="cs-CZ"/>
              </w:rPr>
            </w:pPr>
          </w:p>
        </w:tc>
        <w:tc>
          <w:tcPr>
            <w:tcW w:w="1031" w:type="dxa"/>
            <w:vMerge/>
            <w:tcBorders>
              <w:top w:val="single" w:sz="8" w:space="0" w:color="000000"/>
              <w:left w:val="nil"/>
              <w:bottom w:val="single" w:sz="8" w:space="0" w:color="000000"/>
              <w:right w:val="nil"/>
            </w:tcBorders>
            <w:vAlign w:val="center"/>
            <w:hideMark/>
          </w:tcPr>
          <w:p w:rsidR="00D574E1" w:rsidRPr="000B197D" w:rsidRDefault="00D574E1" w:rsidP="00DE03FC">
            <w:pPr>
              <w:spacing w:after="0" w:line="240" w:lineRule="auto"/>
              <w:rPr>
                <w:rFonts w:eastAsia="Times New Roman" w:cs="Times New Roman"/>
                <w:b/>
                <w:bCs/>
                <w:color w:val="000000"/>
                <w:lang w:eastAsia="cs-CZ"/>
              </w:rPr>
            </w:pPr>
          </w:p>
        </w:tc>
        <w:tc>
          <w:tcPr>
            <w:tcW w:w="1365" w:type="dxa"/>
            <w:vMerge/>
            <w:tcBorders>
              <w:top w:val="single" w:sz="8" w:space="0" w:color="000000"/>
              <w:left w:val="nil"/>
              <w:bottom w:val="single" w:sz="8" w:space="0" w:color="000000"/>
              <w:right w:val="nil"/>
            </w:tcBorders>
            <w:vAlign w:val="center"/>
            <w:hideMark/>
          </w:tcPr>
          <w:p w:rsidR="00D574E1" w:rsidRPr="000B197D" w:rsidRDefault="00D574E1" w:rsidP="00DE03FC">
            <w:pPr>
              <w:spacing w:after="0" w:line="240" w:lineRule="auto"/>
              <w:rPr>
                <w:rFonts w:eastAsia="Times New Roman" w:cs="Times New Roman"/>
                <w:b/>
                <w:bCs/>
                <w:color w:val="000000"/>
                <w:lang w:eastAsia="cs-CZ"/>
              </w:rPr>
            </w:pPr>
          </w:p>
        </w:tc>
        <w:tc>
          <w:tcPr>
            <w:tcW w:w="838" w:type="dxa"/>
            <w:tcBorders>
              <w:top w:val="nil"/>
              <w:left w:val="nil"/>
              <w:bottom w:val="single" w:sz="8" w:space="0" w:color="000000"/>
              <w:right w:val="nil"/>
            </w:tcBorders>
            <w:shd w:val="clear" w:color="auto" w:fill="auto"/>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celkem</w:t>
            </w:r>
          </w:p>
        </w:tc>
        <w:tc>
          <w:tcPr>
            <w:tcW w:w="1047" w:type="dxa"/>
            <w:tcBorders>
              <w:top w:val="nil"/>
              <w:left w:val="nil"/>
              <w:bottom w:val="single" w:sz="8" w:space="0" w:color="000000"/>
              <w:right w:val="nil"/>
            </w:tcBorders>
            <w:shd w:val="clear" w:color="auto" w:fill="auto"/>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po splatnosti</w:t>
            </w:r>
          </w:p>
        </w:tc>
        <w:tc>
          <w:tcPr>
            <w:tcW w:w="781" w:type="dxa"/>
            <w:tcBorders>
              <w:top w:val="nil"/>
              <w:left w:val="nil"/>
              <w:bottom w:val="single" w:sz="8" w:space="0" w:color="000000"/>
              <w:right w:val="nil"/>
            </w:tcBorders>
            <w:shd w:val="clear" w:color="auto" w:fill="auto"/>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celkem</w:t>
            </w:r>
          </w:p>
        </w:tc>
        <w:tc>
          <w:tcPr>
            <w:tcW w:w="1047" w:type="dxa"/>
            <w:tcBorders>
              <w:top w:val="nil"/>
              <w:left w:val="nil"/>
              <w:bottom w:val="single" w:sz="8" w:space="0" w:color="000000"/>
              <w:right w:val="nil"/>
            </w:tcBorders>
            <w:shd w:val="clear" w:color="auto" w:fill="auto"/>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po splatnosti</w:t>
            </w:r>
          </w:p>
        </w:tc>
      </w:tr>
      <w:tr w:rsidR="00D574E1" w:rsidRPr="000B197D" w:rsidTr="006B6B15">
        <w:trPr>
          <w:trHeight w:val="372"/>
        </w:trPr>
        <w:tc>
          <w:tcPr>
            <w:tcW w:w="2606"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rPr>
                <w:rFonts w:eastAsia="Times New Roman" w:cs="Times New Roman"/>
                <w:b/>
                <w:bCs/>
                <w:color w:val="000000"/>
                <w:lang w:eastAsia="cs-CZ"/>
              </w:rPr>
            </w:pPr>
            <w:r w:rsidRPr="000B197D">
              <w:rPr>
                <w:rFonts w:eastAsia="Times New Roman" w:cs="Times New Roman"/>
                <w:b/>
                <w:bCs/>
                <w:color w:val="000000"/>
                <w:lang w:eastAsia="cs-CZ"/>
              </w:rPr>
              <w:t xml:space="preserve"> MZ</w:t>
            </w:r>
          </w:p>
        </w:tc>
        <w:tc>
          <w:tcPr>
            <w:tcW w:w="1018"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19</w:t>
            </w:r>
          </w:p>
        </w:tc>
        <w:tc>
          <w:tcPr>
            <w:tcW w:w="1059"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61 590</w:t>
            </w:r>
          </w:p>
        </w:tc>
        <w:tc>
          <w:tcPr>
            <w:tcW w:w="1031"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60 707</w:t>
            </w:r>
          </w:p>
        </w:tc>
        <w:tc>
          <w:tcPr>
            <w:tcW w:w="1365"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-882</w:t>
            </w:r>
          </w:p>
        </w:tc>
        <w:tc>
          <w:tcPr>
            <w:tcW w:w="838"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6829</w:t>
            </w:r>
          </w:p>
        </w:tc>
        <w:tc>
          <w:tcPr>
            <w:tcW w:w="1047"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864</w:t>
            </w:r>
          </w:p>
        </w:tc>
        <w:tc>
          <w:tcPr>
            <w:tcW w:w="781"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9 241</w:t>
            </w:r>
          </w:p>
        </w:tc>
        <w:tc>
          <w:tcPr>
            <w:tcW w:w="1047"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2 329</w:t>
            </w:r>
          </w:p>
        </w:tc>
      </w:tr>
      <w:tr w:rsidR="00D574E1" w:rsidRPr="000B197D" w:rsidTr="006B6B15">
        <w:trPr>
          <w:trHeight w:val="318"/>
        </w:trPr>
        <w:tc>
          <w:tcPr>
            <w:tcW w:w="2606" w:type="dxa"/>
            <w:tcBorders>
              <w:top w:val="nil"/>
              <w:left w:val="nil"/>
              <w:bottom w:val="nil"/>
              <w:right w:val="nil"/>
            </w:tcBorders>
            <w:shd w:val="clear" w:color="000000" w:fill="FFFFFF"/>
            <w:hideMark/>
          </w:tcPr>
          <w:p w:rsidR="00D574E1" w:rsidRPr="000B197D" w:rsidRDefault="00D574E1" w:rsidP="00DE03FC">
            <w:pPr>
              <w:spacing w:after="0" w:line="240" w:lineRule="auto"/>
              <w:rPr>
                <w:rFonts w:eastAsia="Times New Roman" w:cs="Times New Roman"/>
                <w:b/>
                <w:bCs/>
                <w:color w:val="000000"/>
                <w:lang w:eastAsia="cs-CZ"/>
              </w:rPr>
            </w:pPr>
            <w:r w:rsidRPr="000B197D">
              <w:rPr>
                <w:rFonts w:eastAsia="Times New Roman" w:cs="Times New Roman"/>
                <w:b/>
                <w:bCs/>
                <w:color w:val="000000"/>
                <w:lang w:eastAsia="cs-CZ"/>
              </w:rPr>
              <w:t xml:space="preserve"> Kraj (příspěvkové organizace)</w:t>
            </w:r>
          </w:p>
        </w:tc>
        <w:tc>
          <w:tcPr>
            <w:tcW w:w="1018"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23</w:t>
            </w:r>
          </w:p>
        </w:tc>
        <w:tc>
          <w:tcPr>
            <w:tcW w:w="1059"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12 313</w:t>
            </w:r>
          </w:p>
        </w:tc>
        <w:tc>
          <w:tcPr>
            <w:tcW w:w="1031"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12 238</w:t>
            </w:r>
          </w:p>
        </w:tc>
        <w:tc>
          <w:tcPr>
            <w:tcW w:w="1365"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-75</w:t>
            </w:r>
          </w:p>
        </w:tc>
        <w:tc>
          <w:tcPr>
            <w:tcW w:w="838"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976</w:t>
            </w:r>
          </w:p>
        </w:tc>
        <w:tc>
          <w:tcPr>
            <w:tcW w:w="1047"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68</w:t>
            </w:r>
          </w:p>
        </w:tc>
        <w:tc>
          <w:tcPr>
            <w:tcW w:w="781"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1 359</w:t>
            </w:r>
          </w:p>
        </w:tc>
        <w:tc>
          <w:tcPr>
            <w:tcW w:w="1047"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549</w:t>
            </w:r>
          </w:p>
        </w:tc>
      </w:tr>
      <w:tr w:rsidR="00D574E1" w:rsidRPr="000B197D" w:rsidTr="006B6B15">
        <w:trPr>
          <w:trHeight w:val="425"/>
        </w:trPr>
        <w:tc>
          <w:tcPr>
            <w:tcW w:w="2606" w:type="dxa"/>
            <w:tcBorders>
              <w:top w:val="nil"/>
              <w:left w:val="nil"/>
              <w:bottom w:val="nil"/>
              <w:right w:val="nil"/>
            </w:tcBorders>
            <w:shd w:val="clear" w:color="000000" w:fill="C0C0C0"/>
            <w:hideMark/>
          </w:tcPr>
          <w:p w:rsidR="00D574E1" w:rsidRPr="000B197D" w:rsidRDefault="00D574E1" w:rsidP="00DE03FC">
            <w:pPr>
              <w:spacing w:after="0" w:line="240" w:lineRule="auto"/>
              <w:rPr>
                <w:rFonts w:eastAsia="Times New Roman" w:cs="Times New Roman"/>
                <w:b/>
                <w:bCs/>
                <w:color w:val="000000"/>
                <w:lang w:eastAsia="cs-CZ"/>
              </w:rPr>
            </w:pPr>
            <w:r w:rsidRPr="000B197D">
              <w:rPr>
                <w:rFonts w:eastAsia="Times New Roman" w:cs="Times New Roman"/>
                <w:b/>
                <w:bCs/>
                <w:color w:val="000000"/>
                <w:lang w:eastAsia="cs-CZ"/>
              </w:rPr>
              <w:t xml:space="preserve"> Obec, město (příspěvkové organizace)</w:t>
            </w:r>
          </w:p>
        </w:tc>
        <w:tc>
          <w:tcPr>
            <w:tcW w:w="1018"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16</w:t>
            </w:r>
          </w:p>
        </w:tc>
        <w:tc>
          <w:tcPr>
            <w:tcW w:w="1059"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5 609</w:t>
            </w:r>
          </w:p>
        </w:tc>
        <w:tc>
          <w:tcPr>
            <w:tcW w:w="1031"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5 528</w:t>
            </w:r>
          </w:p>
        </w:tc>
        <w:tc>
          <w:tcPr>
            <w:tcW w:w="1365"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-80</w:t>
            </w:r>
          </w:p>
        </w:tc>
        <w:tc>
          <w:tcPr>
            <w:tcW w:w="838"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514</w:t>
            </w:r>
          </w:p>
        </w:tc>
        <w:tc>
          <w:tcPr>
            <w:tcW w:w="1047"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74</w:t>
            </w:r>
          </w:p>
        </w:tc>
        <w:tc>
          <w:tcPr>
            <w:tcW w:w="781"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404</w:t>
            </w:r>
          </w:p>
        </w:tc>
        <w:tc>
          <w:tcPr>
            <w:tcW w:w="1047"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106</w:t>
            </w:r>
          </w:p>
        </w:tc>
      </w:tr>
      <w:tr w:rsidR="00D574E1" w:rsidRPr="000B197D" w:rsidTr="006B6B15">
        <w:trPr>
          <w:trHeight w:val="318"/>
        </w:trPr>
        <w:tc>
          <w:tcPr>
            <w:tcW w:w="2606"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rPr>
                <w:rFonts w:eastAsia="Times New Roman" w:cs="Times New Roman"/>
                <w:b/>
                <w:bCs/>
                <w:color w:val="000000"/>
                <w:lang w:eastAsia="cs-CZ"/>
              </w:rPr>
            </w:pPr>
            <w:r w:rsidRPr="000B197D">
              <w:rPr>
                <w:rFonts w:eastAsia="Times New Roman" w:cs="Times New Roman"/>
                <w:b/>
                <w:bCs/>
                <w:color w:val="000000"/>
                <w:lang w:eastAsia="cs-CZ"/>
              </w:rPr>
              <w:t xml:space="preserve"> Jiná právnická osoba, církev</w:t>
            </w:r>
          </w:p>
        </w:tc>
        <w:tc>
          <w:tcPr>
            <w:tcW w:w="1018"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96</w:t>
            </w:r>
          </w:p>
        </w:tc>
        <w:tc>
          <w:tcPr>
            <w:tcW w:w="1059"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42 019</w:t>
            </w:r>
          </w:p>
        </w:tc>
        <w:tc>
          <w:tcPr>
            <w:tcW w:w="1031"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41 522</w:t>
            </w:r>
          </w:p>
        </w:tc>
        <w:tc>
          <w:tcPr>
            <w:tcW w:w="1365"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-497</w:t>
            </w:r>
          </w:p>
        </w:tc>
        <w:tc>
          <w:tcPr>
            <w:tcW w:w="838"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3800</w:t>
            </w:r>
          </w:p>
        </w:tc>
        <w:tc>
          <w:tcPr>
            <w:tcW w:w="1047"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473</w:t>
            </w:r>
          </w:p>
        </w:tc>
        <w:tc>
          <w:tcPr>
            <w:tcW w:w="781"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5 600</w:t>
            </w:r>
          </w:p>
        </w:tc>
        <w:tc>
          <w:tcPr>
            <w:tcW w:w="1047"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2 021</w:t>
            </w:r>
          </w:p>
        </w:tc>
      </w:tr>
      <w:tr w:rsidR="00D574E1" w:rsidRPr="000B197D" w:rsidTr="006B6B15">
        <w:trPr>
          <w:trHeight w:val="318"/>
        </w:trPr>
        <w:tc>
          <w:tcPr>
            <w:tcW w:w="2606"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rPr>
                <w:rFonts w:eastAsia="Times New Roman" w:cs="Times New Roman"/>
                <w:b/>
                <w:bCs/>
                <w:color w:val="000000"/>
                <w:lang w:eastAsia="cs-CZ"/>
              </w:rPr>
            </w:pPr>
            <w:r w:rsidRPr="000B197D">
              <w:rPr>
                <w:rFonts w:eastAsia="Times New Roman" w:cs="Times New Roman"/>
                <w:b/>
                <w:bCs/>
                <w:color w:val="000000"/>
                <w:lang w:eastAsia="cs-CZ"/>
              </w:rPr>
              <w:t xml:space="preserve">        z toho krajské obchodní spol.</w:t>
            </w:r>
          </w:p>
        </w:tc>
        <w:tc>
          <w:tcPr>
            <w:tcW w:w="1018"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33</w:t>
            </w:r>
          </w:p>
        </w:tc>
        <w:tc>
          <w:tcPr>
            <w:tcW w:w="1059"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26 569</w:t>
            </w:r>
          </w:p>
        </w:tc>
        <w:tc>
          <w:tcPr>
            <w:tcW w:w="1031"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25 822</w:t>
            </w:r>
          </w:p>
        </w:tc>
        <w:tc>
          <w:tcPr>
            <w:tcW w:w="1365"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-747</w:t>
            </w:r>
          </w:p>
        </w:tc>
        <w:tc>
          <w:tcPr>
            <w:tcW w:w="838"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2293</w:t>
            </w:r>
          </w:p>
        </w:tc>
        <w:tc>
          <w:tcPr>
            <w:tcW w:w="1047"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228</w:t>
            </w:r>
          </w:p>
        </w:tc>
        <w:tc>
          <w:tcPr>
            <w:tcW w:w="781"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4 018</w:t>
            </w:r>
          </w:p>
        </w:tc>
        <w:tc>
          <w:tcPr>
            <w:tcW w:w="1047"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1 469</w:t>
            </w:r>
          </w:p>
        </w:tc>
      </w:tr>
      <w:tr w:rsidR="00D574E1" w:rsidRPr="000B197D" w:rsidTr="006B6B15">
        <w:trPr>
          <w:trHeight w:val="318"/>
        </w:trPr>
        <w:tc>
          <w:tcPr>
            <w:tcW w:w="2606"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rPr>
                <w:rFonts w:eastAsia="Times New Roman" w:cs="Times New Roman"/>
                <w:b/>
                <w:bCs/>
                <w:color w:val="000000"/>
                <w:lang w:eastAsia="cs-CZ"/>
              </w:rPr>
            </w:pPr>
            <w:r>
              <w:rPr>
                <w:rFonts w:eastAsia="Times New Roman" w:cs="Times New Roman"/>
                <w:b/>
                <w:bCs/>
                <w:color w:val="000000"/>
                <w:lang w:eastAsia="cs-CZ"/>
              </w:rPr>
              <w:t xml:space="preserve">       </w:t>
            </w:r>
            <w:r w:rsidRPr="000B197D">
              <w:rPr>
                <w:rFonts w:eastAsia="Times New Roman" w:cs="Times New Roman"/>
                <w:b/>
                <w:bCs/>
                <w:color w:val="000000"/>
                <w:lang w:eastAsia="cs-CZ"/>
              </w:rPr>
              <w:t xml:space="preserve"> městské obchod. </w:t>
            </w:r>
            <w:proofErr w:type="gramStart"/>
            <w:r w:rsidRPr="000B197D">
              <w:rPr>
                <w:rFonts w:eastAsia="Times New Roman" w:cs="Times New Roman"/>
                <w:b/>
                <w:bCs/>
                <w:color w:val="000000"/>
                <w:lang w:eastAsia="cs-CZ"/>
              </w:rPr>
              <w:t>spol</w:t>
            </w:r>
            <w:proofErr w:type="gramEnd"/>
            <w:r w:rsidRPr="000B197D">
              <w:rPr>
                <w:rFonts w:eastAsia="Times New Roman" w:cs="Times New Roman"/>
                <w:b/>
                <w:bCs/>
                <w:color w:val="000000"/>
                <w:lang w:eastAsia="cs-CZ"/>
              </w:rPr>
              <w:t>.</w:t>
            </w:r>
          </w:p>
        </w:tc>
        <w:tc>
          <w:tcPr>
            <w:tcW w:w="1018"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6</w:t>
            </w:r>
          </w:p>
        </w:tc>
        <w:tc>
          <w:tcPr>
            <w:tcW w:w="1059"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1 206</w:t>
            </w:r>
          </w:p>
        </w:tc>
        <w:tc>
          <w:tcPr>
            <w:tcW w:w="1031"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1 163</w:t>
            </w:r>
          </w:p>
        </w:tc>
        <w:tc>
          <w:tcPr>
            <w:tcW w:w="1365"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-43</w:t>
            </w:r>
          </w:p>
        </w:tc>
        <w:tc>
          <w:tcPr>
            <w:tcW w:w="838"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65</w:t>
            </w:r>
          </w:p>
        </w:tc>
        <w:tc>
          <w:tcPr>
            <w:tcW w:w="1047"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25</w:t>
            </w:r>
          </w:p>
        </w:tc>
        <w:tc>
          <w:tcPr>
            <w:tcW w:w="781"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68</w:t>
            </w:r>
          </w:p>
        </w:tc>
        <w:tc>
          <w:tcPr>
            <w:tcW w:w="1047" w:type="dxa"/>
            <w:tcBorders>
              <w:top w:val="nil"/>
              <w:left w:val="nil"/>
              <w:bottom w:val="nil"/>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49</w:t>
            </w:r>
          </w:p>
        </w:tc>
      </w:tr>
      <w:tr w:rsidR="00D574E1" w:rsidRPr="000B197D" w:rsidTr="006B6B15">
        <w:trPr>
          <w:trHeight w:val="318"/>
        </w:trPr>
        <w:tc>
          <w:tcPr>
            <w:tcW w:w="2606"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rPr>
                <w:rFonts w:eastAsia="Times New Roman" w:cs="Times New Roman"/>
                <w:b/>
                <w:bCs/>
                <w:color w:val="000000"/>
                <w:lang w:eastAsia="cs-CZ"/>
              </w:rPr>
            </w:pPr>
            <w:r w:rsidRPr="000B197D">
              <w:rPr>
                <w:rFonts w:eastAsia="Times New Roman" w:cs="Times New Roman"/>
                <w:b/>
                <w:bCs/>
                <w:color w:val="000000"/>
                <w:lang w:eastAsia="cs-CZ"/>
              </w:rPr>
              <w:t xml:space="preserve"> Ostatní centrální orgány</w:t>
            </w:r>
          </w:p>
        </w:tc>
        <w:tc>
          <w:tcPr>
            <w:tcW w:w="1018"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3</w:t>
            </w:r>
          </w:p>
        </w:tc>
        <w:tc>
          <w:tcPr>
            <w:tcW w:w="1059"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3 195</w:t>
            </w:r>
          </w:p>
        </w:tc>
        <w:tc>
          <w:tcPr>
            <w:tcW w:w="1031"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3 196</w:t>
            </w:r>
          </w:p>
        </w:tc>
        <w:tc>
          <w:tcPr>
            <w:tcW w:w="1365"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w:t>
            </w:r>
          </w:p>
        </w:tc>
        <w:tc>
          <w:tcPr>
            <w:tcW w:w="838"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315</w:t>
            </w:r>
          </w:p>
        </w:tc>
        <w:tc>
          <w:tcPr>
            <w:tcW w:w="1047"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55</w:t>
            </w:r>
          </w:p>
        </w:tc>
        <w:tc>
          <w:tcPr>
            <w:tcW w:w="781"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198</w:t>
            </w:r>
          </w:p>
        </w:tc>
        <w:tc>
          <w:tcPr>
            <w:tcW w:w="1047" w:type="dxa"/>
            <w:tcBorders>
              <w:top w:val="nil"/>
              <w:left w:val="nil"/>
              <w:bottom w:val="nil"/>
              <w:right w:val="nil"/>
            </w:tcBorders>
            <w:shd w:val="clear" w:color="000000" w:fill="C0C0C0"/>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166</w:t>
            </w:r>
          </w:p>
        </w:tc>
      </w:tr>
      <w:tr w:rsidR="00D574E1" w:rsidRPr="000B197D" w:rsidTr="006B6B15">
        <w:trPr>
          <w:trHeight w:val="318"/>
        </w:trPr>
        <w:tc>
          <w:tcPr>
            <w:tcW w:w="2606" w:type="dxa"/>
            <w:tcBorders>
              <w:top w:val="nil"/>
              <w:left w:val="nil"/>
              <w:bottom w:val="single" w:sz="8" w:space="0" w:color="auto"/>
              <w:right w:val="nil"/>
            </w:tcBorders>
            <w:shd w:val="clear" w:color="000000" w:fill="FFFFFF"/>
            <w:vAlign w:val="center"/>
            <w:hideMark/>
          </w:tcPr>
          <w:p w:rsidR="00D574E1" w:rsidRPr="000B197D" w:rsidRDefault="00D574E1" w:rsidP="00DE03FC">
            <w:pPr>
              <w:spacing w:after="0" w:line="240" w:lineRule="auto"/>
              <w:jc w:val="both"/>
              <w:rPr>
                <w:rFonts w:eastAsia="Times New Roman" w:cs="Times New Roman"/>
                <w:b/>
                <w:bCs/>
                <w:color w:val="000000"/>
                <w:lang w:eastAsia="cs-CZ"/>
              </w:rPr>
            </w:pPr>
            <w:r w:rsidRPr="000B197D">
              <w:rPr>
                <w:rFonts w:eastAsia="Times New Roman" w:cs="Times New Roman"/>
                <w:b/>
                <w:bCs/>
                <w:color w:val="000000"/>
                <w:lang w:eastAsia="cs-CZ"/>
              </w:rPr>
              <w:t xml:space="preserve"> C e l k e m </w:t>
            </w:r>
          </w:p>
        </w:tc>
        <w:tc>
          <w:tcPr>
            <w:tcW w:w="1018" w:type="dxa"/>
            <w:tcBorders>
              <w:top w:val="nil"/>
              <w:left w:val="nil"/>
              <w:bottom w:val="single" w:sz="8" w:space="0" w:color="auto"/>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157</w:t>
            </w:r>
          </w:p>
        </w:tc>
        <w:tc>
          <w:tcPr>
            <w:tcW w:w="1059" w:type="dxa"/>
            <w:tcBorders>
              <w:top w:val="nil"/>
              <w:left w:val="nil"/>
              <w:bottom w:val="single" w:sz="8" w:space="0" w:color="auto"/>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124 725</w:t>
            </w:r>
          </w:p>
        </w:tc>
        <w:tc>
          <w:tcPr>
            <w:tcW w:w="1031" w:type="dxa"/>
            <w:tcBorders>
              <w:top w:val="nil"/>
              <w:left w:val="nil"/>
              <w:bottom w:val="single" w:sz="8" w:space="0" w:color="auto"/>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123 191</w:t>
            </w:r>
          </w:p>
        </w:tc>
        <w:tc>
          <w:tcPr>
            <w:tcW w:w="1365" w:type="dxa"/>
            <w:tcBorders>
              <w:top w:val="nil"/>
              <w:left w:val="nil"/>
              <w:bottom w:val="single" w:sz="8" w:space="0" w:color="auto"/>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-1 534</w:t>
            </w:r>
          </w:p>
        </w:tc>
        <w:tc>
          <w:tcPr>
            <w:tcW w:w="838" w:type="dxa"/>
            <w:tcBorders>
              <w:top w:val="nil"/>
              <w:left w:val="nil"/>
              <w:bottom w:val="single" w:sz="8" w:space="0" w:color="auto"/>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12433</w:t>
            </w:r>
          </w:p>
        </w:tc>
        <w:tc>
          <w:tcPr>
            <w:tcW w:w="1047" w:type="dxa"/>
            <w:tcBorders>
              <w:top w:val="nil"/>
              <w:left w:val="nil"/>
              <w:bottom w:val="single" w:sz="8" w:space="0" w:color="auto"/>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1 533</w:t>
            </w:r>
          </w:p>
        </w:tc>
        <w:tc>
          <w:tcPr>
            <w:tcW w:w="781" w:type="dxa"/>
            <w:tcBorders>
              <w:top w:val="nil"/>
              <w:left w:val="nil"/>
              <w:bottom w:val="single" w:sz="8" w:space="0" w:color="auto"/>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16 802</w:t>
            </w:r>
          </w:p>
        </w:tc>
        <w:tc>
          <w:tcPr>
            <w:tcW w:w="1047" w:type="dxa"/>
            <w:tcBorders>
              <w:top w:val="nil"/>
              <w:left w:val="nil"/>
              <w:bottom w:val="single" w:sz="8" w:space="0" w:color="auto"/>
              <w:right w:val="nil"/>
            </w:tcBorders>
            <w:shd w:val="clear" w:color="000000" w:fill="FFFFFF"/>
            <w:vAlign w:val="center"/>
            <w:hideMark/>
          </w:tcPr>
          <w:p w:rsidR="00D574E1" w:rsidRPr="000B197D" w:rsidRDefault="00D574E1"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5 171</w:t>
            </w:r>
          </w:p>
        </w:tc>
      </w:tr>
    </w:tbl>
    <w:p w:rsidR="00D574E1" w:rsidRDefault="00D574E1" w:rsidP="00D574E1"/>
    <w:p w:rsidR="00D574E1" w:rsidRPr="007A7191" w:rsidRDefault="00D574E1" w:rsidP="00D574E1">
      <w:pPr>
        <w:jc w:val="both"/>
        <w:rPr>
          <w:sz w:val="24"/>
          <w:szCs w:val="24"/>
        </w:rPr>
      </w:pPr>
      <w:r w:rsidRPr="007A7191">
        <w:rPr>
          <w:sz w:val="24"/>
          <w:szCs w:val="24"/>
        </w:rPr>
        <w:t xml:space="preserve">Rok 2013 byl pro nemocnice všeobecně nepříznivý, zejména </w:t>
      </w:r>
      <w:r w:rsidR="0030328E" w:rsidRPr="007A7191">
        <w:rPr>
          <w:sz w:val="24"/>
          <w:szCs w:val="24"/>
        </w:rPr>
        <w:t xml:space="preserve">z důvodu zvýšení sazeb DPH na straně nákladové </w:t>
      </w:r>
      <w:r w:rsidR="0030328E">
        <w:rPr>
          <w:sz w:val="24"/>
          <w:szCs w:val="24"/>
        </w:rPr>
        <w:t xml:space="preserve">a </w:t>
      </w:r>
      <w:r w:rsidRPr="007A7191">
        <w:rPr>
          <w:sz w:val="24"/>
          <w:szCs w:val="24"/>
        </w:rPr>
        <w:t>v důsledku restriktivní úhradové vyhlášky na výnosové straně</w:t>
      </w:r>
      <w:r w:rsidR="0030328E">
        <w:rPr>
          <w:sz w:val="24"/>
          <w:szCs w:val="24"/>
        </w:rPr>
        <w:t>.</w:t>
      </w:r>
      <w:r w:rsidRPr="007A7191">
        <w:rPr>
          <w:sz w:val="24"/>
          <w:szCs w:val="24"/>
        </w:rPr>
        <w:t xml:space="preserve"> </w:t>
      </w:r>
      <w:r w:rsidR="009D3EB9">
        <w:rPr>
          <w:sz w:val="24"/>
          <w:szCs w:val="24"/>
        </w:rPr>
        <w:t>V</w:t>
      </w:r>
      <w:r w:rsidR="009D3EB9" w:rsidRPr="007A7191">
        <w:rPr>
          <w:sz w:val="24"/>
          <w:szCs w:val="24"/>
        </w:rPr>
        <w:t>ýrazn</w:t>
      </w:r>
      <w:r w:rsidR="009D3EB9">
        <w:rPr>
          <w:sz w:val="24"/>
          <w:szCs w:val="24"/>
        </w:rPr>
        <w:t>ému</w:t>
      </w:r>
      <w:r w:rsidR="009D3EB9" w:rsidRPr="007A7191">
        <w:rPr>
          <w:sz w:val="24"/>
          <w:szCs w:val="24"/>
        </w:rPr>
        <w:t xml:space="preserve"> </w:t>
      </w:r>
      <w:r w:rsidRPr="007A7191">
        <w:rPr>
          <w:sz w:val="24"/>
          <w:szCs w:val="24"/>
        </w:rPr>
        <w:t>omezení kvality poskytované péče</w:t>
      </w:r>
      <w:r w:rsidR="009D3EB9">
        <w:rPr>
          <w:sz w:val="24"/>
          <w:szCs w:val="24"/>
        </w:rPr>
        <w:t xml:space="preserve"> se podařilo částečně zabránit</w:t>
      </w:r>
      <w:r w:rsidRPr="007A7191">
        <w:rPr>
          <w:sz w:val="24"/>
          <w:szCs w:val="24"/>
        </w:rPr>
        <w:t xml:space="preserve"> i díky vynucenému omezení prostředků investovaných na pořízení přístrojového vybavení a do oprav zdravotnických prostředků.</w:t>
      </w:r>
    </w:p>
    <w:p w:rsidR="006B6B15" w:rsidRPr="007A7191" w:rsidRDefault="006B6B15" w:rsidP="006B6B15">
      <w:pPr>
        <w:rPr>
          <w:sz w:val="24"/>
          <w:szCs w:val="24"/>
        </w:rPr>
      </w:pPr>
      <w:r w:rsidRPr="007A7191">
        <w:rPr>
          <w:sz w:val="24"/>
          <w:szCs w:val="24"/>
        </w:rPr>
        <w:t>Z těchto důvodů v roce 2013 výrazně vrostl objem závazků po lhůtě splatnosti.</w:t>
      </w:r>
    </w:p>
    <w:tbl>
      <w:tblPr>
        <w:tblW w:w="10240" w:type="dxa"/>
        <w:tblCellMar>
          <w:left w:w="70" w:type="dxa"/>
          <w:right w:w="70" w:type="dxa"/>
        </w:tblCellMar>
        <w:tblLook w:val="04A0"/>
      </w:tblPr>
      <w:tblGrid>
        <w:gridCol w:w="3118"/>
        <w:gridCol w:w="1022"/>
        <w:gridCol w:w="1021"/>
        <w:gridCol w:w="1021"/>
        <w:gridCol w:w="837"/>
        <w:gridCol w:w="157"/>
        <w:gridCol w:w="1415"/>
        <w:gridCol w:w="1649"/>
      </w:tblGrid>
      <w:tr w:rsidR="006B6B15" w:rsidRPr="000B197D" w:rsidTr="006B6B15">
        <w:trPr>
          <w:trHeight w:val="292"/>
        </w:trPr>
        <w:tc>
          <w:tcPr>
            <w:tcW w:w="3118" w:type="dxa"/>
            <w:tcBorders>
              <w:top w:val="single" w:sz="8" w:space="0" w:color="auto"/>
              <w:left w:val="nil"/>
              <w:bottom w:val="nil"/>
              <w:right w:val="nil"/>
            </w:tcBorders>
            <w:shd w:val="clear" w:color="auto" w:fill="auto"/>
            <w:noWrap/>
            <w:vAlign w:val="bottom"/>
            <w:hideMark/>
          </w:tcPr>
          <w:p w:rsidR="006B6B15" w:rsidRPr="000B197D" w:rsidRDefault="006B6B15" w:rsidP="00DE03FC">
            <w:pPr>
              <w:spacing w:after="0" w:line="240" w:lineRule="auto"/>
              <w:rPr>
                <w:rFonts w:eastAsia="Times New Roman" w:cs="Times New Roman"/>
                <w:color w:val="000000"/>
                <w:lang w:eastAsia="cs-CZ"/>
              </w:rPr>
            </w:pPr>
            <w:r w:rsidRPr="000B197D">
              <w:rPr>
                <w:rFonts w:eastAsia="Times New Roman" w:cs="Times New Roman"/>
                <w:color w:val="000000"/>
                <w:lang w:eastAsia="cs-CZ"/>
              </w:rPr>
              <w:t> </w:t>
            </w:r>
          </w:p>
        </w:tc>
        <w:tc>
          <w:tcPr>
            <w:tcW w:w="7122" w:type="dxa"/>
            <w:gridSpan w:val="7"/>
            <w:tcBorders>
              <w:top w:val="single" w:sz="8" w:space="0" w:color="auto"/>
              <w:left w:val="nil"/>
              <w:bottom w:val="nil"/>
              <w:right w:val="nil"/>
            </w:tcBorders>
            <w:shd w:val="clear" w:color="auto" w:fill="auto"/>
            <w:noWrap/>
            <w:vAlign w:val="bottom"/>
            <w:hideMark/>
          </w:tcPr>
          <w:p w:rsidR="006B6B15" w:rsidRPr="000B197D" w:rsidRDefault="006B6B15" w:rsidP="00DE03FC">
            <w:pPr>
              <w:spacing w:after="0" w:line="240" w:lineRule="auto"/>
              <w:jc w:val="center"/>
              <w:rPr>
                <w:rFonts w:eastAsia="Times New Roman" w:cs="Times New Roman"/>
                <w:color w:val="000000"/>
                <w:lang w:eastAsia="cs-CZ"/>
              </w:rPr>
            </w:pPr>
            <w:r w:rsidRPr="000B197D">
              <w:rPr>
                <w:rFonts w:eastAsia="Times New Roman" w:cs="Times New Roman"/>
                <w:color w:val="000000"/>
                <w:lang w:eastAsia="cs-CZ"/>
              </w:rPr>
              <w:t>Závazky po lhůtě splatnosti (v mil. Kč)</w:t>
            </w:r>
          </w:p>
        </w:tc>
      </w:tr>
      <w:tr w:rsidR="006B6B15" w:rsidRPr="000B197D" w:rsidTr="006B6B15">
        <w:trPr>
          <w:trHeight w:val="292"/>
        </w:trPr>
        <w:tc>
          <w:tcPr>
            <w:tcW w:w="3118" w:type="dxa"/>
            <w:tcBorders>
              <w:top w:val="single" w:sz="8" w:space="0" w:color="000000"/>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both"/>
              <w:rPr>
                <w:rFonts w:eastAsia="Times New Roman" w:cs="Times New Roman"/>
                <w:b/>
                <w:bCs/>
                <w:color w:val="000000"/>
                <w:lang w:eastAsia="cs-CZ"/>
              </w:rPr>
            </w:pPr>
            <w:r w:rsidRPr="000B197D">
              <w:rPr>
                <w:rFonts w:eastAsia="Times New Roman" w:cs="Times New Roman"/>
                <w:b/>
                <w:bCs/>
                <w:color w:val="000000" w:themeColor="text1" w:themeShade="BF"/>
                <w:lang w:eastAsia="cs-CZ"/>
              </w:rPr>
              <w:t>Nemocnice</w:t>
            </w:r>
            <w:r>
              <w:rPr>
                <w:rFonts w:eastAsia="Times New Roman" w:cs="Times New Roman"/>
                <w:b/>
                <w:bCs/>
                <w:color w:val="000000" w:themeColor="text1" w:themeShade="BF"/>
                <w:lang w:eastAsia="cs-CZ"/>
              </w:rPr>
              <w:t xml:space="preserve"> podle zřizovatele</w:t>
            </w:r>
          </w:p>
        </w:tc>
        <w:tc>
          <w:tcPr>
            <w:tcW w:w="1022" w:type="dxa"/>
            <w:tcBorders>
              <w:top w:val="single" w:sz="8" w:space="0" w:color="000000"/>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themeColor="text1" w:themeShade="BF"/>
                <w:lang w:eastAsia="cs-CZ"/>
              </w:rPr>
              <w:t>r.</w:t>
            </w:r>
            <w:r>
              <w:rPr>
                <w:rFonts w:eastAsia="Times New Roman" w:cs="Times New Roman"/>
                <w:b/>
                <w:bCs/>
                <w:color w:val="000000" w:themeColor="text1" w:themeShade="BF"/>
                <w:lang w:eastAsia="cs-CZ"/>
              </w:rPr>
              <w:t xml:space="preserve"> </w:t>
            </w:r>
            <w:r w:rsidRPr="000B197D">
              <w:rPr>
                <w:rFonts w:eastAsia="Times New Roman" w:cs="Times New Roman"/>
                <w:b/>
                <w:bCs/>
                <w:color w:val="000000" w:themeColor="text1" w:themeShade="BF"/>
                <w:lang w:eastAsia="cs-CZ"/>
              </w:rPr>
              <w:t xml:space="preserve">2010 </w:t>
            </w:r>
          </w:p>
        </w:tc>
        <w:tc>
          <w:tcPr>
            <w:tcW w:w="1021" w:type="dxa"/>
            <w:tcBorders>
              <w:top w:val="single" w:sz="8" w:space="0" w:color="000000"/>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themeColor="text1" w:themeShade="BF"/>
                <w:lang w:eastAsia="cs-CZ"/>
              </w:rPr>
              <w:t>r.</w:t>
            </w:r>
            <w:r>
              <w:rPr>
                <w:rFonts w:eastAsia="Times New Roman" w:cs="Times New Roman"/>
                <w:b/>
                <w:bCs/>
                <w:color w:val="000000" w:themeColor="text1" w:themeShade="BF"/>
                <w:lang w:eastAsia="cs-CZ"/>
              </w:rPr>
              <w:t xml:space="preserve"> </w:t>
            </w:r>
            <w:r w:rsidRPr="000B197D">
              <w:rPr>
                <w:rFonts w:eastAsia="Times New Roman" w:cs="Times New Roman"/>
                <w:b/>
                <w:bCs/>
                <w:color w:val="000000" w:themeColor="text1" w:themeShade="BF"/>
                <w:lang w:eastAsia="cs-CZ"/>
              </w:rPr>
              <w:t>2011</w:t>
            </w:r>
          </w:p>
        </w:tc>
        <w:tc>
          <w:tcPr>
            <w:tcW w:w="1021" w:type="dxa"/>
            <w:tcBorders>
              <w:top w:val="single" w:sz="8" w:space="0" w:color="000000"/>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themeColor="text1" w:themeShade="BF"/>
                <w:lang w:eastAsia="cs-CZ"/>
              </w:rPr>
              <w:t>r.</w:t>
            </w:r>
            <w:r>
              <w:rPr>
                <w:rFonts w:eastAsia="Times New Roman" w:cs="Times New Roman"/>
                <w:b/>
                <w:bCs/>
                <w:color w:val="000000" w:themeColor="text1" w:themeShade="BF"/>
                <w:lang w:eastAsia="cs-CZ"/>
              </w:rPr>
              <w:t xml:space="preserve"> </w:t>
            </w:r>
            <w:r w:rsidRPr="000B197D">
              <w:rPr>
                <w:rFonts w:eastAsia="Times New Roman" w:cs="Times New Roman"/>
                <w:b/>
                <w:bCs/>
                <w:color w:val="000000" w:themeColor="text1" w:themeShade="BF"/>
                <w:lang w:eastAsia="cs-CZ"/>
              </w:rPr>
              <w:t>2012</w:t>
            </w:r>
          </w:p>
        </w:tc>
        <w:tc>
          <w:tcPr>
            <w:tcW w:w="837" w:type="dxa"/>
            <w:tcBorders>
              <w:top w:val="single" w:sz="8" w:space="0" w:color="000000"/>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r.</w:t>
            </w:r>
            <w:r>
              <w:rPr>
                <w:rFonts w:eastAsia="Times New Roman" w:cs="Times New Roman"/>
                <w:b/>
                <w:bCs/>
                <w:color w:val="000000"/>
                <w:lang w:eastAsia="cs-CZ"/>
              </w:rPr>
              <w:t xml:space="preserve"> </w:t>
            </w:r>
            <w:r w:rsidRPr="000B197D">
              <w:rPr>
                <w:rFonts w:eastAsia="Times New Roman" w:cs="Times New Roman"/>
                <w:b/>
                <w:bCs/>
                <w:color w:val="000000"/>
                <w:lang w:eastAsia="cs-CZ"/>
              </w:rPr>
              <w:t>2013</w:t>
            </w:r>
          </w:p>
        </w:tc>
        <w:tc>
          <w:tcPr>
            <w:tcW w:w="157" w:type="dxa"/>
            <w:tcBorders>
              <w:top w:val="nil"/>
              <w:left w:val="nil"/>
              <w:bottom w:val="nil"/>
              <w:right w:val="nil"/>
            </w:tcBorders>
            <w:shd w:val="clear" w:color="auto" w:fill="auto"/>
            <w:noWrap/>
            <w:vAlign w:val="bottom"/>
            <w:hideMark/>
          </w:tcPr>
          <w:p w:rsidR="006B6B15" w:rsidRPr="000B197D" w:rsidRDefault="006B6B15" w:rsidP="00DE03FC">
            <w:pPr>
              <w:spacing w:after="0" w:line="240" w:lineRule="auto"/>
              <w:jc w:val="right"/>
              <w:rPr>
                <w:rFonts w:eastAsia="Times New Roman" w:cs="Times New Roman"/>
                <w:color w:val="000000"/>
                <w:lang w:eastAsia="cs-CZ"/>
              </w:rPr>
            </w:pPr>
          </w:p>
        </w:tc>
        <w:tc>
          <w:tcPr>
            <w:tcW w:w="1415" w:type="dxa"/>
            <w:tcBorders>
              <w:top w:val="single" w:sz="8" w:space="0" w:color="000000"/>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index 2013/2012</w:t>
            </w:r>
          </w:p>
        </w:tc>
        <w:tc>
          <w:tcPr>
            <w:tcW w:w="1649" w:type="dxa"/>
            <w:tcBorders>
              <w:top w:val="single" w:sz="8" w:space="0" w:color="000000"/>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index 2013/2010</w:t>
            </w:r>
          </w:p>
        </w:tc>
      </w:tr>
      <w:tr w:rsidR="006B6B15" w:rsidRPr="000B197D" w:rsidTr="006B6B15">
        <w:trPr>
          <w:trHeight w:val="292"/>
        </w:trPr>
        <w:tc>
          <w:tcPr>
            <w:tcW w:w="3118"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both"/>
              <w:rPr>
                <w:rFonts w:eastAsia="Times New Roman" w:cs="Times New Roman"/>
                <w:b/>
                <w:bCs/>
                <w:color w:val="000000"/>
                <w:lang w:eastAsia="cs-CZ"/>
              </w:rPr>
            </w:pPr>
            <w:r w:rsidRPr="000B197D">
              <w:rPr>
                <w:rFonts w:eastAsia="Times New Roman" w:cs="Times New Roman"/>
                <w:b/>
                <w:bCs/>
                <w:color w:val="000000" w:themeColor="text1" w:themeShade="BF"/>
                <w:lang w:eastAsia="cs-CZ"/>
              </w:rPr>
              <w:t xml:space="preserve">MZ </w:t>
            </w:r>
          </w:p>
        </w:tc>
        <w:tc>
          <w:tcPr>
            <w:tcW w:w="1022"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557</w:t>
            </w:r>
          </w:p>
        </w:tc>
        <w:tc>
          <w:tcPr>
            <w:tcW w:w="1021"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796</w:t>
            </w:r>
          </w:p>
        </w:tc>
        <w:tc>
          <w:tcPr>
            <w:tcW w:w="1021"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1 278</w:t>
            </w:r>
          </w:p>
        </w:tc>
        <w:tc>
          <w:tcPr>
            <w:tcW w:w="837"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2 329</w:t>
            </w:r>
          </w:p>
        </w:tc>
        <w:tc>
          <w:tcPr>
            <w:tcW w:w="157" w:type="dxa"/>
            <w:tcBorders>
              <w:top w:val="nil"/>
              <w:left w:val="nil"/>
              <w:bottom w:val="nil"/>
              <w:right w:val="nil"/>
            </w:tcBorders>
            <w:shd w:val="clear" w:color="auto" w:fill="auto"/>
            <w:noWrap/>
            <w:vAlign w:val="bottom"/>
            <w:hideMark/>
          </w:tcPr>
          <w:p w:rsidR="006B6B15" w:rsidRPr="000B197D" w:rsidRDefault="006B6B15" w:rsidP="00DE03FC">
            <w:pPr>
              <w:spacing w:after="0" w:line="240" w:lineRule="auto"/>
              <w:rPr>
                <w:rFonts w:eastAsia="Times New Roman" w:cs="Times New Roman"/>
                <w:color w:val="000000"/>
                <w:lang w:eastAsia="cs-CZ"/>
              </w:rPr>
            </w:pPr>
          </w:p>
        </w:tc>
        <w:tc>
          <w:tcPr>
            <w:tcW w:w="1415"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182%</w:t>
            </w:r>
          </w:p>
        </w:tc>
        <w:tc>
          <w:tcPr>
            <w:tcW w:w="1649"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418%</w:t>
            </w:r>
          </w:p>
        </w:tc>
      </w:tr>
      <w:tr w:rsidR="006B6B15" w:rsidRPr="000B197D" w:rsidTr="006B6B15">
        <w:trPr>
          <w:trHeight w:val="292"/>
        </w:trPr>
        <w:tc>
          <w:tcPr>
            <w:tcW w:w="3118"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both"/>
              <w:rPr>
                <w:rFonts w:eastAsia="Times New Roman" w:cs="Times New Roman"/>
                <w:b/>
                <w:bCs/>
                <w:color w:val="000000"/>
                <w:lang w:eastAsia="cs-CZ"/>
              </w:rPr>
            </w:pPr>
            <w:r w:rsidRPr="000B197D">
              <w:rPr>
                <w:rFonts w:eastAsia="Times New Roman" w:cs="Times New Roman"/>
                <w:b/>
                <w:bCs/>
                <w:color w:val="000000" w:themeColor="text1" w:themeShade="BF"/>
                <w:lang w:eastAsia="cs-CZ"/>
              </w:rPr>
              <w:t>kraj - PO</w:t>
            </w:r>
          </w:p>
        </w:tc>
        <w:tc>
          <w:tcPr>
            <w:tcW w:w="1022"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698</w:t>
            </w:r>
          </w:p>
        </w:tc>
        <w:tc>
          <w:tcPr>
            <w:tcW w:w="1021"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692</w:t>
            </w:r>
          </w:p>
        </w:tc>
        <w:tc>
          <w:tcPr>
            <w:tcW w:w="1021"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537</w:t>
            </w:r>
          </w:p>
        </w:tc>
        <w:tc>
          <w:tcPr>
            <w:tcW w:w="837"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549</w:t>
            </w:r>
          </w:p>
        </w:tc>
        <w:tc>
          <w:tcPr>
            <w:tcW w:w="157" w:type="dxa"/>
            <w:tcBorders>
              <w:top w:val="nil"/>
              <w:left w:val="nil"/>
              <w:bottom w:val="nil"/>
              <w:right w:val="nil"/>
            </w:tcBorders>
            <w:shd w:val="clear" w:color="auto" w:fill="auto"/>
            <w:noWrap/>
            <w:vAlign w:val="bottom"/>
            <w:hideMark/>
          </w:tcPr>
          <w:p w:rsidR="006B6B15" w:rsidRPr="000B197D" w:rsidRDefault="006B6B15" w:rsidP="00DE03FC">
            <w:pPr>
              <w:spacing w:after="0" w:line="240" w:lineRule="auto"/>
              <w:rPr>
                <w:rFonts w:eastAsia="Times New Roman" w:cs="Times New Roman"/>
                <w:color w:val="000000"/>
                <w:lang w:eastAsia="cs-CZ"/>
              </w:rPr>
            </w:pPr>
          </w:p>
        </w:tc>
        <w:tc>
          <w:tcPr>
            <w:tcW w:w="1415"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102%</w:t>
            </w:r>
          </w:p>
        </w:tc>
        <w:tc>
          <w:tcPr>
            <w:tcW w:w="1649"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79%</w:t>
            </w:r>
          </w:p>
        </w:tc>
      </w:tr>
      <w:tr w:rsidR="006B6B15" w:rsidRPr="000B197D" w:rsidTr="006B6B15">
        <w:trPr>
          <w:trHeight w:val="292"/>
        </w:trPr>
        <w:tc>
          <w:tcPr>
            <w:tcW w:w="3118"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both"/>
              <w:rPr>
                <w:rFonts w:eastAsia="Times New Roman" w:cs="Times New Roman"/>
                <w:b/>
                <w:bCs/>
                <w:color w:val="000000"/>
                <w:lang w:eastAsia="cs-CZ"/>
              </w:rPr>
            </w:pPr>
            <w:r w:rsidRPr="000B197D">
              <w:rPr>
                <w:rFonts w:eastAsia="Times New Roman" w:cs="Times New Roman"/>
                <w:b/>
                <w:bCs/>
                <w:color w:val="000000" w:themeColor="text1" w:themeShade="BF"/>
                <w:lang w:eastAsia="cs-CZ"/>
              </w:rPr>
              <w:t>kraj - obchodní společnosti</w:t>
            </w:r>
          </w:p>
        </w:tc>
        <w:tc>
          <w:tcPr>
            <w:tcW w:w="1022"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1 603</w:t>
            </w:r>
          </w:p>
        </w:tc>
        <w:tc>
          <w:tcPr>
            <w:tcW w:w="1021"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1 328</w:t>
            </w:r>
          </w:p>
        </w:tc>
        <w:tc>
          <w:tcPr>
            <w:tcW w:w="1021"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1 533</w:t>
            </w:r>
          </w:p>
        </w:tc>
        <w:tc>
          <w:tcPr>
            <w:tcW w:w="837"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1 469</w:t>
            </w:r>
          </w:p>
        </w:tc>
        <w:tc>
          <w:tcPr>
            <w:tcW w:w="157" w:type="dxa"/>
            <w:tcBorders>
              <w:top w:val="nil"/>
              <w:left w:val="nil"/>
              <w:bottom w:val="nil"/>
              <w:right w:val="nil"/>
            </w:tcBorders>
            <w:shd w:val="clear" w:color="auto" w:fill="auto"/>
            <w:noWrap/>
            <w:vAlign w:val="bottom"/>
            <w:hideMark/>
          </w:tcPr>
          <w:p w:rsidR="006B6B15" w:rsidRPr="000B197D" w:rsidRDefault="006B6B15" w:rsidP="00DE03FC">
            <w:pPr>
              <w:spacing w:after="0" w:line="240" w:lineRule="auto"/>
              <w:rPr>
                <w:rFonts w:eastAsia="Times New Roman" w:cs="Times New Roman"/>
                <w:color w:val="000000"/>
                <w:lang w:eastAsia="cs-CZ"/>
              </w:rPr>
            </w:pPr>
          </w:p>
        </w:tc>
        <w:tc>
          <w:tcPr>
            <w:tcW w:w="1415"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96%</w:t>
            </w:r>
          </w:p>
        </w:tc>
        <w:tc>
          <w:tcPr>
            <w:tcW w:w="1649"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92%</w:t>
            </w:r>
          </w:p>
        </w:tc>
      </w:tr>
      <w:tr w:rsidR="006B6B15" w:rsidRPr="000B197D" w:rsidTr="006B6B15">
        <w:trPr>
          <w:trHeight w:val="292"/>
        </w:trPr>
        <w:tc>
          <w:tcPr>
            <w:tcW w:w="3118"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both"/>
              <w:rPr>
                <w:rFonts w:eastAsia="Times New Roman" w:cs="Times New Roman"/>
                <w:b/>
                <w:bCs/>
                <w:color w:val="000000"/>
                <w:lang w:eastAsia="cs-CZ"/>
              </w:rPr>
            </w:pPr>
            <w:r w:rsidRPr="000B197D">
              <w:rPr>
                <w:rFonts w:eastAsia="Times New Roman" w:cs="Times New Roman"/>
                <w:b/>
                <w:bCs/>
                <w:color w:val="000000" w:themeColor="text1" w:themeShade="BF"/>
                <w:lang w:eastAsia="cs-CZ"/>
              </w:rPr>
              <w:t>kraj celkem</w:t>
            </w:r>
          </w:p>
        </w:tc>
        <w:tc>
          <w:tcPr>
            <w:tcW w:w="1022"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2 301</w:t>
            </w:r>
          </w:p>
        </w:tc>
        <w:tc>
          <w:tcPr>
            <w:tcW w:w="1021"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2 021</w:t>
            </w:r>
          </w:p>
        </w:tc>
        <w:tc>
          <w:tcPr>
            <w:tcW w:w="1021"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2 070</w:t>
            </w:r>
          </w:p>
        </w:tc>
        <w:tc>
          <w:tcPr>
            <w:tcW w:w="837"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2 018</w:t>
            </w:r>
          </w:p>
        </w:tc>
        <w:tc>
          <w:tcPr>
            <w:tcW w:w="157" w:type="dxa"/>
            <w:tcBorders>
              <w:top w:val="nil"/>
              <w:left w:val="nil"/>
              <w:bottom w:val="nil"/>
              <w:right w:val="nil"/>
            </w:tcBorders>
            <w:shd w:val="clear" w:color="auto" w:fill="auto"/>
            <w:noWrap/>
            <w:vAlign w:val="bottom"/>
            <w:hideMark/>
          </w:tcPr>
          <w:p w:rsidR="006B6B15" w:rsidRPr="000B197D" w:rsidRDefault="006B6B15" w:rsidP="00DE03FC">
            <w:pPr>
              <w:spacing w:after="0" w:line="240" w:lineRule="auto"/>
              <w:rPr>
                <w:rFonts w:eastAsia="Times New Roman" w:cs="Times New Roman"/>
                <w:color w:val="000000"/>
                <w:lang w:eastAsia="cs-CZ"/>
              </w:rPr>
            </w:pPr>
          </w:p>
        </w:tc>
        <w:tc>
          <w:tcPr>
            <w:tcW w:w="1415"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97%</w:t>
            </w:r>
          </w:p>
        </w:tc>
        <w:tc>
          <w:tcPr>
            <w:tcW w:w="1649"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88%</w:t>
            </w:r>
          </w:p>
        </w:tc>
      </w:tr>
      <w:tr w:rsidR="006B6B15" w:rsidRPr="000B197D" w:rsidTr="006B6B15">
        <w:trPr>
          <w:trHeight w:val="292"/>
        </w:trPr>
        <w:tc>
          <w:tcPr>
            <w:tcW w:w="3118"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both"/>
              <w:rPr>
                <w:rFonts w:eastAsia="Times New Roman" w:cs="Times New Roman"/>
                <w:b/>
                <w:bCs/>
                <w:color w:val="000000"/>
                <w:lang w:eastAsia="cs-CZ"/>
              </w:rPr>
            </w:pPr>
            <w:r w:rsidRPr="000B197D">
              <w:rPr>
                <w:rFonts w:eastAsia="Times New Roman" w:cs="Times New Roman"/>
                <w:b/>
                <w:bCs/>
                <w:color w:val="000000" w:themeColor="text1" w:themeShade="BF"/>
                <w:lang w:eastAsia="cs-CZ"/>
              </w:rPr>
              <w:t>město</w:t>
            </w:r>
          </w:p>
        </w:tc>
        <w:tc>
          <w:tcPr>
            <w:tcW w:w="1022"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98</w:t>
            </w:r>
          </w:p>
        </w:tc>
        <w:tc>
          <w:tcPr>
            <w:tcW w:w="1021"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81</w:t>
            </w:r>
          </w:p>
        </w:tc>
        <w:tc>
          <w:tcPr>
            <w:tcW w:w="1021"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109</w:t>
            </w:r>
          </w:p>
        </w:tc>
        <w:tc>
          <w:tcPr>
            <w:tcW w:w="837"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106</w:t>
            </w:r>
          </w:p>
        </w:tc>
        <w:tc>
          <w:tcPr>
            <w:tcW w:w="157" w:type="dxa"/>
            <w:tcBorders>
              <w:top w:val="nil"/>
              <w:left w:val="nil"/>
              <w:bottom w:val="nil"/>
              <w:right w:val="nil"/>
            </w:tcBorders>
            <w:shd w:val="clear" w:color="auto" w:fill="auto"/>
            <w:noWrap/>
            <w:vAlign w:val="bottom"/>
            <w:hideMark/>
          </w:tcPr>
          <w:p w:rsidR="006B6B15" w:rsidRPr="000B197D" w:rsidRDefault="006B6B15" w:rsidP="00DE03FC">
            <w:pPr>
              <w:spacing w:after="0" w:line="240" w:lineRule="auto"/>
              <w:rPr>
                <w:rFonts w:eastAsia="Times New Roman" w:cs="Times New Roman"/>
                <w:color w:val="000000"/>
                <w:lang w:eastAsia="cs-CZ"/>
              </w:rPr>
            </w:pPr>
          </w:p>
        </w:tc>
        <w:tc>
          <w:tcPr>
            <w:tcW w:w="1415"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97%</w:t>
            </w:r>
          </w:p>
        </w:tc>
        <w:tc>
          <w:tcPr>
            <w:tcW w:w="1649"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109%</w:t>
            </w:r>
          </w:p>
        </w:tc>
      </w:tr>
      <w:tr w:rsidR="006B6B15" w:rsidRPr="000B197D" w:rsidTr="006B6B15">
        <w:trPr>
          <w:trHeight w:val="292"/>
        </w:trPr>
        <w:tc>
          <w:tcPr>
            <w:tcW w:w="3118"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both"/>
              <w:rPr>
                <w:rFonts w:eastAsia="Times New Roman" w:cs="Times New Roman"/>
                <w:b/>
                <w:bCs/>
                <w:color w:val="000000"/>
                <w:lang w:eastAsia="cs-CZ"/>
              </w:rPr>
            </w:pPr>
            <w:r w:rsidRPr="000B197D">
              <w:rPr>
                <w:rFonts w:eastAsia="Times New Roman" w:cs="Times New Roman"/>
                <w:b/>
                <w:bCs/>
                <w:color w:val="000000" w:themeColor="text1" w:themeShade="BF"/>
                <w:lang w:eastAsia="cs-CZ"/>
              </w:rPr>
              <w:t>město - obchodní společnosti</w:t>
            </w:r>
          </w:p>
        </w:tc>
        <w:tc>
          <w:tcPr>
            <w:tcW w:w="1022"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19</w:t>
            </w:r>
          </w:p>
        </w:tc>
        <w:tc>
          <w:tcPr>
            <w:tcW w:w="1021"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30</w:t>
            </w:r>
          </w:p>
        </w:tc>
        <w:tc>
          <w:tcPr>
            <w:tcW w:w="1021"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24</w:t>
            </w:r>
          </w:p>
        </w:tc>
        <w:tc>
          <w:tcPr>
            <w:tcW w:w="837"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49</w:t>
            </w:r>
          </w:p>
        </w:tc>
        <w:tc>
          <w:tcPr>
            <w:tcW w:w="157" w:type="dxa"/>
            <w:tcBorders>
              <w:top w:val="nil"/>
              <w:left w:val="nil"/>
              <w:bottom w:val="nil"/>
              <w:right w:val="nil"/>
            </w:tcBorders>
            <w:shd w:val="clear" w:color="auto" w:fill="auto"/>
            <w:noWrap/>
            <w:vAlign w:val="bottom"/>
            <w:hideMark/>
          </w:tcPr>
          <w:p w:rsidR="006B6B15" w:rsidRPr="000B197D" w:rsidRDefault="006B6B15" w:rsidP="00DE03FC">
            <w:pPr>
              <w:spacing w:after="0" w:line="240" w:lineRule="auto"/>
              <w:rPr>
                <w:rFonts w:eastAsia="Times New Roman" w:cs="Times New Roman"/>
                <w:color w:val="000000"/>
                <w:lang w:eastAsia="cs-CZ"/>
              </w:rPr>
            </w:pPr>
          </w:p>
        </w:tc>
        <w:tc>
          <w:tcPr>
            <w:tcW w:w="1415"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200%</w:t>
            </w:r>
          </w:p>
        </w:tc>
        <w:tc>
          <w:tcPr>
            <w:tcW w:w="1649"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254%</w:t>
            </w:r>
          </w:p>
        </w:tc>
      </w:tr>
      <w:tr w:rsidR="006B6B15" w:rsidRPr="000B197D" w:rsidTr="006B6B15">
        <w:trPr>
          <w:trHeight w:val="292"/>
        </w:trPr>
        <w:tc>
          <w:tcPr>
            <w:tcW w:w="3118"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both"/>
              <w:rPr>
                <w:rFonts w:eastAsia="Times New Roman" w:cs="Times New Roman"/>
                <w:b/>
                <w:bCs/>
                <w:color w:val="000000"/>
                <w:lang w:eastAsia="cs-CZ"/>
              </w:rPr>
            </w:pPr>
            <w:r w:rsidRPr="000B197D">
              <w:rPr>
                <w:rFonts w:eastAsia="Times New Roman" w:cs="Times New Roman"/>
                <w:b/>
                <w:bCs/>
                <w:color w:val="000000" w:themeColor="text1" w:themeShade="BF"/>
                <w:lang w:eastAsia="cs-CZ"/>
              </w:rPr>
              <w:t>město celkem</w:t>
            </w:r>
          </w:p>
        </w:tc>
        <w:tc>
          <w:tcPr>
            <w:tcW w:w="1022"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117</w:t>
            </w:r>
          </w:p>
        </w:tc>
        <w:tc>
          <w:tcPr>
            <w:tcW w:w="1021"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111</w:t>
            </w:r>
          </w:p>
        </w:tc>
        <w:tc>
          <w:tcPr>
            <w:tcW w:w="1021"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134</w:t>
            </w:r>
          </w:p>
        </w:tc>
        <w:tc>
          <w:tcPr>
            <w:tcW w:w="837"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155</w:t>
            </w:r>
          </w:p>
        </w:tc>
        <w:tc>
          <w:tcPr>
            <w:tcW w:w="157" w:type="dxa"/>
            <w:tcBorders>
              <w:top w:val="nil"/>
              <w:left w:val="nil"/>
              <w:bottom w:val="nil"/>
              <w:right w:val="nil"/>
            </w:tcBorders>
            <w:shd w:val="clear" w:color="auto" w:fill="auto"/>
            <w:noWrap/>
            <w:vAlign w:val="bottom"/>
            <w:hideMark/>
          </w:tcPr>
          <w:p w:rsidR="006B6B15" w:rsidRPr="000B197D" w:rsidRDefault="006B6B15" w:rsidP="00DE03FC">
            <w:pPr>
              <w:spacing w:after="0" w:line="240" w:lineRule="auto"/>
              <w:rPr>
                <w:rFonts w:eastAsia="Times New Roman" w:cs="Times New Roman"/>
                <w:color w:val="000000"/>
                <w:lang w:eastAsia="cs-CZ"/>
              </w:rPr>
            </w:pPr>
          </w:p>
        </w:tc>
        <w:tc>
          <w:tcPr>
            <w:tcW w:w="1415"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116%</w:t>
            </w:r>
          </w:p>
        </w:tc>
        <w:tc>
          <w:tcPr>
            <w:tcW w:w="1649"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133%</w:t>
            </w:r>
          </w:p>
        </w:tc>
      </w:tr>
      <w:tr w:rsidR="006B6B15" w:rsidRPr="000B197D" w:rsidTr="006B6B15">
        <w:trPr>
          <w:trHeight w:val="292"/>
        </w:trPr>
        <w:tc>
          <w:tcPr>
            <w:tcW w:w="3118"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both"/>
              <w:rPr>
                <w:rFonts w:eastAsia="Times New Roman" w:cs="Times New Roman"/>
                <w:b/>
                <w:bCs/>
                <w:color w:val="000000"/>
                <w:lang w:eastAsia="cs-CZ"/>
              </w:rPr>
            </w:pPr>
            <w:r w:rsidRPr="000B197D">
              <w:rPr>
                <w:rFonts w:eastAsia="Times New Roman" w:cs="Times New Roman"/>
                <w:b/>
                <w:bCs/>
                <w:color w:val="000000" w:themeColor="text1" w:themeShade="BF"/>
                <w:lang w:eastAsia="cs-CZ"/>
              </w:rPr>
              <w:t>JPO, církev</w:t>
            </w:r>
          </w:p>
        </w:tc>
        <w:tc>
          <w:tcPr>
            <w:tcW w:w="1022"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441</w:t>
            </w:r>
          </w:p>
        </w:tc>
        <w:tc>
          <w:tcPr>
            <w:tcW w:w="1021"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721</w:t>
            </w:r>
          </w:p>
        </w:tc>
        <w:tc>
          <w:tcPr>
            <w:tcW w:w="1021"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550</w:t>
            </w:r>
          </w:p>
        </w:tc>
        <w:tc>
          <w:tcPr>
            <w:tcW w:w="837"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503</w:t>
            </w:r>
          </w:p>
        </w:tc>
        <w:tc>
          <w:tcPr>
            <w:tcW w:w="157" w:type="dxa"/>
            <w:tcBorders>
              <w:top w:val="nil"/>
              <w:left w:val="nil"/>
              <w:bottom w:val="nil"/>
              <w:right w:val="nil"/>
            </w:tcBorders>
            <w:shd w:val="clear" w:color="auto" w:fill="auto"/>
            <w:noWrap/>
            <w:vAlign w:val="bottom"/>
            <w:hideMark/>
          </w:tcPr>
          <w:p w:rsidR="006B6B15" w:rsidRPr="000B197D" w:rsidRDefault="006B6B15" w:rsidP="00DE03FC">
            <w:pPr>
              <w:spacing w:after="0" w:line="240" w:lineRule="auto"/>
              <w:rPr>
                <w:rFonts w:eastAsia="Times New Roman" w:cs="Times New Roman"/>
                <w:color w:val="000000"/>
                <w:lang w:eastAsia="cs-CZ"/>
              </w:rPr>
            </w:pPr>
          </w:p>
        </w:tc>
        <w:tc>
          <w:tcPr>
            <w:tcW w:w="1415"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92%</w:t>
            </w:r>
          </w:p>
        </w:tc>
        <w:tc>
          <w:tcPr>
            <w:tcW w:w="1649" w:type="dxa"/>
            <w:tcBorders>
              <w:top w:val="nil"/>
              <w:left w:val="nil"/>
              <w:bottom w:val="nil"/>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114%</w:t>
            </w:r>
          </w:p>
        </w:tc>
      </w:tr>
      <w:tr w:rsidR="006B6B15" w:rsidRPr="000B197D" w:rsidTr="006B6B15">
        <w:trPr>
          <w:trHeight w:val="292"/>
        </w:trPr>
        <w:tc>
          <w:tcPr>
            <w:tcW w:w="3118"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both"/>
              <w:rPr>
                <w:rFonts w:eastAsia="Times New Roman" w:cs="Times New Roman"/>
                <w:b/>
                <w:bCs/>
                <w:color w:val="000000"/>
                <w:lang w:eastAsia="cs-CZ"/>
              </w:rPr>
            </w:pPr>
            <w:r w:rsidRPr="000B197D">
              <w:rPr>
                <w:rFonts w:eastAsia="Times New Roman" w:cs="Times New Roman"/>
                <w:b/>
                <w:bCs/>
                <w:color w:val="000000" w:themeColor="text1" w:themeShade="BF"/>
                <w:lang w:eastAsia="cs-CZ"/>
              </w:rPr>
              <w:t xml:space="preserve">vojenské nemocnice </w:t>
            </w:r>
          </w:p>
        </w:tc>
        <w:tc>
          <w:tcPr>
            <w:tcW w:w="1022"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62</w:t>
            </w:r>
          </w:p>
        </w:tc>
        <w:tc>
          <w:tcPr>
            <w:tcW w:w="1021"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23</w:t>
            </w:r>
          </w:p>
        </w:tc>
        <w:tc>
          <w:tcPr>
            <w:tcW w:w="1021"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11</w:t>
            </w:r>
          </w:p>
        </w:tc>
        <w:tc>
          <w:tcPr>
            <w:tcW w:w="837"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166</w:t>
            </w:r>
          </w:p>
        </w:tc>
        <w:tc>
          <w:tcPr>
            <w:tcW w:w="157" w:type="dxa"/>
            <w:tcBorders>
              <w:top w:val="nil"/>
              <w:left w:val="nil"/>
              <w:bottom w:val="nil"/>
              <w:right w:val="nil"/>
            </w:tcBorders>
            <w:shd w:val="clear" w:color="auto" w:fill="auto"/>
            <w:noWrap/>
            <w:vAlign w:val="bottom"/>
            <w:hideMark/>
          </w:tcPr>
          <w:p w:rsidR="006B6B15" w:rsidRPr="000B197D" w:rsidRDefault="006B6B15" w:rsidP="00DE03FC">
            <w:pPr>
              <w:spacing w:after="0" w:line="240" w:lineRule="auto"/>
              <w:rPr>
                <w:rFonts w:eastAsia="Times New Roman" w:cs="Times New Roman"/>
                <w:color w:val="000000"/>
                <w:lang w:eastAsia="cs-CZ"/>
              </w:rPr>
            </w:pPr>
          </w:p>
        </w:tc>
        <w:tc>
          <w:tcPr>
            <w:tcW w:w="1415"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1475%</w:t>
            </w:r>
          </w:p>
        </w:tc>
        <w:tc>
          <w:tcPr>
            <w:tcW w:w="1649"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267%</w:t>
            </w:r>
          </w:p>
        </w:tc>
      </w:tr>
      <w:tr w:rsidR="006B6B15" w:rsidRPr="000B197D" w:rsidTr="006B6B15">
        <w:trPr>
          <w:trHeight w:val="292"/>
        </w:trPr>
        <w:tc>
          <w:tcPr>
            <w:tcW w:w="3118" w:type="dxa"/>
            <w:tcBorders>
              <w:top w:val="nil"/>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both"/>
              <w:rPr>
                <w:rFonts w:eastAsia="Times New Roman" w:cs="Times New Roman"/>
                <w:b/>
                <w:bCs/>
                <w:color w:val="000000"/>
                <w:lang w:eastAsia="cs-CZ"/>
              </w:rPr>
            </w:pPr>
            <w:r w:rsidRPr="000B197D">
              <w:rPr>
                <w:rFonts w:eastAsia="Times New Roman" w:cs="Times New Roman"/>
                <w:b/>
                <w:bCs/>
                <w:color w:val="000000" w:themeColor="text1" w:themeShade="BF"/>
                <w:lang w:eastAsia="cs-CZ"/>
              </w:rPr>
              <w:t>celkem</w:t>
            </w:r>
          </w:p>
        </w:tc>
        <w:tc>
          <w:tcPr>
            <w:tcW w:w="1022" w:type="dxa"/>
            <w:tcBorders>
              <w:top w:val="nil"/>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3 478</w:t>
            </w:r>
          </w:p>
        </w:tc>
        <w:tc>
          <w:tcPr>
            <w:tcW w:w="1021" w:type="dxa"/>
            <w:tcBorders>
              <w:top w:val="nil"/>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3 673</w:t>
            </w:r>
          </w:p>
        </w:tc>
        <w:tc>
          <w:tcPr>
            <w:tcW w:w="1021" w:type="dxa"/>
            <w:tcBorders>
              <w:top w:val="nil"/>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4 043</w:t>
            </w:r>
          </w:p>
        </w:tc>
        <w:tc>
          <w:tcPr>
            <w:tcW w:w="837" w:type="dxa"/>
            <w:tcBorders>
              <w:top w:val="nil"/>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5 171</w:t>
            </w:r>
          </w:p>
        </w:tc>
        <w:tc>
          <w:tcPr>
            <w:tcW w:w="157" w:type="dxa"/>
            <w:tcBorders>
              <w:top w:val="nil"/>
              <w:left w:val="nil"/>
              <w:bottom w:val="nil"/>
              <w:right w:val="nil"/>
            </w:tcBorders>
            <w:shd w:val="clear" w:color="auto" w:fill="auto"/>
            <w:noWrap/>
            <w:vAlign w:val="bottom"/>
            <w:hideMark/>
          </w:tcPr>
          <w:p w:rsidR="006B6B15" w:rsidRPr="000B197D" w:rsidRDefault="006B6B15" w:rsidP="00DE03FC">
            <w:pPr>
              <w:spacing w:after="0" w:line="240" w:lineRule="auto"/>
              <w:rPr>
                <w:rFonts w:eastAsia="Times New Roman" w:cs="Times New Roman"/>
                <w:color w:val="000000"/>
                <w:lang w:eastAsia="cs-CZ"/>
              </w:rPr>
            </w:pPr>
          </w:p>
        </w:tc>
        <w:tc>
          <w:tcPr>
            <w:tcW w:w="1415" w:type="dxa"/>
            <w:tcBorders>
              <w:top w:val="nil"/>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128%</w:t>
            </w:r>
          </w:p>
        </w:tc>
        <w:tc>
          <w:tcPr>
            <w:tcW w:w="1649" w:type="dxa"/>
            <w:tcBorders>
              <w:top w:val="nil"/>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right"/>
              <w:rPr>
                <w:rFonts w:eastAsia="Times New Roman" w:cs="Times New Roman"/>
                <w:b/>
                <w:bCs/>
                <w:color w:val="000000"/>
                <w:lang w:eastAsia="cs-CZ"/>
              </w:rPr>
            </w:pPr>
            <w:r w:rsidRPr="000B197D">
              <w:rPr>
                <w:rFonts w:eastAsia="Times New Roman" w:cs="Times New Roman"/>
                <w:b/>
                <w:bCs/>
                <w:color w:val="000000"/>
                <w:lang w:eastAsia="cs-CZ"/>
              </w:rPr>
              <w:t>149%</w:t>
            </w:r>
          </w:p>
        </w:tc>
      </w:tr>
    </w:tbl>
    <w:p w:rsidR="006B6B15" w:rsidRDefault="006B6B15" w:rsidP="006B6B15"/>
    <w:p w:rsidR="006B6B15" w:rsidRDefault="006B6B15" w:rsidP="006B6B15"/>
    <w:p w:rsidR="006B6B15" w:rsidRDefault="006B6B15" w:rsidP="006B6B15"/>
    <w:p w:rsidR="006B6B15" w:rsidRPr="007A7191" w:rsidRDefault="006B6B15" w:rsidP="006B6B15">
      <w:pPr>
        <w:rPr>
          <w:sz w:val="24"/>
          <w:szCs w:val="24"/>
        </w:rPr>
      </w:pPr>
      <w:r w:rsidRPr="007A7191">
        <w:rPr>
          <w:sz w:val="24"/>
          <w:szCs w:val="24"/>
        </w:rPr>
        <w:t xml:space="preserve">Přehled ekonomické situace k 31. 12. 2013 podle druhu poskytovatele zdravotnických služeb: </w:t>
      </w:r>
    </w:p>
    <w:p w:rsidR="006B6B15" w:rsidRPr="00E350E0" w:rsidRDefault="006B6B15" w:rsidP="006B6B15">
      <w:pPr>
        <w:rPr>
          <w:sz w:val="16"/>
          <w:szCs w:val="16"/>
        </w:rPr>
      </w:pPr>
      <w:r w:rsidRPr="00E350E0">
        <w:rPr>
          <w:sz w:val="16"/>
          <w:szCs w:val="16"/>
        </w:rPr>
        <w:t>(Zdroj: ÚZIS – předběžné výsledky; údaje v mil. Kč)</w:t>
      </w:r>
    </w:p>
    <w:p w:rsidR="006B6B15" w:rsidRDefault="006B6B15" w:rsidP="006B6B15"/>
    <w:tbl>
      <w:tblPr>
        <w:tblpPr w:leftFromText="141" w:rightFromText="141" w:vertAnchor="text" w:horzAnchor="margin" w:tblpXSpec="center" w:tblpY="-395"/>
        <w:tblW w:w="10857" w:type="dxa"/>
        <w:tblCellMar>
          <w:left w:w="70" w:type="dxa"/>
          <w:right w:w="70" w:type="dxa"/>
        </w:tblCellMar>
        <w:tblLook w:val="04A0"/>
      </w:tblPr>
      <w:tblGrid>
        <w:gridCol w:w="2213"/>
        <w:gridCol w:w="831"/>
        <w:gridCol w:w="1035"/>
        <w:gridCol w:w="939"/>
        <w:gridCol w:w="1549"/>
        <w:gridCol w:w="928"/>
        <w:gridCol w:w="1217"/>
        <w:gridCol w:w="928"/>
        <w:gridCol w:w="1217"/>
      </w:tblGrid>
      <w:tr w:rsidR="006B6B15" w:rsidRPr="000B197D" w:rsidTr="00DE03FC">
        <w:trPr>
          <w:trHeight w:val="543"/>
        </w:trPr>
        <w:tc>
          <w:tcPr>
            <w:tcW w:w="2213" w:type="dxa"/>
            <w:vMerge w:val="restart"/>
            <w:tcBorders>
              <w:top w:val="single" w:sz="8" w:space="0" w:color="000000"/>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Poskytovatel zdravotních služeb - lůžková péče</w:t>
            </w:r>
          </w:p>
        </w:tc>
        <w:tc>
          <w:tcPr>
            <w:tcW w:w="831" w:type="dxa"/>
            <w:vMerge w:val="restart"/>
            <w:tcBorders>
              <w:top w:val="single" w:sz="8" w:space="0" w:color="000000"/>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Počet</w:t>
            </w:r>
          </w:p>
        </w:tc>
        <w:tc>
          <w:tcPr>
            <w:tcW w:w="1035" w:type="dxa"/>
            <w:vMerge w:val="restart"/>
            <w:tcBorders>
              <w:top w:val="single" w:sz="8" w:space="0" w:color="000000"/>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Náklady</w:t>
            </w:r>
          </w:p>
        </w:tc>
        <w:tc>
          <w:tcPr>
            <w:tcW w:w="939" w:type="dxa"/>
            <w:vMerge w:val="restart"/>
            <w:tcBorders>
              <w:top w:val="single" w:sz="8" w:space="0" w:color="000000"/>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Výnosy</w:t>
            </w:r>
          </w:p>
        </w:tc>
        <w:tc>
          <w:tcPr>
            <w:tcW w:w="1549" w:type="dxa"/>
            <w:vMerge w:val="restart"/>
            <w:tcBorders>
              <w:top w:val="single" w:sz="8" w:space="0" w:color="000000"/>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 xml:space="preserve">Hospodářský výsledek </w:t>
            </w:r>
          </w:p>
        </w:tc>
        <w:tc>
          <w:tcPr>
            <w:tcW w:w="2145" w:type="dxa"/>
            <w:gridSpan w:val="2"/>
            <w:tcBorders>
              <w:top w:val="single" w:sz="8" w:space="0" w:color="000000"/>
              <w:left w:val="nil"/>
              <w:bottom w:val="nil"/>
              <w:right w:val="nil"/>
            </w:tcBorders>
            <w:shd w:val="clear" w:color="auto" w:fill="auto"/>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 xml:space="preserve">Pohledávky </w:t>
            </w:r>
            <w:r w:rsidRPr="000B197D">
              <w:rPr>
                <w:rFonts w:eastAsia="Times New Roman" w:cs="Times New Roman"/>
                <w:b/>
                <w:bCs/>
                <w:color w:val="000000"/>
                <w:lang w:eastAsia="cs-CZ"/>
              </w:rPr>
              <w:br/>
              <w:t>z obchodního styku</w:t>
            </w:r>
          </w:p>
        </w:tc>
        <w:tc>
          <w:tcPr>
            <w:tcW w:w="2145" w:type="dxa"/>
            <w:gridSpan w:val="2"/>
            <w:tcBorders>
              <w:top w:val="single" w:sz="8" w:space="0" w:color="000000"/>
              <w:left w:val="nil"/>
              <w:bottom w:val="nil"/>
              <w:right w:val="nil"/>
            </w:tcBorders>
            <w:shd w:val="clear" w:color="auto" w:fill="auto"/>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 xml:space="preserve">Závazky </w:t>
            </w:r>
            <w:r w:rsidRPr="000B197D">
              <w:rPr>
                <w:rFonts w:eastAsia="Times New Roman" w:cs="Times New Roman"/>
                <w:b/>
                <w:bCs/>
                <w:color w:val="000000"/>
                <w:lang w:eastAsia="cs-CZ"/>
              </w:rPr>
              <w:br/>
              <w:t>z obchodního styku</w:t>
            </w:r>
          </w:p>
        </w:tc>
      </w:tr>
      <w:tr w:rsidR="006B6B15" w:rsidRPr="000B197D" w:rsidTr="00DE03FC">
        <w:trPr>
          <w:trHeight w:val="849"/>
        </w:trPr>
        <w:tc>
          <w:tcPr>
            <w:tcW w:w="2213" w:type="dxa"/>
            <w:vMerge/>
            <w:tcBorders>
              <w:top w:val="single" w:sz="8" w:space="0" w:color="000000"/>
              <w:left w:val="nil"/>
              <w:bottom w:val="single" w:sz="8" w:space="0" w:color="000000"/>
              <w:right w:val="nil"/>
            </w:tcBorders>
            <w:vAlign w:val="center"/>
            <w:hideMark/>
          </w:tcPr>
          <w:p w:rsidR="006B6B15" w:rsidRPr="000B197D" w:rsidRDefault="006B6B15" w:rsidP="00DE03FC">
            <w:pPr>
              <w:spacing w:after="0" w:line="240" w:lineRule="auto"/>
              <w:rPr>
                <w:rFonts w:eastAsia="Times New Roman" w:cs="Times New Roman"/>
                <w:b/>
                <w:bCs/>
                <w:color w:val="000000"/>
                <w:lang w:eastAsia="cs-CZ"/>
              </w:rPr>
            </w:pPr>
          </w:p>
        </w:tc>
        <w:tc>
          <w:tcPr>
            <w:tcW w:w="831" w:type="dxa"/>
            <w:vMerge/>
            <w:tcBorders>
              <w:top w:val="single" w:sz="8" w:space="0" w:color="000000"/>
              <w:left w:val="nil"/>
              <w:bottom w:val="single" w:sz="8" w:space="0" w:color="000000"/>
              <w:right w:val="nil"/>
            </w:tcBorders>
            <w:vAlign w:val="center"/>
            <w:hideMark/>
          </w:tcPr>
          <w:p w:rsidR="006B6B15" w:rsidRPr="000B197D" w:rsidRDefault="006B6B15" w:rsidP="00DE03FC">
            <w:pPr>
              <w:spacing w:after="0" w:line="240" w:lineRule="auto"/>
              <w:rPr>
                <w:rFonts w:eastAsia="Times New Roman" w:cs="Times New Roman"/>
                <w:b/>
                <w:bCs/>
                <w:color w:val="000000"/>
                <w:lang w:eastAsia="cs-CZ"/>
              </w:rPr>
            </w:pPr>
          </w:p>
        </w:tc>
        <w:tc>
          <w:tcPr>
            <w:tcW w:w="1035" w:type="dxa"/>
            <w:vMerge/>
            <w:tcBorders>
              <w:top w:val="single" w:sz="8" w:space="0" w:color="000000"/>
              <w:left w:val="nil"/>
              <w:bottom w:val="single" w:sz="8" w:space="0" w:color="000000"/>
              <w:right w:val="nil"/>
            </w:tcBorders>
            <w:vAlign w:val="center"/>
            <w:hideMark/>
          </w:tcPr>
          <w:p w:rsidR="006B6B15" w:rsidRPr="000B197D" w:rsidRDefault="006B6B15" w:rsidP="00DE03FC">
            <w:pPr>
              <w:spacing w:after="0" w:line="240" w:lineRule="auto"/>
              <w:rPr>
                <w:rFonts w:eastAsia="Times New Roman" w:cs="Times New Roman"/>
                <w:b/>
                <w:bCs/>
                <w:color w:val="000000"/>
                <w:lang w:eastAsia="cs-CZ"/>
              </w:rPr>
            </w:pPr>
          </w:p>
        </w:tc>
        <w:tc>
          <w:tcPr>
            <w:tcW w:w="939" w:type="dxa"/>
            <w:vMerge/>
            <w:tcBorders>
              <w:top w:val="single" w:sz="8" w:space="0" w:color="000000"/>
              <w:left w:val="nil"/>
              <w:bottom w:val="single" w:sz="8" w:space="0" w:color="000000"/>
              <w:right w:val="nil"/>
            </w:tcBorders>
            <w:vAlign w:val="center"/>
            <w:hideMark/>
          </w:tcPr>
          <w:p w:rsidR="006B6B15" w:rsidRPr="000B197D" w:rsidRDefault="006B6B15" w:rsidP="00DE03FC">
            <w:pPr>
              <w:spacing w:after="0" w:line="240" w:lineRule="auto"/>
              <w:rPr>
                <w:rFonts w:eastAsia="Times New Roman" w:cs="Times New Roman"/>
                <w:b/>
                <w:bCs/>
                <w:color w:val="000000"/>
                <w:lang w:eastAsia="cs-CZ"/>
              </w:rPr>
            </w:pPr>
          </w:p>
        </w:tc>
        <w:tc>
          <w:tcPr>
            <w:tcW w:w="1549" w:type="dxa"/>
            <w:vMerge/>
            <w:tcBorders>
              <w:top w:val="single" w:sz="8" w:space="0" w:color="000000"/>
              <w:left w:val="nil"/>
              <w:bottom w:val="single" w:sz="8" w:space="0" w:color="000000"/>
              <w:right w:val="nil"/>
            </w:tcBorders>
            <w:vAlign w:val="center"/>
            <w:hideMark/>
          </w:tcPr>
          <w:p w:rsidR="006B6B15" w:rsidRPr="000B197D" w:rsidRDefault="006B6B15" w:rsidP="00DE03FC">
            <w:pPr>
              <w:spacing w:after="0" w:line="240" w:lineRule="auto"/>
              <w:rPr>
                <w:rFonts w:eastAsia="Times New Roman" w:cs="Times New Roman"/>
                <w:b/>
                <w:bCs/>
                <w:color w:val="000000"/>
                <w:lang w:eastAsia="cs-CZ"/>
              </w:rPr>
            </w:pPr>
          </w:p>
        </w:tc>
        <w:tc>
          <w:tcPr>
            <w:tcW w:w="928" w:type="dxa"/>
            <w:tcBorders>
              <w:top w:val="nil"/>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celkem</w:t>
            </w:r>
          </w:p>
        </w:tc>
        <w:tc>
          <w:tcPr>
            <w:tcW w:w="1217" w:type="dxa"/>
            <w:tcBorders>
              <w:top w:val="nil"/>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po splatnosti</w:t>
            </w:r>
          </w:p>
        </w:tc>
        <w:tc>
          <w:tcPr>
            <w:tcW w:w="928" w:type="dxa"/>
            <w:tcBorders>
              <w:top w:val="nil"/>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celkem</w:t>
            </w:r>
          </w:p>
        </w:tc>
        <w:tc>
          <w:tcPr>
            <w:tcW w:w="1217" w:type="dxa"/>
            <w:tcBorders>
              <w:top w:val="nil"/>
              <w:left w:val="nil"/>
              <w:bottom w:val="single" w:sz="8" w:space="0" w:color="000000"/>
              <w:right w:val="nil"/>
            </w:tcBorders>
            <w:shd w:val="clear" w:color="auto" w:fill="auto"/>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po splatnosti</w:t>
            </w:r>
          </w:p>
        </w:tc>
      </w:tr>
      <w:tr w:rsidR="006B6B15" w:rsidRPr="000B197D" w:rsidTr="00DE03FC">
        <w:trPr>
          <w:trHeight w:val="418"/>
        </w:trPr>
        <w:tc>
          <w:tcPr>
            <w:tcW w:w="2213"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both"/>
              <w:rPr>
                <w:rFonts w:eastAsia="Times New Roman" w:cs="Times New Roman"/>
                <w:b/>
                <w:bCs/>
                <w:color w:val="000000"/>
                <w:lang w:eastAsia="cs-CZ"/>
              </w:rPr>
            </w:pPr>
            <w:r w:rsidRPr="000B197D">
              <w:rPr>
                <w:rFonts w:eastAsia="Times New Roman" w:cs="Times New Roman"/>
                <w:b/>
                <w:bCs/>
                <w:color w:val="000000"/>
                <w:lang w:eastAsia="cs-CZ"/>
              </w:rPr>
              <w:t>Nemocnice</w:t>
            </w:r>
          </w:p>
        </w:tc>
        <w:tc>
          <w:tcPr>
            <w:tcW w:w="831"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157</w:t>
            </w:r>
          </w:p>
        </w:tc>
        <w:tc>
          <w:tcPr>
            <w:tcW w:w="1035"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124 725</w:t>
            </w:r>
          </w:p>
        </w:tc>
        <w:tc>
          <w:tcPr>
            <w:tcW w:w="939"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123 191</w:t>
            </w:r>
          </w:p>
        </w:tc>
        <w:tc>
          <w:tcPr>
            <w:tcW w:w="1549"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-1 534</w:t>
            </w:r>
          </w:p>
        </w:tc>
        <w:tc>
          <w:tcPr>
            <w:tcW w:w="928"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12433</w:t>
            </w:r>
          </w:p>
        </w:tc>
        <w:tc>
          <w:tcPr>
            <w:tcW w:w="1217"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1 533</w:t>
            </w:r>
          </w:p>
        </w:tc>
        <w:tc>
          <w:tcPr>
            <w:tcW w:w="928"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16 802</w:t>
            </w:r>
          </w:p>
        </w:tc>
        <w:tc>
          <w:tcPr>
            <w:tcW w:w="1217"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5 171</w:t>
            </w:r>
          </w:p>
        </w:tc>
      </w:tr>
      <w:tr w:rsidR="006B6B15" w:rsidRPr="000B197D" w:rsidTr="00DE03FC">
        <w:trPr>
          <w:trHeight w:val="418"/>
        </w:trPr>
        <w:tc>
          <w:tcPr>
            <w:tcW w:w="2213" w:type="dxa"/>
            <w:tcBorders>
              <w:top w:val="nil"/>
              <w:left w:val="nil"/>
              <w:bottom w:val="nil"/>
              <w:right w:val="nil"/>
            </w:tcBorders>
            <w:shd w:val="clear" w:color="000000" w:fill="FFFFFF"/>
            <w:hideMark/>
          </w:tcPr>
          <w:p w:rsidR="006B6B15" w:rsidRPr="000B197D" w:rsidRDefault="006B6B15" w:rsidP="00DE03FC">
            <w:pPr>
              <w:spacing w:after="0" w:line="240" w:lineRule="auto"/>
              <w:rPr>
                <w:rFonts w:eastAsia="Times New Roman" w:cs="Times New Roman"/>
                <w:b/>
                <w:bCs/>
                <w:color w:val="000000"/>
                <w:lang w:eastAsia="cs-CZ"/>
              </w:rPr>
            </w:pPr>
            <w:r w:rsidRPr="000B197D">
              <w:rPr>
                <w:rFonts w:eastAsia="Times New Roman" w:cs="Times New Roman"/>
                <w:b/>
                <w:bCs/>
                <w:color w:val="000000"/>
                <w:lang w:eastAsia="cs-CZ"/>
              </w:rPr>
              <w:t>Léčebny pro dlouhodobě nemocné</w:t>
            </w:r>
          </w:p>
        </w:tc>
        <w:tc>
          <w:tcPr>
            <w:tcW w:w="831" w:type="dxa"/>
            <w:tcBorders>
              <w:top w:val="nil"/>
              <w:left w:val="nil"/>
              <w:bottom w:val="nil"/>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22</w:t>
            </w:r>
          </w:p>
        </w:tc>
        <w:tc>
          <w:tcPr>
            <w:tcW w:w="1035" w:type="dxa"/>
            <w:tcBorders>
              <w:top w:val="nil"/>
              <w:left w:val="nil"/>
              <w:bottom w:val="nil"/>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1 034</w:t>
            </w:r>
          </w:p>
        </w:tc>
        <w:tc>
          <w:tcPr>
            <w:tcW w:w="939" w:type="dxa"/>
            <w:tcBorders>
              <w:top w:val="nil"/>
              <w:left w:val="nil"/>
              <w:bottom w:val="nil"/>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1 082</w:t>
            </w:r>
          </w:p>
        </w:tc>
        <w:tc>
          <w:tcPr>
            <w:tcW w:w="1549" w:type="dxa"/>
            <w:tcBorders>
              <w:top w:val="nil"/>
              <w:left w:val="nil"/>
              <w:bottom w:val="nil"/>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48</w:t>
            </w:r>
          </w:p>
        </w:tc>
        <w:tc>
          <w:tcPr>
            <w:tcW w:w="928" w:type="dxa"/>
            <w:tcBorders>
              <w:top w:val="nil"/>
              <w:left w:val="nil"/>
              <w:bottom w:val="nil"/>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117</w:t>
            </w:r>
          </w:p>
        </w:tc>
        <w:tc>
          <w:tcPr>
            <w:tcW w:w="1217" w:type="dxa"/>
            <w:tcBorders>
              <w:top w:val="nil"/>
              <w:left w:val="nil"/>
              <w:bottom w:val="nil"/>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29</w:t>
            </w:r>
          </w:p>
        </w:tc>
        <w:tc>
          <w:tcPr>
            <w:tcW w:w="928" w:type="dxa"/>
            <w:tcBorders>
              <w:top w:val="nil"/>
              <w:left w:val="nil"/>
              <w:bottom w:val="nil"/>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46</w:t>
            </w:r>
          </w:p>
        </w:tc>
        <w:tc>
          <w:tcPr>
            <w:tcW w:w="1217" w:type="dxa"/>
            <w:tcBorders>
              <w:top w:val="nil"/>
              <w:left w:val="nil"/>
              <w:bottom w:val="nil"/>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13</w:t>
            </w:r>
          </w:p>
        </w:tc>
      </w:tr>
      <w:tr w:rsidR="006B6B15" w:rsidRPr="000B197D" w:rsidTr="00DE03FC">
        <w:trPr>
          <w:trHeight w:val="418"/>
        </w:trPr>
        <w:tc>
          <w:tcPr>
            <w:tcW w:w="2213" w:type="dxa"/>
            <w:tcBorders>
              <w:top w:val="nil"/>
              <w:left w:val="nil"/>
              <w:bottom w:val="nil"/>
              <w:right w:val="nil"/>
            </w:tcBorders>
            <w:shd w:val="clear" w:color="000000" w:fill="C0C0C0"/>
            <w:hideMark/>
          </w:tcPr>
          <w:p w:rsidR="006B6B15" w:rsidRPr="000B197D" w:rsidRDefault="006B6B15" w:rsidP="00DE03FC">
            <w:pPr>
              <w:spacing w:after="0" w:line="240" w:lineRule="auto"/>
              <w:rPr>
                <w:rFonts w:eastAsia="Times New Roman" w:cs="Times New Roman"/>
                <w:b/>
                <w:bCs/>
                <w:color w:val="000000"/>
                <w:lang w:eastAsia="cs-CZ"/>
              </w:rPr>
            </w:pPr>
            <w:r w:rsidRPr="000B197D">
              <w:rPr>
                <w:rFonts w:eastAsia="Times New Roman" w:cs="Times New Roman"/>
                <w:b/>
                <w:bCs/>
                <w:color w:val="000000"/>
                <w:lang w:eastAsia="cs-CZ"/>
              </w:rPr>
              <w:t>Odborné léčebné ústavy</w:t>
            </w:r>
          </w:p>
        </w:tc>
        <w:tc>
          <w:tcPr>
            <w:tcW w:w="831"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42</w:t>
            </w:r>
          </w:p>
        </w:tc>
        <w:tc>
          <w:tcPr>
            <w:tcW w:w="1035"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6 445</w:t>
            </w:r>
          </w:p>
        </w:tc>
        <w:tc>
          <w:tcPr>
            <w:tcW w:w="939"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6 531</w:t>
            </w:r>
          </w:p>
        </w:tc>
        <w:tc>
          <w:tcPr>
            <w:tcW w:w="1549"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86</w:t>
            </w:r>
          </w:p>
        </w:tc>
        <w:tc>
          <w:tcPr>
            <w:tcW w:w="928"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649</w:t>
            </w:r>
          </w:p>
        </w:tc>
        <w:tc>
          <w:tcPr>
            <w:tcW w:w="1217"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156</w:t>
            </w:r>
          </w:p>
        </w:tc>
        <w:tc>
          <w:tcPr>
            <w:tcW w:w="928"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399</w:t>
            </w:r>
          </w:p>
        </w:tc>
        <w:tc>
          <w:tcPr>
            <w:tcW w:w="1217"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26</w:t>
            </w:r>
          </w:p>
        </w:tc>
      </w:tr>
      <w:tr w:rsidR="006B6B15" w:rsidRPr="000B197D" w:rsidTr="00DE03FC">
        <w:trPr>
          <w:trHeight w:val="418"/>
        </w:trPr>
        <w:tc>
          <w:tcPr>
            <w:tcW w:w="2213" w:type="dxa"/>
            <w:tcBorders>
              <w:top w:val="nil"/>
              <w:left w:val="nil"/>
              <w:bottom w:val="nil"/>
              <w:right w:val="nil"/>
            </w:tcBorders>
            <w:shd w:val="clear" w:color="000000" w:fill="FFFFFF"/>
            <w:vAlign w:val="center"/>
            <w:hideMark/>
          </w:tcPr>
          <w:p w:rsidR="006B6B15" w:rsidRPr="000B197D" w:rsidRDefault="006B6B15" w:rsidP="00DE03FC">
            <w:pPr>
              <w:spacing w:after="0" w:line="240" w:lineRule="auto"/>
              <w:jc w:val="both"/>
              <w:rPr>
                <w:rFonts w:eastAsia="Times New Roman" w:cs="Times New Roman"/>
                <w:b/>
                <w:bCs/>
                <w:color w:val="000000"/>
                <w:lang w:eastAsia="cs-CZ"/>
              </w:rPr>
            </w:pPr>
            <w:r w:rsidRPr="000B197D">
              <w:rPr>
                <w:rFonts w:eastAsia="Times New Roman" w:cs="Times New Roman"/>
                <w:b/>
                <w:bCs/>
                <w:color w:val="000000"/>
                <w:lang w:eastAsia="cs-CZ"/>
              </w:rPr>
              <w:t>Hospic</w:t>
            </w:r>
          </w:p>
        </w:tc>
        <w:tc>
          <w:tcPr>
            <w:tcW w:w="831" w:type="dxa"/>
            <w:tcBorders>
              <w:top w:val="nil"/>
              <w:left w:val="nil"/>
              <w:bottom w:val="nil"/>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9</w:t>
            </w:r>
          </w:p>
        </w:tc>
        <w:tc>
          <w:tcPr>
            <w:tcW w:w="1035" w:type="dxa"/>
            <w:tcBorders>
              <w:top w:val="nil"/>
              <w:left w:val="nil"/>
              <w:bottom w:val="nil"/>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269</w:t>
            </w:r>
          </w:p>
        </w:tc>
        <w:tc>
          <w:tcPr>
            <w:tcW w:w="939" w:type="dxa"/>
            <w:tcBorders>
              <w:top w:val="nil"/>
              <w:left w:val="nil"/>
              <w:bottom w:val="nil"/>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267</w:t>
            </w:r>
          </w:p>
        </w:tc>
        <w:tc>
          <w:tcPr>
            <w:tcW w:w="1549" w:type="dxa"/>
            <w:tcBorders>
              <w:top w:val="nil"/>
              <w:left w:val="nil"/>
              <w:bottom w:val="nil"/>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-2</w:t>
            </w:r>
          </w:p>
        </w:tc>
        <w:tc>
          <w:tcPr>
            <w:tcW w:w="928" w:type="dxa"/>
            <w:tcBorders>
              <w:top w:val="nil"/>
              <w:left w:val="nil"/>
              <w:bottom w:val="nil"/>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15</w:t>
            </w:r>
          </w:p>
        </w:tc>
        <w:tc>
          <w:tcPr>
            <w:tcW w:w="1217" w:type="dxa"/>
            <w:tcBorders>
              <w:top w:val="nil"/>
              <w:left w:val="nil"/>
              <w:bottom w:val="nil"/>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8</w:t>
            </w:r>
          </w:p>
        </w:tc>
        <w:tc>
          <w:tcPr>
            <w:tcW w:w="928" w:type="dxa"/>
            <w:tcBorders>
              <w:top w:val="nil"/>
              <w:left w:val="nil"/>
              <w:bottom w:val="nil"/>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4</w:t>
            </w:r>
          </w:p>
        </w:tc>
        <w:tc>
          <w:tcPr>
            <w:tcW w:w="1217" w:type="dxa"/>
            <w:tcBorders>
              <w:top w:val="nil"/>
              <w:left w:val="nil"/>
              <w:bottom w:val="nil"/>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w:t>
            </w:r>
          </w:p>
        </w:tc>
      </w:tr>
      <w:tr w:rsidR="006B6B15" w:rsidRPr="000B197D" w:rsidTr="00DE03FC">
        <w:trPr>
          <w:trHeight w:val="418"/>
        </w:trPr>
        <w:tc>
          <w:tcPr>
            <w:tcW w:w="2213"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rPr>
                <w:rFonts w:eastAsia="Times New Roman" w:cs="Times New Roman"/>
                <w:b/>
                <w:bCs/>
                <w:color w:val="000000"/>
                <w:lang w:eastAsia="cs-CZ"/>
              </w:rPr>
            </w:pPr>
            <w:r w:rsidRPr="000B197D">
              <w:rPr>
                <w:rFonts w:eastAsia="Times New Roman" w:cs="Times New Roman"/>
                <w:b/>
                <w:bCs/>
                <w:color w:val="000000"/>
                <w:lang w:eastAsia="cs-CZ"/>
              </w:rPr>
              <w:t>Ostatní</w:t>
            </w:r>
            <w:r>
              <w:rPr>
                <w:rFonts w:eastAsia="Times New Roman" w:cs="Times New Roman"/>
                <w:b/>
                <w:bCs/>
                <w:color w:val="000000"/>
                <w:lang w:eastAsia="cs-CZ"/>
              </w:rPr>
              <w:t xml:space="preserve"> </w:t>
            </w:r>
            <w:r w:rsidRPr="000B197D">
              <w:rPr>
                <w:rFonts w:eastAsia="Times New Roman" w:cs="Times New Roman"/>
                <w:b/>
                <w:bCs/>
                <w:color w:val="000000"/>
                <w:lang w:eastAsia="cs-CZ"/>
              </w:rPr>
              <w:t>lůžková zařízení</w:t>
            </w:r>
          </w:p>
        </w:tc>
        <w:tc>
          <w:tcPr>
            <w:tcW w:w="831"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7</w:t>
            </w:r>
          </w:p>
        </w:tc>
        <w:tc>
          <w:tcPr>
            <w:tcW w:w="1035"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352</w:t>
            </w:r>
          </w:p>
        </w:tc>
        <w:tc>
          <w:tcPr>
            <w:tcW w:w="939"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381</w:t>
            </w:r>
          </w:p>
        </w:tc>
        <w:tc>
          <w:tcPr>
            <w:tcW w:w="1549"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29</w:t>
            </w:r>
          </w:p>
        </w:tc>
        <w:tc>
          <w:tcPr>
            <w:tcW w:w="928"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21</w:t>
            </w:r>
          </w:p>
        </w:tc>
        <w:tc>
          <w:tcPr>
            <w:tcW w:w="1217"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-4</w:t>
            </w:r>
          </w:p>
        </w:tc>
        <w:tc>
          <w:tcPr>
            <w:tcW w:w="928"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36</w:t>
            </w:r>
          </w:p>
        </w:tc>
        <w:tc>
          <w:tcPr>
            <w:tcW w:w="1217" w:type="dxa"/>
            <w:tcBorders>
              <w:top w:val="nil"/>
              <w:left w:val="nil"/>
              <w:bottom w:val="nil"/>
              <w:right w:val="nil"/>
            </w:tcBorders>
            <w:shd w:val="clear" w:color="000000" w:fill="C0C0C0"/>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3</w:t>
            </w:r>
          </w:p>
        </w:tc>
      </w:tr>
      <w:tr w:rsidR="006B6B15" w:rsidRPr="000B197D" w:rsidTr="00DE03FC">
        <w:trPr>
          <w:trHeight w:val="418"/>
        </w:trPr>
        <w:tc>
          <w:tcPr>
            <w:tcW w:w="2213" w:type="dxa"/>
            <w:tcBorders>
              <w:top w:val="nil"/>
              <w:left w:val="nil"/>
              <w:bottom w:val="single" w:sz="8" w:space="0" w:color="auto"/>
              <w:right w:val="nil"/>
            </w:tcBorders>
            <w:shd w:val="clear" w:color="000000" w:fill="FFFFFF"/>
            <w:vAlign w:val="center"/>
            <w:hideMark/>
          </w:tcPr>
          <w:p w:rsidR="006B6B15" w:rsidRPr="000B197D" w:rsidRDefault="006B6B15" w:rsidP="00DE03FC">
            <w:pPr>
              <w:spacing w:after="0" w:line="240" w:lineRule="auto"/>
              <w:jc w:val="both"/>
              <w:rPr>
                <w:rFonts w:eastAsia="Times New Roman" w:cs="Times New Roman"/>
                <w:b/>
                <w:bCs/>
                <w:color w:val="000000"/>
                <w:lang w:eastAsia="cs-CZ"/>
              </w:rPr>
            </w:pPr>
            <w:r w:rsidRPr="000B197D">
              <w:rPr>
                <w:rFonts w:eastAsia="Times New Roman" w:cs="Times New Roman"/>
                <w:b/>
                <w:bCs/>
                <w:color w:val="000000"/>
                <w:lang w:eastAsia="cs-CZ"/>
              </w:rPr>
              <w:t xml:space="preserve"> C e l k e m </w:t>
            </w:r>
          </w:p>
        </w:tc>
        <w:tc>
          <w:tcPr>
            <w:tcW w:w="831" w:type="dxa"/>
            <w:tcBorders>
              <w:top w:val="nil"/>
              <w:left w:val="nil"/>
              <w:bottom w:val="single" w:sz="8" w:space="0" w:color="auto"/>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237</w:t>
            </w:r>
          </w:p>
        </w:tc>
        <w:tc>
          <w:tcPr>
            <w:tcW w:w="1035" w:type="dxa"/>
            <w:tcBorders>
              <w:top w:val="nil"/>
              <w:left w:val="nil"/>
              <w:bottom w:val="single" w:sz="8" w:space="0" w:color="auto"/>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132 826</w:t>
            </w:r>
          </w:p>
        </w:tc>
        <w:tc>
          <w:tcPr>
            <w:tcW w:w="939" w:type="dxa"/>
            <w:tcBorders>
              <w:top w:val="nil"/>
              <w:left w:val="nil"/>
              <w:bottom w:val="single" w:sz="8" w:space="0" w:color="auto"/>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131 453</w:t>
            </w:r>
          </w:p>
        </w:tc>
        <w:tc>
          <w:tcPr>
            <w:tcW w:w="1549" w:type="dxa"/>
            <w:tcBorders>
              <w:top w:val="nil"/>
              <w:left w:val="nil"/>
              <w:bottom w:val="single" w:sz="8" w:space="0" w:color="auto"/>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-1 373</w:t>
            </w:r>
          </w:p>
        </w:tc>
        <w:tc>
          <w:tcPr>
            <w:tcW w:w="928" w:type="dxa"/>
            <w:tcBorders>
              <w:top w:val="nil"/>
              <w:left w:val="nil"/>
              <w:bottom w:val="single" w:sz="8" w:space="0" w:color="auto"/>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13234</w:t>
            </w:r>
          </w:p>
        </w:tc>
        <w:tc>
          <w:tcPr>
            <w:tcW w:w="1217" w:type="dxa"/>
            <w:tcBorders>
              <w:top w:val="nil"/>
              <w:left w:val="nil"/>
              <w:bottom w:val="single" w:sz="8" w:space="0" w:color="auto"/>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1 721</w:t>
            </w:r>
          </w:p>
        </w:tc>
        <w:tc>
          <w:tcPr>
            <w:tcW w:w="928" w:type="dxa"/>
            <w:tcBorders>
              <w:top w:val="nil"/>
              <w:left w:val="nil"/>
              <w:bottom w:val="single" w:sz="8" w:space="0" w:color="auto"/>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17 287</w:t>
            </w:r>
          </w:p>
        </w:tc>
        <w:tc>
          <w:tcPr>
            <w:tcW w:w="1217" w:type="dxa"/>
            <w:tcBorders>
              <w:top w:val="nil"/>
              <w:left w:val="nil"/>
              <w:bottom w:val="single" w:sz="8" w:space="0" w:color="auto"/>
              <w:right w:val="nil"/>
            </w:tcBorders>
            <w:shd w:val="clear" w:color="000000" w:fill="FFFFFF"/>
            <w:vAlign w:val="center"/>
            <w:hideMark/>
          </w:tcPr>
          <w:p w:rsidR="006B6B15" w:rsidRPr="000B197D" w:rsidRDefault="006B6B15" w:rsidP="00DE03FC">
            <w:pPr>
              <w:spacing w:after="0" w:line="240" w:lineRule="auto"/>
              <w:jc w:val="center"/>
              <w:rPr>
                <w:rFonts w:eastAsia="Times New Roman" w:cs="Times New Roman"/>
                <w:b/>
                <w:bCs/>
                <w:color w:val="000000"/>
                <w:lang w:eastAsia="cs-CZ"/>
              </w:rPr>
            </w:pPr>
            <w:r w:rsidRPr="000B197D">
              <w:rPr>
                <w:rFonts w:eastAsia="Times New Roman" w:cs="Times New Roman"/>
                <w:b/>
                <w:bCs/>
                <w:color w:val="000000"/>
                <w:lang w:eastAsia="cs-CZ"/>
              </w:rPr>
              <w:t>5 213</w:t>
            </w:r>
          </w:p>
        </w:tc>
      </w:tr>
    </w:tbl>
    <w:p w:rsidR="006B6B15" w:rsidRDefault="006B6B15" w:rsidP="006B6B15"/>
    <w:p w:rsidR="006B6B15" w:rsidRDefault="006B6B15" w:rsidP="007A7191">
      <w:pPr>
        <w:jc w:val="both"/>
        <w:rPr>
          <w:sz w:val="24"/>
          <w:szCs w:val="24"/>
        </w:rPr>
      </w:pPr>
      <w:r w:rsidRPr="007A7191">
        <w:rPr>
          <w:sz w:val="24"/>
          <w:szCs w:val="24"/>
        </w:rPr>
        <w:t xml:space="preserve">Nejvýrazněji se důsledky roku 2013 projevily u nemocnic. Pro rok 2014 je v důsledku úhradové vyhlášky očekáván průměrný relativní nárůst úhrad oproti roku 2012 ve výši 7 %. </w:t>
      </w:r>
    </w:p>
    <w:p w:rsidR="003B652A" w:rsidRPr="007A7191" w:rsidRDefault="003B652A" w:rsidP="007A7191">
      <w:pPr>
        <w:jc w:val="both"/>
        <w:rPr>
          <w:sz w:val="24"/>
          <w:szCs w:val="24"/>
        </w:rPr>
      </w:pPr>
    </w:p>
    <w:p w:rsidR="006B6B15" w:rsidRDefault="006B6B15" w:rsidP="006B6B15">
      <w:pPr>
        <w:rPr>
          <w:sz w:val="24"/>
          <w:szCs w:val="24"/>
        </w:rPr>
      </w:pPr>
      <w:r w:rsidRPr="007A7191">
        <w:rPr>
          <w:sz w:val="24"/>
          <w:szCs w:val="24"/>
        </w:rPr>
        <w:t>Očekávaný relativní nárůst oproti roku 2012 u nemocnic dle zřizovatelů:</w:t>
      </w:r>
    </w:p>
    <w:p w:rsidR="0089535F" w:rsidRPr="007A7191" w:rsidRDefault="0089535F" w:rsidP="006B6B15">
      <w:pPr>
        <w:rPr>
          <w:sz w:val="24"/>
          <w:szCs w:val="24"/>
        </w:rPr>
      </w:pPr>
    </w:p>
    <w:p w:rsidR="006B6B15" w:rsidRPr="007A7191" w:rsidRDefault="00805D8F" w:rsidP="003B652A">
      <w:pPr>
        <w:ind w:firstLine="708"/>
        <w:rPr>
          <w:sz w:val="24"/>
          <w:szCs w:val="24"/>
        </w:rPr>
      </w:pPr>
      <w:r>
        <w:rPr>
          <w:sz w:val="24"/>
          <w:szCs w:val="24"/>
        </w:rPr>
        <w:t>Pro krajské nemocnice:</w:t>
      </w:r>
      <w:r>
        <w:rPr>
          <w:sz w:val="24"/>
          <w:szCs w:val="24"/>
        </w:rPr>
        <w:tab/>
      </w:r>
      <w:r>
        <w:rPr>
          <w:sz w:val="24"/>
          <w:szCs w:val="24"/>
        </w:rPr>
        <w:tab/>
      </w:r>
      <w:r w:rsidR="006B6B15" w:rsidRPr="007A7191">
        <w:rPr>
          <w:sz w:val="24"/>
          <w:szCs w:val="24"/>
        </w:rPr>
        <w:t>7,31 %</w:t>
      </w:r>
    </w:p>
    <w:p w:rsidR="006B6B15" w:rsidRPr="007A7191" w:rsidRDefault="006B6B15" w:rsidP="003B652A">
      <w:pPr>
        <w:ind w:firstLine="708"/>
        <w:rPr>
          <w:sz w:val="24"/>
          <w:szCs w:val="24"/>
        </w:rPr>
      </w:pPr>
      <w:r w:rsidRPr="007A7191">
        <w:rPr>
          <w:sz w:val="24"/>
          <w:szCs w:val="24"/>
        </w:rPr>
        <w:t>Pro městské nemocnice:</w:t>
      </w:r>
      <w:r w:rsidRPr="007A7191">
        <w:rPr>
          <w:sz w:val="24"/>
          <w:szCs w:val="24"/>
        </w:rPr>
        <w:tab/>
      </w:r>
      <w:r w:rsidRPr="007A7191">
        <w:rPr>
          <w:sz w:val="24"/>
          <w:szCs w:val="24"/>
        </w:rPr>
        <w:tab/>
        <w:t>6,81 %</w:t>
      </w:r>
    </w:p>
    <w:p w:rsidR="006B6B15" w:rsidRPr="007A7191" w:rsidRDefault="006B6B15" w:rsidP="003B652A">
      <w:pPr>
        <w:ind w:firstLine="708"/>
        <w:rPr>
          <w:sz w:val="24"/>
          <w:szCs w:val="24"/>
        </w:rPr>
      </w:pPr>
      <w:r w:rsidRPr="007A7191">
        <w:rPr>
          <w:sz w:val="24"/>
          <w:szCs w:val="24"/>
        </w:rPr>
        <w:t>Pro soukromé a jiné nemocnice:</w:t>
      </w:r>
      <w:r w:rsidRPr="007A7191">
        <w:rPr>
          <w:sz w:val="24"/>
          <w:szCs w:val="24"/>
        </w:rPr>
        <w:tab/>
        <w:t>6,15 %</w:t>
      </w:r>
    </w:p>
    <w:p w:rsidR="006B6B15" w:rsidRPr="007A7191" w:rsidRDefault="006B6B15" w:rsidP="003B652A">
      <w:pPr>
        <w:ind w:firstLine="708"/>
        <w:rPr>
          <w:sz w:val="24"/>
          <w:szCs w:val="24"/>
        </w:rPr>
      </w:pPr>
      <w:r w:rsidRPr="007A7191">
        <w:rPr>
          <w:sz w:val="24"/>
          <w:szCs w:val="24"/>
        </w:rPr>
        <w:t>Pro nemocnice MZ:</w:t>
      </w:r>
      <w:r w:rsidRPr="007A7191">
        <w:rPr>
          <w:sz w:val="24"/>
          <w:szCs w:val="24"/>
        </w:rPr>
        <w:tab/>
      </w:r>
      <w:r w:rsidRPr="007A7191">
        <w:rPr>
          <w:sz w:val="24"/>
          <w:szCs w:val="24"/>
        </w:rPr>
        <w:tab/>
      </w:r>
      <w:r w:rsidRPr="007A7191">
        <w:rPr>
          <w:sz w:val="24"/>
          <w:szCs w:val="24"/>
        </w:rPr>
        <w:tab/>
        <w:t>4,99 %</w:t>
      </w:r>
    </w:p>
    <w:p w:rsidR="00447BFC" w:rsidRPr="00447BFC" w:rsidRDefault="006B6B15" w:rsidP="003B652A">
      <w:pPr>
        <w:spacing w:after="0" w:line="240" w:lineRule="auto"/>
        <w:ind w:firstLine="708"/>
        <w:contextualSpacing/>
        <w:jc w:val="both"/>
        <w:rPr>
          <w:rFonts w:asciiTheme="minorHAnsi" w:hAnsiTheme="minorHAnsi" w:cs="Arial"/>
        </w:rPr>
      </w:pPr>
      <w:r w:rsidRPr="007A7191">
        <w:rPr>
          <w:sz w:val="24"/>
          <w:szCs w:val="24"/>
        </w:rPr>
        <w:t>Pro nemocnice MO:</w:t>
      </w:r>
      <w:r w:rsidRPr="007A7191">
        <w:rPr>
          <w:sz w:val="24"/>
          <w:szCs w:val="24"/>
        </w:rPr>
        <w:tab/>
      </w:r>
      <w:r w:rsidRPr="007A7191">
        <w:rPr>
          <w:sz w:val="24"/>
          <w:szCs w:val="24"/>
        </w:rPr>
        <w:tab/>
      </w:r>
      <w:r w:rsidRPr="007A7191">
        <w:rPr>
          <w:sz w:val="24"/>
          <w:szCs w:val="24"/>
        </w:rPr>
        <w:tab/>
        <w:t>10,57 %</w:t>
      </w:r>
      <w:r w:rsidR="00C20389" w:rsidRPr="006B6B15">
        <w:rPr>
          <w:rFonts w:asciiTheme="minorHAnsi" w:hAnsiTheme="minorHAnsi" w:cs="Arial"/>
        </w:rPr>
        <w:br w:type="page"/>
      </w:r>
    </w:p>
    <w:bookmarkEnd w:id="3"/>
    <w:p w:rsidR="00A17188" w:rsidRPr="00447BFC" w:rsidRDefault="006B6B15" w:rsidP="00447BFC">
      <w:pPr>
        <w:pStyle w:val="Nadpis2"/>
        <w:rPr>
          <w:color w:val="auto"/>
        </w:rPr>
      </w:pPr>
      <w:r w:rsidRPr="00447BFC">
        <w:rPr>
          <w:color w:val="auto"/>
        </w:rPr>
        <w:lastRenderedPageBreak/>
        <w:t xml:space="preserve"> </w:t>
      </w:r>
      <w:bookmarkStart w:id="4" w:name="_Toc384356084"/>
      <w:r w:rsidRPr="00447BFC">
        <w:rPr>
          <w:color w:val="auto"/>
        </w:rPr>
        <w:t>Aktuální situace pojišťoven</w:t>
      </w:r>
      <w:bookmarkEnd w:id="4"/>
    </w:p>
    <w:p w:rsidR="00A17188" w:rsidRPr="008D0EBF" w:rsidRDefault="00A17188" w:rsidP="00A17188"/>
    <w:p w:rsidR="006B6B15" w:rsidRPr="007A7191" w:rsidRDefault="006B6B15" w:rsidP="008A79AD">
      <w:pPr>
        <w:jc w:val="both"/>
        <w:rPr>
          <w:sz w:val="24"/>
          <w:szCs w:val="24"/>
        </w:rPr>
      </w:pPr>
      <w:bookmarkStart w:id="5" w:name="_Toc367188612"/>
      <w:r w:rsidRPr="007A7191">
        <w:rPr>
          <w:sz w:val="24"/>
          <w:szCs w:val="24"/>
        </w:rPr>
        <w:t>Zdravotní pojišťovny vybraly v roce 2013 na pojistném celkem 225,7 mld. Kč, což je přibližně stejná částka jako v roce 2012. Z toho 53,6 mld. Kč tvořila platba za státní pojištěnce, kterých bylo v roce 2013 evidováno průměrně 6 097 tisíc. V tomto roce opět došlo k předsunuté platbě ve výši 4 mld. Kč, která byla vrácena na konci roku. Zároveň byla na konci roku poskytnuta VZP návratná půjčk</w:t>
      </w:r>
      <w:r w:rsidR="00C920B9" w:rsidRPr="007A7191">
        <w:rPr>
          <w:sz w:val="24"/>
          <w:szCs w:val="24"/>
        </w:rPr>
        <w:t>a ve výši 1,7 mld. Kč</w:t>
      </w:r>
      <w:r w:rsidRPr="007A7191">
        <w:rPr>
          <w:sz w:val="24"/>
          <w:szCs w:val="24"/>
        </w:rPr>
        <w:t>. V prvním kvartále 2014 poté došlo opět k předsunuté platbě ve výši 4,8 mld. Kč.</w:t>
      </w:r>
      <w:r w:rsidR="00C920B9" w:rsidRPr="007A7191">
        <w:rPr>
          <w:sz w:val="24"/>
          <w:szCs w:val="24"/>
        </w:rPr>
        <w:t xml:space="preserve"> To společně s vyšším výběrem pojistného za únor 2014 vedlo k stabilizaci jejich krátkodobé finanční situace, jak ukazuje následující graf zůstatků </w:t>
      </w:r>
      <w:r w:rsidR="003B652A">
        <w:rPr>
          <w:sz w:val="24"/>
          <w:szCs w:val="24"/>
        </w:rPr>
        <w:t xml:space="preserve">přepočtených na jednoho pojištěnce </w:t>
      </w:r>
      <w:r w:rsidR="00C920B9" w:rsidRPr="007A7191">
        <w:rPr>
          <w:sz w:val="24"/>
          <w:szCs w:val="24"/>
        </w:rPr>
        <w:t xml:space="preserve">na fondech </w:t>
      </w:r>
      <w:r w:rsidR="003B652A">
        <w:rPr>
          <w:sz w:val="24"/>
          <w:szCs w:val="24"/>
        </w:rPr>
        <w:t xml:space="preserve">zdravotních </w:t>
      </w:r>
      <w:r w:rsidR="00C920B9" w:rsidRPr="007A7191">
        <w:rPr>
          <w:sz w:val="24"/>
          <w:szCs w:val="24"/>
        </w:rPr>
        <w:t>pojišťoven:</w:t>
      </w:r>
    </w:p>
    <w:p w:rsidR="00C920B9" w:rsidRDefault="00C920B9" w:rsidP="008A79AD">
      <w:pPr>
        <w:jc w:val="both"/>
      </w:pPr>
      <w:r>
        <w:rPr>
          <w:noProof/>
          <w:lang w:eastAsia="cs-CZ"/>
        </w:rPr>
        <w:drawing>
          <wp:inline distT="0" distB="0" distL="0" distR="0">
            <wp:extent cx="6619874" cy="3009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4958" t="18234" r="13728" b="38124"/>
                    <a:stretch/>
                  </pic:blipFill>
                  <pic:spPr bwMode="auto">
                    <a:xfrm>
                      <a:off x="0" y="0"/>
                      <a:ext cx="6625824" cy="30126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B6B15" w:rsidRPr="007A7191" w:rsidRDefault="006B6B15" w:rsidP="008A79AD">
      <w:pPr>
        <w:jc w:val="both"/>
        <w:rPr>
          <w:sz w:val="24"/>
          <w:szCs w:val="24"/>
        </w:rPr>
      </w:pPr>
      <w:r w:rsidRPr="007A7191">
        <w:rPr>
          <w:sz w:val="24"/>
          <w:szCs w:val="24"/>
        </w:rPr>
        <w:t xml:space="preserve">V roce 2014 dojde dle údajů ze zdravotně pojistných plánů k nárůstu příjmů o 12 mld. Kč na celkovou hodnotu 237,2 mld. Kč, z čehož </w:t>
      </w:r>
      <w:r w:rsidR="00760519">
        <w:rPr>
          <w:sz w:val="24"/>
          <w:szCs w:val="24"/>
        </w:rPr>
        <w:t xml:space="preserve">zhruba polovina </w:t>
      </w:r>
      <w:r w:rsidRPr="007A7191">
        <w:rPr>
          <w:sz w:val="24"/>
          <w:szCs w:val="24"/>
        </w:rPr>
        <w:t>plyne z nárůstu plateb za státní pojištěnce</w:t>
      </w:r>
      <w:r w:rsidR="00760519">
        <w:rPr>
          <w:sz w:val="24"/>
          <w:szCs w:val="24"/>
        </w:rPr>
        <w:t xml:space="preserve"> provedeného v roce 2013</w:t>
      </w:r>
      <w:r w:rsidRPr="007A7191">
        <w:rPr>
          <w:sz w:val="24"/>
          <w:szCs w:val="24"/>
        </w:rPr>
        <w:t xml:space="preserve">. Celkem v tomto roce budou tvořit příjmy za státní pojištěnce přibližně 25 % celkových příjmů. Existuje ovšem riziko, že celkové příjmy budou až o 2 mld. nižší, než je uvedeno ve zdravotně pojistných plánech, a to vlivem zhoršeného ekonomického výhledu ČR. </w:t>
      </w:r>
    </w:p>
    <w:p w:rsidR="006B6B15" w:rsidRPr="007A7191" w:rsidRDefault="006B6B15" w:rsidP="008A79AD">
      <w:pPr>
        <w:jc w:val="both"/>
        <w:rPr>
          <w:sz w:val="24"/>
          <w:szCs w:val="24"/>
        </w:rPr>
      </w:pPr>
      <w:r w:rsidRPr="007A7191">
        <w:rPr>
          <w:sz w:val="24"/>
          <w:szCs w:val="24"/>
        </w:rPr>
        <w:t>Výdaje v roce 2014 dle zdravotně pojistných plánů dosáhnou výše 239,4 mld. Kč, čímž se sníží deficit systému na 2,25 mld. Kč (popř. na 4 mld. Kč v případě nižších příjmů). Tyto výdaje jsou v souladu s modelacemi úhradové vyhlášky pro rok 2014. Situace se liší mezi jednotlivými pojišťovnami, kdy VZP předpokládá kladné saldo ve výši 600 mil. Kč, zatímco ZP MV a ČPZP plánují ztrátu 1,2 mld. Kč. Záporná salda budou pokryta z rezerv jednotlivých pojišťoven.</w:t>
      </w:r>
    </w:p>
    <w:p w:rsidR="00447BFC" w:rsidRDefault="006B6B15" w:rsidP="008A79AD">
      <w:pPr>
        <w:jc w:val="both"/>
        <w:rPr>
          <w:sz w:val="24"/>
          <w:szCs w:val="24"/>
        </w:rPr>
      </w:pPr>
      <w:r w:rsidRPr="007A7191">
        <w:rPr>
          <w:sz w:val="24"/>
          <w:szCs w:val="24"/>
        </w:rPr>
        <w:t xml:space="preserve">Finanční rezerva základního fondu zdravotního pojištění tak vystačí v průměru na 18 dní provozu, přičemž nejnižší rezerva bude na účtu VZP (0,25 dne) a nejvyšší u RBP (54 dní).  Podobná situace nastane i na běžném účtu pojišťoven, kdy zůstatek VZP bude tvořit pouze 2 % celkových zůstatků. Závazky po lhůtě splatnosti u VZP budou ke konci roku 2014 činit celkem 1,4 mld. Kč. </w:t>
      </w:r>
    </w:p>
    <w:p w:rsidR="003B652A" w:rsidRPr="007A7191" w:rsidRDefault="003B652A" w:rsidP="008A79AD">
      <w:pPr>
        <w:jc w:val="both"/>
        <w:rPr>
          <w:sz w:val="24"/>
          <w:szCs w:val="24"/>
        </w:rPr>
      </w:pPr>
      <w:r>
        <w:rPr>
          <w:sz w:val="24"/>
          <w:szCs w:val="24"/>
        </w:rPr>
        <w:t>V případě, že nabude účinnosti zákon, kterým se kompenzuje výpadek regulačních poplatků, zvýší se příjmy zdravotních pojišťoven v roce 2014 o cca 2,1 mld. Kč. Tyto peníze budou použity ke kompenzacím výpadků příjmů z hospitalizačních regulačních pop</w:t>
      </w:r>
      <w:r w:rsidR="00760519">
        <w:rPr>
          <w:sz w:val="24"/>
          <w:szCs w:val="24"/>
        </w:rPr>
        <w:t>l</w:t>
      </w:r>
      <w:r>
        <w:rPr>
          <w:sz w:val="24"/>
          <w:szCs w:val="24"/>
        </w:rPr>
        <w:t>atků.</w:t>
      </w:r>
    </w:p>
    <w:p w:rsidR="00447BFC" w:rsidRPr="00447BFC" w:rsidRDefault="00447BFC" w:rsidP="008A79AD">
      <w:pPr>
        <w:jc w:val="both"/>
      </w:pPr>
    </w:p>
    <w:p w:rsidR="00A02490" w:rsidRPr="008D0EBF" w:rsidRDefault="00A02490" w:rsidP="00A02490">
      <w:pPr>
        <w:pStyle w:val="Nadpis2"/>
        <w:rPr>
          <w:rFonts w:asciiTheme="minorHAnsi" w:hAnsiTheme="minorHAnsi" w:cs="Arial"/>
          <w:color w:val="auto"/>
        </w:rPr>
      </w:pPr>
      <w:bookmarkStart w:id="6" w:name="_Toc367188615"/>
      <w:bookmarkStart w:id="7" w:name="_Toc368983793"/>
      <w:bookmarkStart w:id="8" w:name="_Toc384356085"/>
      <w:bookmarkEnd w:id="5"/>
      <w:r w:rsidRPr="008D0EBF">
        <w:rPr>
          <w:rFonts w:asciiTheme="minorHAnsi" w:hAnsiTheme="minorHAnsi" w:cs="Arial"/>
          <w:color w:val="auto"/>
        </w:rPr>
        <w:t>Úhrady od ZP</w:t>
      </w:r>
      <w:bookmarkEnd w:id="6"/>
      <w:bookmarkEnd w:id="7"/>
      <w:bookmarkEnd w:id="8"/>
    </w:p>
    <w:p w:rsidR="00A02490" w:rsidRPr="008D0EBF" w:rsidRDefault="00A02490" w:rsidP="00A02490">
      <w:pPr>
        <w:spacing w:after="0"/>
      </w:pPr>
    </w:p>
    <w:p w:rsidR="000845D9" w:rsidRPr="008D0EBF" w:rsidRDefault="000845D9" w:rsidP="000845D9">
      <w:pPr>
        <w:spacing w:after="0"/>
        <w:jc w:val="both"/>
      </w:pPr>
      <w:r w:rsidRPr="008D0EBF">
        <w:t>Úhradová vyhláška pro 20</w:t>
      </w:r>
      <w:r>
        <w:t>13 se projevila</w:t>
      </w:r>
      <w:r w:rsidRPr="008D0EBF">
        <w:t xml:space="preserve"> jako velmi restriktivní oproti rokům 2012 i 2011</w:t>
      </w:r>
      <w:r>
        <w:t xml:space="preserve">. V segmentu nemocnic došlo mezi roky 2012 a </w:t>
      </w:r>
      <w:r w:rsidR="003B652A">
        <w:t xml:space="preserve">2011 </w:t>
      </w:r>
      <w:r>
        <w:t>sice k </w:t>
      </w:r>
      <w:r w:rsidR="003B652A">
        <w:t>nárůstu, ovšem menšímu, než byl</w:t>
      </w:r>
      <w:r>
        <w:t>a kumulovaná inflace za dané období. V roce 2013 pak došlo dokonce k absolutnímu poklesu výdajů pojišťoven na péči.</w:t>
      </w:r>
    </w:p>
    <w:p w:rsidR="000845D9" w:rsidRDefault="000845D9" w:rsidP="000845D9">
      <w:pPr>
        <w:spacing w:after="0"/>
        <w:jc w:val="both"/>
      </w:pPr>
    </w:p>
    <w:p w:rsidR="000845D9" w:rsidRDefault="000845D9" w:rsidP="000845D9">
      <w:pPr>
        <w:spacing w:after="0"/>
        <w:jc w:val="both"/>
      </w:pPr>
      <w:r>
        <w:t xml:space="preserve">Mimořádná </w:t>
      </w:r>
      <w:proofErr w:type="spellStart"/>
      <w:r>
        <w:t>restriktiv</w:t>
      </w:r>
      <w:r w:rsidR="003B652A">
        <w:t>nost</w:t>
      </w:r>
      <w:proofErr w:type="spellEnd"/>
      <w:r>
        <w:t xml:space="preserve"> úhradové vyhlášky pro rok 2013 se projevila jak v celkových výdajích zdravotních pojišťoven na zdravotní péči (223,0 mld. Kč v roce 2012 oproti 220,6 mld. Kč v roce 2013), tak zejména ale v sektoru lůžkové péče. Zatímco výdaje na ambulantní péči celkem zaznamenaly určitý nárůst (z 58,7 mld. Kč na 60,1 mld. Kč) prakticky všechny ostatní segmenty byly výrazně omezeny. V lůžkové péči celkem došlo k poklesu o cca 700 mil. Kč </w:t>
      </w:r>
      <w:proofErr w:type="gramStart"/>
      <w:r>
        <w:t>ze</w:t>
      </w:r>
      <w:proofErr w:type="gramEnd"/>
      <w:r>
        <w:t xml:space="preserve"> 104,7 mld. Kč v roce 2012 na 104,0 mld. Kč v roce 2013.</w:t>
      </w:r>
    </w:p>
    <w:p w:rsidR="000845D9" w:rsidRDefault="000845D9" w:rsidP="000845D9">
      <w:pPr>
        <w:spacing w:after="0"/>
        <w:jc w:val="both"/>
      </w:pPr>
    </w:p>
    <w:p w:rsidR="000845D9" w:rsidRDefault="000845D9" w:rsidP="000845D9">
      <w:pPr>
        <w:spacing w:after="0"/>
        <w:jc w:val="both"/>
      </w:pPr>
      <w:r>
        <w:t>Nejvýrazněji byla zasažena akutní lůžková péče, kde došlo k meziročnímu poklesu o 1,6 mld. Kč. Největší meziroční relativní pokles zaznamenal (nikoliv však vlivem úhradové vyhlášky, ale spíše změny v indikacích) segment lázeňství, kde úhrady od zdravotních pojišťoven klesly v roce 2013 na 62,6 % úhrad roku 2012.</w:t>
      </w:r>
    </w:p>
    <w:p w:rsidR="000845D9" w:rsidRDefault="000845D9" w:rsidP="000845D9">
      <w:pPr>
        <w:spacing w:after="0"/>
        <w:jc w:val="both"/>
      </w:pPr>
      <w:r>
        <w:t>Po nárůstu v roce 2012 rovněž opět klesly výdaje na léčiva na předpis a to z 36,1 mld. Kč na 34,6 mld. Kč. Nárůst naopak zaznamenaly segmenty dopravních služeb a zdravotnické záchranné služby. Posílen byl rovněž rozvíjející se segment domácí péče a to o 11,6%.</w:t>
      </w:r>
    </w:p>
    <w:p w:rsidR="000845D9" w:rsidRDefault="000845D9" w:rsidP="000845D9">
      <w:pPr>
        <w:spacing w:after="0"/>
        <w:jc w:val="both"/>
      </w:pPr>
    </w:p>
    <w:p w:rsidR="000845D9" w:rsidRDefault="000845D9" w:rsidP="000845D9">
      <w:pPr>
        <w:spacing w:after="0"/>
        <w:jc w:val="both"/>
      </w:pPr>
      <w:r>
        <w:t xml:space="preserve">Co se týče </w:t>
      </w:r>
      <w:proofErr w:type="spellStart"/>
      <w:r>
        <w:t>restriktiv</w:t>
      </w:r>
      <w:r w:rsidR="003B652A">
        <w:t>nosti</w:t>
      </w:r>
      <w:proofErr w:type="spellEnd"/>
      <w:r>
        <w:t xml:space="preserve"> úhradové vyhlášky pro rok 2012, nelze říci, že by vyhláška jako celek působila významně restriktivně, neboť pojišťovny v roce 2011 vydaly na péči 219,2 mld. Kč, v roce 2012 to bylo 223,0 mld. Kč. Restriktivně ovšem mohli vnímat vyhlášku pro rok 2012 poskytovatelé akutní lůžkové péče, neboť v tomto segmentu došlo i mezi roky 2011 a 2012 k poklesu a to o cca 1,2 mld. Kč. Celkem se tak úhrada za akutní lůžkovou péči mezi lety 2010 a 2012 navzdory zvýšeným nákladům z důvodů popsaných výše snížila o cca 2,8 mld. Kč.</w:t>
      </w:r>
    </w:p>
    <w:p w:rsidR="000845D9" w:rsidRDefault="000845D9" w:rsidP="000845D9">
      <w:pPr>
        <w:spacing w:after="0"/>
        <w:jc w:val="both"/>
      </w:pPr>
    </w:p>
    <w:p w:rsidR="000845D9" w:rsidRDefault="000845D9" w:rsidP="000845D9">
      <w:pPr>
        <w:spacing w:after="0"/>
        <w:jc w:val="both"/>
      </w:pPr>
      <w:r>
        <w:t>Situaci segmentu nemocnic shrnuje následující tabulka:</w:t>
      </w:r>
    </w:p>
    <w:p w:rsidR="000845D9" w:rsidRDefault="000845D9" w:rsidP="000845D9">
      <w:pPr>
        <w:spacing w:after="0"/>
        <w:jc w:val="both"/>
      </w:pPr>
    </w:p>
    <w:p w:rsidR="000845D9" w:rsidRPr="002F5EDD" w:rsidRDefault="000845D9" w:rsidP="000845D9">
      <w:pPr>
        <w:spacing w:after="0"/>
        <w:jc w:val="both"/>
        <w:rPr>
          <w:b/>
        </w:rPr>
      </w:pPr>
      <w:r w:rsidRPr="002F5EDD">
        <w:rPr>
          <w:b/>
        </w:rPr>
        <w:t>Nemocnice – výnosy od zdravotních pojišťoven</w:t>
      </w:r>
    </w:p>
    <w:tbl>
      <w:tblPr>
        <w:tblW w:w="8320" w:type="dxa"/>
        <w:tblInd w:w="55" w:type="dxa"/>
        <w:tblCellMar>
          <w:left w:w="70" w:type="dxa"/>
          <w:right w:w="70" w:type="dxa"/>
        </w:tblCellMar>
        <w:tblLook w:val="04A0"/>
      </w:tblPr>
      <w:tblGrid>
        <w:gridCol w:w="2620"/>
        <w:gridCol w:w="975"/>
        <w:gridCol w:w="975"/>
        <w:gridCol w:w="975"/>
        <w:gridCol w:w="2775"/>
      </w:tblGrid>
      <w:tr w:rsidR="000845D9" w:rsidRPr="00AE51D3" w:rsidTr="003B652A">
        <w:trPr>
          <w:trHeight w:val="255"/>
        </w:trPr>
        <w:tc>
          <w:tcPr>
            <w:tcW w:w="2620"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rsidR="000845D9" w:rsidRPr="00AE51D3" w:rsidRDefault="000845D9" w:rsidP="003B652A">
            <w:pPr>
              <w:spacing w:after="0" w:line="240" w:lineRule="auto"/>
              <w:rPr>
                <w:rFonts w:ascii="Arial" w:eastAsia="Times New Roman" w:hAnsi="Arial" w:cs="Arial"/>
                <w:sz w:val="20"/>
                <w:szCs w:val="20"/>
                <w:lang w:eastAsia="cs-CZ"/>
              </w:rPr>
            </w:pPr>
            <w:r w:rsidRPr="00AE51D3">
              <w:rPr>
                <w:rFonts w:ascii="Arial" w:eastAsia="Times New Roman" w:hAnsi="Arial" w:cs="Arial"/>
                <w:sz w:val="20"/>
                <w:szCs w:val="20"/>
                <w:lang w:eastAsia="cs-CZ"/>
              </w:rPr>
              <w:t>zřizovatel</w:t>
            </w:r>
          </w:p>
        </w:tc>
        <w:tc>
          <w:tcPr>
            <w:tcW w:w="5700" w:type="dxa"/>
            <w:gridSpan w:val="4"/>
            <w:tcBorders>
              <w:top w:val="single" w:sz="8" w:space="0" w:color="auto"/>
              <w:left w:val="nil"/>
              <w:bottom w:val="single" w:sz="4" w:space="0" w:color="auto"/>
              <w:right w:val="single" w:sz="8" w:space="0" w:color="000000"/>
            </w:tcBorders>
            <w:shd w:val="clear" w:color="auto" w:fill="auto"/>
            <w:noWrap/>
            <w:vAlign w:val="bottom"/>
            <w:hideMark/>
          </w:tcPr>
          <w:p w:rsidR="000845D9" w:rsidRPr="00AE51D3" w:rsidRDefault="000845D9" w:rsidP="003B652A">
            <w:pPr>
              <w:spacing w:after="0" w:line="240" w:lineRule="auto"/>
              <w:jc w:val="center"/>
              <w:rPr>
                <w:rFonts w:ascii="Arial" w:eastAsia="Times New Roman" w:hAnsi="Arial" w:cs="Arial"/>
                <w:sz w:val="20"/>
                <w:szCs w:val="20"/>
                <w:lang w:eastAsia="cs-CZ"/>
              </w:rPr>
            </w:pPr>
            <w:r w:rsidRPr="00AE51D3">
              <w:rPr>
                <w:rFonts w:ascii="Arial" w:eastAsia="Times New Roman" w:hAnsi="Arial" w:cs="Arial"/>
                <w:sz w:val="20"/>
                <w:szCs w:val="20"/>
                <w:lang w:eastAsia="cs-CZ"/>
              </w:rPr>
              <w:t>Tržby od zdravotních pojišťoven celkem</w:t>
            </w:r>
          </w:p>
        </w:tc>
      </w:tr>
      <w:tr w:rsidR="000845D9" w:rsidRPr="00AE51D3" w:rsidTr="003B652A">
        <w:trPr>
          <w:trHeight w:val="255"/>
        </w:trPr>
        <w:tc>
          <w:tcPr>
            <w:tcW w:w="2620" w:type="dxa"/>
            <w:vMerge/>
            <w:tcBorders>
              <w:top w:val="single" w:sz="8" w:space="0" w:color="auto"/>
              <w:left w:val="single" w:sz="8" w:space="0" w:color="auto"/>
              <w:bottom w:val="single" w:sz="4" w:space="0" w:color="000000"/>
              <w:right w:val="single" w:sz="4" w:space="0" w:color="auto"/>
            </w:tcBorders>
            <w:vAlign w:val="center"/>
            <w:hideMark/>
          </w:tcPr>
          <w:p w:rsidR="000845D9" w:rsidRPr="00AE51D3" w:rsidRDefault="000845D9" w:rsidP="003B652A">
            <w:pPr>
              <w:spacing w:after="0" w:line="240" w:lineRule="auto"/>
              <w:rPr>
                <w:rFonts w:ascii="Arial" w:eastAsia="Times New Roman" w:hAnsi="Arial" w:cs="Arial"/>
                <w:sz w:val="20"/>
                <w:szCs w:val="20"/>
                <w:lang w:eastAsia="cs-CZ"/>
              </w:rPr>
            </w:pPr>
          </w:p>
        </w:tc>
        <w:tc>
          <w:tcPr>
            <w:tcW w:w="570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0845D9" w:rsidRPr="00AE51D3" w:rsidRDefault="000845D9" w:rsidP="003B652A">
            <w:pPr>
              <w:spacing w:after="0" w:line="240" w:lineRule="auto"/>
              <w:jc w:val="center"/>
              <w:rPr>
                <w:rFonts w:ascii="Arial" w:eastAsia="Times New Roman" w:hAnsi="Arial" w:cs="Arial"/>
                <w:sz w:val="20"/>
                <w:szCs w:val="20"/>
                <w:lang w:eastAsia="cs-CZ"/>
              </w:rPr>
            </w:pPr>
            <w:r w:rsidRPr="00AE51D3">
              <w:rPr>
                <w:rFonts w:ascii="Arial" w:eastAsia="Times New Roman" w:hAnsi="Arial" w:cs="Arial"/>
                <w:sz w:val="20"/>
                <w:szCs w:val="20"/>
                <w:lang w:eastAsia="cs-CZ"/>
              </w:rPr>
              <w:t>období - rok</w:t>
            </w:r>
          </w:p>
        </w:tc>
      </w:tr>
      <w:tr w:rsidR="000845D9" w:rsidRPr="00AE51D3" w:rsidTr="003B652A">
        <w:trPr>
          <w:trHeight w:val="255"/>
        </w:trPr>
        <w:tc>
          <w:tcPr>
            <w:tcW w:w="2620" w:type="dxa"/>
            <w:vMerge/>
            <w:tcBorders>
              <w:top w:val="single" w:sz="8" w:space="0" w:color="auto"/>
              <w:left w:val="single" w:sz="8" w:space="0" w:color="auto"/>
              <w:bottom w:val="single" w:sz="4" w:space="0" w:color="000000"/>
              <w:right w:val="single" w:sz="4" w:space="0" w:color="auto"/>
            </w:tcBorders>
            <w:vAlign w:val="center"/>
            <w:hideMark/>
          </w:tcPr>
          <w:p w:rsidR="000845D9" w:rsidRPr="00AE51D3" w:rsidRDefault="000845D9" w:rsidP="003B652A">
            <w:pPr>
              <w:spacing w:after="0" w:line="240" w:lineRule="auto"/>
              <w:rPr>
                <w:rFonts w:ascii="Arial" w:eastAsia="Times New Roman" w:hAnsi="Arial" w:cs="Arial"/>
                <w:sz w:val="20"/>
                <w:szCs w:val="20"/>
                <w:lang w:eastAsia="cs-CZ"/>
              </w:rPr>
            </w:pPr>
          </w:p>
        </w:tc>
        <w:tc>
          <w:tcPr>
            <w:tcW w:w="975" w:type="dxa"/>
            <w:tcBorders>
              <w:top w:val="nil"/>
              <w:left w:val="nil"/>
              <w:bottom w:val="single" w:sz="4" w:space="0" w:color="auto"/>
              <w:right w:val="single" w:sz="4" w:space="0" w:color="auto"/>
            </w:tcBorders>
            <w:shd w:val="clear" w:color="auto" w:fill="auto"/>
            <w:noWrap/>
            <w:vAlign w:val="bottom"/>
            <w:hideMark/>
          </w:tcPr>
          <w:p w:rsidR="000845D9" w:rsidRPr="00AE51D3" w:rsidRDefault="000845D9" w:rsidP="003B652A">
            <w:pPr>
              <w:spacing w:after="0" w:line="240" w:lineRule="auto"/>
              <w:jc w:val="center"/>
              <w:rPr>
                <w:rFonts w:ascii="Arial" w:eastAsia="Times New Roman" w:hAnsi="Arial" w:cs="Arial"/>
                <w:sz w:val="20"/>
                <w:szCs w:val="20"/>
                <w:lang w:eastAsia="cs-CZ"/>
              </w:rPr>
            </w:pPr>
            <w:r w:rsidRPr="00AE51D3">
              <w:rPr>
                <w:rFonts w:ascii="Arial" w:eastAsia="Times New Roman" w:hAnsi="Arial" w:cs="Arial"/>
                <w:sz w:val="20"/>
                <w:szCs w:val="20"/>
                <w:lang w:eastAsia="cs-CZ"/>
              </w:rPr>
              <w:t>2010</w:t>
            </w:r>
          </w:p>
        </w:tc>
        <w:tc>
          <w:tcPr>
            <w:tcW w:w="975" w:type="dxa"/>
            <w:tcBorders>
              <w:top w:val="nil"/>
              <w:left w:val="nil"/>
              <w:bottom w:val="single" w:sz="4" w:space="0" w:color="auto"/>
              <w:right w:val="single" w:sz="4" w:space="0" w:color="auto"/>
            </w:tcBorders>
            <w:shd w:val="clear" w:color="auto" w:fill="auto"/>
            <w:noWrap/>
            <w:vAlign w:val="bottom"/>
            <w:hideMark/>
          </w:tcPr>
          <w:p w:rsidR="000845D9" w:rsidRPr="00AE51D3" w:rsidRDefault="000845D9" w:rsidP="003B652A">
            <w:pPr>
              <w:spacing w:after="0" w:line="240" w:lineRule="auto"/>
              <w:jc w:val="center"/>
              <w:rPr>
                <w:rFonts w:ascii="Arial" w:eastAsia="Times New Roman" w:hAnsi="Arial" w:cs="Arial"/>
                <w:sz w:val="20"/>
                <w:szCs w:val="20"/>
                <w:lang w:eastAsia="cs-CZ"/>
              </w:rPr>
            </w:pPr>
            <w:r w:rsidRPr="00AE51D3">
              <w:rPr>
                <w:rFonts w:ascii="Arial" w:eastAsia="Times New Roman" w:hAnsi="Arial" w:cs="Arial"/>
                <w:sz w:val="20"/>
                <w:szCs w:val="20"/>
                <w:lang w:eastAsia="cs-CZ"/>
              </w:rPr>
              <w:t>2011</w:t>
            </w:r>
          </w:p>
        </w:tc>
        <w:tc>
          <w:tcPr>
            <w:tcW w:w="975" w:type="dxa"/>
            <w:tcBorders>
              <w:top w:val="nil"/>
              <w:left w:val="nil"/>
              <w:bottom w:val="single" w:sz="4" w:space="0" w:color="auto"/>
              <w:right w:val="single" w:sz="4" w:space="0" w:color="auto"/>
            </w:tcBorders>
            <w:shd w:val="clear" w:color="auto" w:fill="auto"/>
            <w:noWrap/>
            <w:vAlign w:val="bottom"/>
            <w:hideMark/>
          </w:tcPr>
          <w:p w:rsidR="000845D9" w:rsidRPr="00AE51D3" w:rsidRDefault="000845D9" w:rsidP="003B652A">
            <w:pPr>
              <w:spacing w:after="0" w:line="240" w:lineRule="auto"/>
              <w:jc w:val="center"/>
              <w:rPr>
                <w:rFonts w:ascii="Arial" w:eastAsia="Times New Roman" w:hAnsi="Arial" w:cs="Arial"/>
                <w:sz w:val="20"/>
                <w:szCs w:val="20"/>
                <w:lang w:eastAsia="cs-CZ"/>
              </w:rPr>
            </w:pPr>
            <w:r w:rsidRPr="00AE51D3">
              <w:rPr>
                <w:rFonts w:ascii="Arial" w:eastAsia="Times New Roman" w:hAnsi="Arial" w:cs="Arial"/>
                <w:sz w:val="20"/>
                <w:szCs w:val="20"/>
                <w:lang w:eastAsia="cs-CZ"/>
              </w:rPr>
              <w:t>2012</w:t>
            </w:r>
          </w:p>
        </w:tc>
        <w:tc>
          <w:tcPr>
            <w:tcW w:w="2775" w:type="dxa"/>
            <w:tcBorders>
              <w:top w:val="nil"/>
              <w:left w:val="nil"/>
              <w:bottom w:val="single" w:sz="4" w:space="0" w:color="auto"/>
              <w:right w:val="single" w:sz="8" w:space="0" w:color="auto"/>
            </w:tcBorders>
            <w:shd w:val="clear" w:color="auto" w:fill="auto"/>
            <w:noWrap/>
            <w:vAlign w:val="bottom"/>
            <w:hideMark/>
          </w:tcPr>
          <w:p w:rsidR="000845D9" w:rsidRPr="00AE51D3" w:rsidRDefault="000845D9" w:rsidP="003B652A">
            <w:pPr>
              <w:spacing w:after="0" w:line="240" w:lineRule="auto"/>
              <w:jc w:val="center"/>
              <w:rPr>
                <w:rFonts w:ascii="Arial" w:eastAsia="Times New Roman" w:hAnsi="Arial" w:cs="Arial"/>
                <w:color w:val="FF0000"/>
                <w:sz w:val="20"/>
                <w:szCs w:val="20"/>
                <w:lang w:eastAsia="cs-CZ"/>
              </w:rPr>
            </w:pPr>
            <w:r w:rsidRPr="00AE51D3">
              <w:rPr>
                <w:rFonts w:ascii="Arial" w:eastAsia="Times New Roman" w:hAnsi="Arial" w:cs="Arial"/>
                <w:color w:val="FF0000"/>
                <w:sz w:val="20"/>
                <w:szCs w:val="20"/>
                <w:lang w:eastAsia="cs-CZ"/>
              </w:rPr>
              <w:t>2013 - předběžné údaje</w:t>
            </w:r>
          </w:p>
        </w:tc>
      </w:tr>
      <w:tr w:rsidR="000845D9" w:rsidRPr="00AE51D3" w:rsidTr="003B652A">
        <w:trPr>
          <w:trHeight w:val="255"/>
        </w:trPr>
        <w:tc>
          <w:tcPr>
            <w:tcW w:w="2620" w:type="dxa"/>
            <w:tcBorders>
              <w:top w:val="nil"/>
              <w:left w:val="single" w:sz="8" w:space="0" w:color="auto"/>
              <w:bottom w:val="nil"/>
              <w:right w:val="single" w:sz="4" w:space="0" w:color="auto"/>
            </w:tcBorders>
            <w:shd w:val="clear" w:color="auto" w:fill="auto"/>
            <w:noWrap/>
            <w:vAlign w:val="bottom"/>
            <w:hideMark/>
          </w:tcPr>
          <w:p w:rsidR="000845D9" w:rsidRPr="00AE51D3" w:rsidRDefault="000845D9" w:rsidP="003B652A">
            <w:pPr>
              <w:spacing w:after="0" w:line="240" w:lineRule="auto"/>
              <w:rPr>
                <w:rFonts w:ascii="Arial" w:eastAsia="Times New Roman" w:hAnsi="Arial" w:cs="Arial"/>
                <w:sz w:val="20"/>
                <w:szCs w:val="20"/>
                <w:lang w:eastAsia="cs-CZ"/>
              </w:rPr>
            </w:pPr>
            <w:r w:rsidRPr="00AE51D3">
              <w:rPr>
                <w:rFonts w:ascii="Arial" w:eastAsia="Times New Roman" w:hAnsi="Arial" w:cs="Arial"/>
                <w:sz w:val="20"/>
                <w:szCs w:val="20"/>
                <w:lang w:eastAsia="cs-CZ"/>
              </w:rPr>
              <w:t>MZ</w:t>
            </w:r>
          </w:p>
        </w:tc>
        <w:tc>
          <w:tcPr>
            <w:tcW w:w="975" w:type="dxa"/>
            <w:tcBorders>
              <w:top w:val="nil"/>
              <w:left w:val="nil"/>
              <w:bottom w:val="nil"/>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49 028</w:t>
            </w:r>
          </w:p>
        </w:tc>
        <w:tc>
          <w:tcPr>
            <w:tcW w:w="975" w:type="dxa"/>
            <w:tcBorders>
              <w:top w:val="nil"/>
              <w:left w:val="nil"/>
              <w:bottom w:val="nil"/>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50 444</w:t>
            </w:r>
          </w:p>
        </w:tc>
        <w:tc>
          <w:tcPr>
            <w:tcW w:w="975" w:type="dxa"/>
            <w:tcBorders>
              <w:top w:val="nil"/>
              <w:left w:val="nil"/>
              <w:bottom w:val="nil"/>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50 606</w:t>
            </w:r>
          </w:p>
        </w:tc>
        <w:tc>
          <w:tcPr>
            <w:tcW w:w="2775" w:type="dxa"/>
            <w:tcBorders>
              <w:top w:val="nil"/>
              <w:left w:val="nil"/>
              <w:bottom w:val="nil"/>
              <w:right w:val="single" w:sz="8"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49 745</w:t>
            </w:r>
          </w:p>
        </w:tc>
      </w:tr>
      <w:tr w:rsidR="000845D9" w:rsidRPr="00AE51D3" w:rsidTr="003B652A">
        <w:trPr>
          <w:trHeight w:val="255"/>
        </w:trPr>
        <w:tc>
          <w:tcPr>
            <w:tcW w:w="2620" w:type="dxa"/>
            <w:tcBorders>
              <w:top w:val="nil"/>
              <w:left w:val="single" w:sz="8" w:space="0" w:color="auto"/>
              <w:bottom w:val="nil"/>
              <w:right w:val="single" w:sz="4" w:space="0" w:color="auto"/>
            </w:tcBorders>
            <w:shd w:val="clear" w:color="auto" w:fill="auto"/>
            <w:noWrap/>
            <w:vAlign w:val="bottom"/>
            <w:hideMark/>
          </w:tcPr>
          <w:p w:rsidR="000845D9" w:rsidRPr="00AE51D3" w:rsidRDefault="000845D9" w:rsidP="003B652A">
            <w:pPr>
              <w:spacing w:after="0" w:line="240" w:lineRule="auto"/>
              <w:rPr>
                <w:rFonts w:ascii="Arial" w:eastAsia="Times New Roman" w:hAnsi="Arial" w:cs="Arial"/>
                <w:sz w:val="20"/>
                <w:szCs w:val="20"/>
                <w:lang w:eastAsia="cs-CZ"/>
              </w:rPr>
            </w:pPr>
            <w:r w:rsidRPr="00AE51D3">
              <w:rPr>
                <w:rFonts w:ascii="Arial" w:eastAsia="Times New Roman" w:hAnsi="Arial" w:cs="Arial"/>
                <w:sz w:val="20"/>
                <w:szCs w:val="20"/>
                <w:lang w:eastAsia="cs-CZ"/>
              </w:rPr>
              <w:t xml:space="preserve">kraj - PO + </w:t>
            </w:r>
            <w:proofErr w:type="spellStart"/>
            <w:proofErr w:type="gramStart"/>
            <w:r w:rsidRPr="00AE51D3">
              <w:rPr>
                <w:rFonts w:ascii="Arial" w:eastAsia="Times New Roman" w:hAnsi="Arial" w:cs="Arial"/>
                <w:sz w:val="20"/>
                <w:szCs w:val="20"/>
                <w:lang w:eastAsia="cs-CZ"/>
              </w:rPr>
              <w:t>obch</w:t>
            </w:r>
            <w:proofErr w:type="gramEnd"/>
            <w:r w:rsidRPr="00AE51D3">
              <w:rPr>
                <w:rFonts w:ascii="Arial" w:eastAsia="Times New Roman" w:hAnsi="Arial" w:cs="Arial"/>
                <w:sz w:val="20"/>
                <w:szCs w:val="20"/>
                <w:lang w:eastAsia="cs-CZ"/>
              </w:rPr>
              <w:t>.</w:t>
            </w:r>
            <w:proofErr w:type="gramStart"/>
            <w:r w:rsidRPr="00AE51D3">
              <w:rPr>
                <w:rFonts w:ascii="Arial" w:eastAsia="Times New Roman" w:hAnsi="Arial" w:cs="Arial"/>
                <w:sz w:val="20"/>
                <w:szCs w:val="20"/>
                <w:lang w:eastAsia="cs-CZ"/>
              </w:rPr>
              <w:t>spol</w:t>
            </w:r>
            <w:proofErr w:type="spellEnd"/>
            <w:proofErr w:type="gramEnd"/>
            <w:r w:rsidRPr="00AE51D3">
              <w:rPr>
                <w:rFonts w:ascii="Arial" w:eastAsia="Times New Roman" w:hAnsi="Arial" w:cs="Arial"/>
                <w:sz w:val="20"/>
                <w:szCs w:val="20"/>
                <w:lang w:eastAsia="cs-CZ"/>
              </w:rPr>
              <w:t>.</w:t>
            </w:r>
          </w:p>
        </w:tc>
        <w:tc>
          <w:tcPr>
            <w:tcW w:w="975" w:type="dxa"/>
            <w:tcBorders>
              <w:top w:val="nil"/>
              <w:left w:val="nil"/>
              <w:bottom w:val="nil"/>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36 265</w:t>
            </w:r>
          </w:p>
        </w:tc>
        <w:tc>
          <w:tcPr>
            <w:tcW w:w="975" w:type="dxa"/>
            <w:tcBorders>
              <w:top w:val="nil"/>
              <w:left w:val="nil"/>
              <w:bottom w:val="nil"/>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36 737</w:t>
            </w:r>
          </w:p>
        </w:tc>
        <w:tc>
          <w:tcPr>
            <w:tcW w:w="975" w:type="dxa"/>
            <w:tcBorders>
              <w:top w:val="nil"/>
              <w:left w:val="nil"/>
              <w:bottom w:val="nil"/>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36 117</w:t>
            </w:r>
          </w:p>
        </w:tc>
        <w:tc>
          <w:tcPr>
            <w:tcW w:w="2775" w:type="dxa"/>
            <w:tcBorders>
              <w:top w:val="nil"/>
              <w:left w:val="nil"/>
              <w:bottom w:val="nil"/>
              <w:right w:val="single" w:sz="8"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35 297</w:t>
            </w:r>
          </w:p>
        </w:tc>
      </w:tr>
      <w:tr w:rsidR="000845D9" w:rsidRPr="00AE51D3" w:rsidTr="003B652A">
        <w:trPr>
          <w:trHeight w:val="255"/>
        </w:trPr>
        <w:tc>
          <w:tcPr>
            <w:tcW w:w="2620" w:type="dxa"/>
            <w:tcBorders>
              <w:top w:val="nil"/>
              <w:left w:val="single" w:sz="8" w:space="0" w:color="auto"/>
              <w:bottom w:val="nil"/>
              <w:right w:val="single" w:sz="4" w:space="0" w:color="auto"/>
            </w:tcBorders>
            <w:shd w:val="clear" w:color="auto" w:fill="auto"/>
            <w:noWrap/>
            <w:vAlign w:val="bottom"/>
            <w:hideMark/>
          </w:tcPr>
          <w:p w:rsidR="000845D9" w:rsidRPr="00AE51D3" w:rsidRDefault="000845D9" w:rsidP="003B652A">
            <w:pPr>
              <w:spacing w:after="0" w:line="240" w:lineRule="auto"/>
              <w:rPr>
                <w:rFonts w:ascii="Arial" w:eastAsia="Times New Roman" w:hAnsi="Arial" w:cs="Arial"/>
                <w:sz w:val="20"/>
                <w:szCs w:val="20"/>
                <w:lang w:eastAsia="cs-CZ"/>
              </w:rPr>
            </w:pPr>
            <w:r w:rsidRPr="00AE51D3">
              <w:rPr>
                <w:rFonts w:ascii="Arial" w:eastAsia="Times New Roman" w:hAnsi="Arial" w:cs="Arial"/>
                <w:sz w:val="20"/>
                <w:szCs w:val="20"/>
                <w:lang w:eastAsia="cs-CZ"/>
              </w:rPr>
              <w:t xml:space="preserve">město - PO + </w:t>
            </w:r>
            <w:proofErr w:type="spellStart"/>
            <w:proofErr w:type="gramStart"/>
            <w:r w:rsidRPr="00AE51D3">
              <w:rPr>
                <w:rFonts w:ascii="Arial" w:eastAsia="Times New Roman" w:hAnsi="Arial" w:cs="Arial"/>
                <w:sz w:val="20"/>
                <w:szCs w:val="20"/>
                <w:lang w:eastAsia="cs-CZ"/>
              </w:rPr>
              <w:t>obch</w:t>
            </w:r>
            <w:proofErr w:type="gramEnd"/>
            <w:r w:rsidRPr="00AE51D3">
              <w:rPr>
                <w:rFonts w:ascii="Arial" w:eastAsia="Times New Roman" w:hAnsi="Arial" w:cs="Arial"/>
                <w:sz w:val="20"/>
                <w:szCs w:val="20"/>
                <w:lang w:eastAsia="cs-CZ"/>
              </w:rPr>
              <w:t>.</w:t>
            </w:r>
            <w:proofErr w:type="gramStart"/>
            <w:r w:rsidRPr="00AE51D3">
              <w:rPr>
                <w:rFonts w:ascii="Arial" w:eastAsia="Times New Roman" w:hAnsi="Arial" w:cs="Arial"/>
                <w:sz w:val="20"/>
                <w:szCs w:val="20"/>
                <w:lang w:eastAsia="cs-CZ"/>
              </w:rPr>
              <w:t>spol</w:t>
            </w:r>
            <w:proofErr w:type="spellEnd"/>
            <w:proofErr w:type="gramEnd"/>
            <w:r w:rsidRPr="00AE51D3">
              <w:rPr>
                <w:rFonts w:ascii="Arial" w:eastAsia="Times New Roman" w:hAnsi="Arial" w:cs="Arial"/>
                <w:sz w:val="20"/>
                <w:szCs w:val="20"/>
                <w:lang w:eastAsia="cs-CZ"/>
              </w:rPr>
              <w:t>.</w:t>
            </w:r>
          </w:p>
        </w:tc>
        <w:tc>
          <w:tcPr>
            <w:tcW w:w="975" w:type="dxa"/>
            <w:tcBorders>
              <w:top w:val="nil"/>
              <w:left w:val="nil"/>
              <w:bottom w:val="nil"/>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5 611</w:t>
            </w:r>
          </w:p>
        </w:tc>
        <w:tc>
          <w:tcPr>
            <w:tcW w:w="975" w:type="dxa"/>
            <w:tcBorders>
              <w:top w:val="nil"/>
              <w:left w:val="nil"/>
              <w:bottom w:val="nil"/>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6 022</w:t>
            </w:r>
          </w:p>
        </w:tc>
        <w:tc>
          <w:tcPr>
            <w:tcW w:w="975" w:type="dxa"/>
            <w:tcBorders>
              <w:top w:val="nil"/>
              <w:left w:val="nil"/>
              <w:bottom w:val="nil"/>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5 961</w:t>
            </w:r>
          </w:p>
        </w:tc>
        <w:tc>
          <w:tcPr>
            <w:tcW w:w="2775" w:type="dxa"/>
            <w:tcBorders>
              <w:top w:val="nil"/>
              <w:left w:val="nil"/>
              <w:bottom w:val="nil"/>
              <w:right w:val="single" w:sz="8"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5 612</w:t>
            </w:r>
          </w:p>
        </w:tc>
      </w:tr>
      <w:tr w:rsidR="000845D9" w:rsidRPr="00AE51D3" w:rsidTr="003B652A">
        <w:trPr>
          <w:trHeight w:val="255"/>
        </w:trPr>
        <w:tc>
          <w:tcPr>
            <w:tcW w:w="2620" w:type="dxa"/>
            <w:tcBorders>
              <w:top w:val="nil"/>
              <w:left w:val="single" w:sz="8" w:space="0" w:color="auto"/>
              <w:bottom w:val="nil"/>
              <w:right w:val="single" w:sz="4" w:space="0" w:color="auto"/>
            </w:tcBorders>
            <w:shd w:val="clear" w:color="auto" w:fill="auto"/>
            <w:noWrap/>
            <w:vAlign w:val="bottom"/>
            <w:hideMark/>
          </w:tcPr>
          <w:p w:rsidR="000845D9" w:rsidRPr="00AE51D3" w:rsidRDefault="000845D9" w:rsidP="003B652A">
            <w:pPr>
              <w:spacing w:after="0" w:line="240" w:lineRule="auto"/>
              <w:rPr>
                <w:rFonts w:ascii="Arial" w:eastAsia="Times New Roman" w:hAnsi="Arial" w:cs="Arial"/>
                <w:sz w:val="20"/>
                <w:szCs w:val="20"/>
                <w:lang w:eastAsia="cs-CZ"/>
              </w:rPr>
            </w:pPr>
            <w:r w:rsidRPr="00AE51D3">
              <w:rPr>
                <w:rFonts w:ascii="Arial" w:eastAsia="Times New Roman" w:hAnsi="Arial" w:cs="Arial"/>
                <w:sz w:val="20"/>
                <w:szCs w:val="20"/>
                <w:lang w:eastAsia="cs-CZ"/>
              </w:rPr>
              <w:t>JPO, církev</w:t>
            </w:r>
          </w:p>
        </w:tc>
        <w:tc>
          <w:tcPr>
            <w:tcW w:w="975" w:type="dxa"/>
            <w:tcBorders>
              <w:top w:val="nil"/>
              <w:left w:val="nil"/>
              <w:bottom w:val="nil"/>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11 112</w:t>
            </w:r>
          </w:p>
        </w:tc>
        <w:tc>
          <w:tcPr>
            <w:tcW w:w="975" w:type="dxa"/>
            <w:tcBorders>
              <w:top w:val="nil"/>
              <w:left w:val="nil"/>
              <w:bottom w:val="nil"/>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11 476</w:t>
            </w:r>
          </w:p>
        </w:tc>
        <w:tc>
          <w:tcPr>
            <w:tcW w:w="975" w:type="dxa"/>
            <w:tcBorders>
              <w:top w:val="nil"/>
              <w:left w:val="nil"/>
              <w:bottom w:val="nil"/>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12 639</w:t>
            </w:r>
          </w:p>
        </w:tc>
        <w:tc>
          <w:tcPr>
            <w:tcW w:w="2775" w:type="dxa"/>
            <w:tcBorders>
              <w:top w:val="nil"/>
              <w:left w:val="nil"/>
              <w:bottom w:val="nil"/>
              <w:right w:val="single" w:sz="8"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12 143</w:t>
            </w:r>
          </w:p>
        </w:tc>
      </w:tr>
      <w:tr w:rsidR="000845D9" w:rsidRPr="00AE51D3" w:rsidTr="003B652A">
        <w:trPr>
          <w:trHeight w:val="255"/>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rsidR="000845D9" w:rsidRPr="00AE51D3" w:rsidRDefault="000845D9" w:rsidP="003B652A">
            <w:pPr>
              <w:spacing w:after="0" w:line="240" w:lineRule="auto"/>
              <w:rPr>
                <w:rFonts w:ascii="Arial" w:eastAsia="Times New Roman" w:hAnsi="Arial" w:cs="Arial"/>
                <w:sz w:val="20"/>
                <w:szCs w:val="20"/>
                <w:lang w:eastAsia="cs-CZ"/>
              </w:rPr>
            </w:pPr>
            <w:r w:rsidRPr="00AE51D3">
              <w:rPr>
                <w:rFonts w:ascii="Arial" w:eastAsia="Times New Roman" w:hAnsi="Arial" w:cs="Arial"/>
                <w:sz w:val="20"/>
                <w:szCs w:val="20"/>
                <w:lang w:eastAsia="cs-CZ"/>
              </w:rPr>
              <w:t>ostatní centr orgány</w:t>
            </w:r>
          </w:p>
        </w:tc>
        <w:tc>
          <w:tcPr>
            <w:tcW w:w="975" w:type="dxa"/>
            <w:tcBorders>
              <w:top w:val="nil"/>
              <w:left w:val="nil"/>
              <w:bottom w:val="single" w:sz="4" w:space="0" w:color="auto"/>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1 793</w:t>
            </w:r>
          </w:p>
        </w:tc>
        <w:tc>
          <w:tcPr>
            <w:tcW w:w="975" w:type="dxa"/>
            <w:tcBorders>
              <w:top w:val="nil"/>
              <w:left w:val="nil"/>
              <w:bottom w:val="single" w:sz="4" w:space="0" w:color="auto"/>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1 894</w:t>
            </w:r>
          </w:p>
        </w:tc>
        <w:tc>
          <w:tcPr>
            <w:tcW w:w="975" w:type="dxa"/>
            <w:tcBorders>
              <w:top w:val="nil"/>
              <w:left w:val="nil"/>
              <w:bottom w:val="single" w:sz="4" w:space="0" w:color="auto"/>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1 988</w:t>
            </w:r>
          </w:p>
        </w:tc>
        <w:tc>
          <w:tcPr>
            <w:tcW w:w="2775" w:type="dxa"/>
            <w:tcBorders>
              <w:top w:val="nil"/>
              <w:left w:val="nil"/>
              <w:bottom w:val="nil"/>
              <w:right w:val="single" w:sz="8"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1 991</w:t>
            </w:r>
          </w:p>
        </w:tc>
      </w:tr>
      <w:tr w:rsidR="000845D9" w:rsidRPr="00AE51D3" w:rsidTr="003B652A">
        <w:trPr>
          <w:trHeight w:val="270"/>
        </w:trPr>
        <w:tc>
          <w:tcPr>
            <w:tcW w:w="2620" w:type="dxa"/>
            <w:tcBorders>
              <w:top w:val="nil"/>
              <w:left w:val="single" w:sz="8" w:space="0" w:color="auto"/>
              <w:bottom w:val="single" w:sz="8" w:space="0" w:color="auto"/>
              <w:right w:val="single" w:sz="4" w:space="0" w:color="auto"/>
            </w:tcBorders>
            <w:shd w:val="clear" w:color="auto" w:fill="auto"/>
            <w:noWrap/>
            <w:vAlign w:val="bottom"/>
            <w:hideMark/>
          </w:tcPr>
          <w:p w:rsidR="000845D9" w:rsidRPr="00AE51D3" w:rsidRDefault="000845D9" w:rsidP="003B652A">
            <w:pPr>
              <w:spacing w:after="0" w:line="240" w:lineRule="auto"/>
              <w:rPr>
                <w:rFonts w:ascii="Arial" w:eastAsia="Times New Roman" w:hAnsi="Arial" w:cs="Arial"/>
                <w:sz w:val="20"/>
                <w:szCs w:val="20"/>
                <w:lang w:eastAsia="cs-CZ"/>
              </w:rPr>
            </w:pPr>
            <w:r w:rsidRPr="00AE51D3">
              <w:rPr>
                <w:rFonts w:ascii="Arial" w:eastAsia="Times New Roman" w:hAnsi="Arial" w:cs="Arial"/>
                <w:sz w:val="20"/>
                <w:szCs w:val="20"/>
                <w:lang w:eastAsia="cs-CZ"/>
              </w:rPr>
              <w:t>celkem</w:t>
            </w:r>
          </w:p>
        </w:tc>
        <w:tc>
          <w:tcPr>
            <w:tcW w:w="975" w:type="dxa"/>
            <w:tcBorders>
              <w:top w:val="nil"/>
              <w:left w:val="nil"/>
              <w:bottom w:val="single" w:sz="8" w:space="0" w:color="auto"/>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103 811</w:t>
            </w:r>
          </w:p>
        </w:tc>
        <w:tc>
          <w:tcPr>
            <w:tcW w:w="975" w:type="dxa"/>
            <w:tcBorders>
              <w:top w:val="nil"/>
              <w:left w:val="nil"/>
              <w:bottom w:val="single" w:sz="8" w:space="0" w:color="auto"/>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106 575</w:t>
            </w:r>
          </w:p>
        </w:tc>
        <w:tc>
          <w:tcPr>
            <w:tcW w:w="975" w:type="dxa"/>
            <w:tcBorders>
              <w:top w:val="nil"/>
              <w:left w:val="nil"/>
              <w:bottom w:val="single" w:sz="8" w:space="0" w:color="auto"/>
              <w:right w:val="single" w:sz="4"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107 312</w:t>
            </w:r>
          </w:p>
        </w:tc>
        <w:tc>
          <w:tcPr>
            <w:tcW w:w="2775" w:type="dxa"/>
            <w:tcBorders>
              <w:top w:val="single" w:sz="4" w:space="0" w:color="auto"/>
              <w:left w:val="nil"/>
              <w:bottom w:val="single" w:sz="8" w:space="0" w:color="auto"/>
              <w:right w:val="single" w:sz="8" w:space="0" w:color="auto"/>
            </w:tcBorders>
            <w:shd w:val="clear" w:color="auto" w:fill="auto"/>
            <w:noWrap/>
            <w:vAlign w:val="bottom"/>
            <w:hideMark/>
          </w:tcPr>
          <w:p w:rsidR="000845D9" w:rsidRPr="00AE51D3" w:rsidRDefault="000845D9" w:rsidP="003B652A">
            <w:pPr>
              <w:spacing w:after="0" w:line="240" w:lineRule="auto"/>
              <w:jc w:val="right"/>
              <w:rPr>
                <w:rFonts w:ascii="Arial" w:eastAsia="Times New Roman" w:hAnsi="Arial" w:cs="Arial"/>
                <w:sz w:val="20"/>
                <w:szCs w:val="20"/>
                <w:lang w:eastAsia="cs-CZ"/>
              </w:rPr>
            </w:pPr>
            <w:r w:rsidRPr="00AE51D3">
              <w:rPr>
                <w:rFonts w:ascii="Arial" w:eastAsia="Times New Roman" w:hAnsi="Arial" w:cs="Arial"/>
                <w:sz w:val="20"/>
                <w:szCs w:val="20"/>
                <w:lang w:eastAsia="cs-CZ"/>
              </w:rPr>
              <w:t>104 789</w:t>
            </w:r>
          </w:p>
        </w:tc>
      </w:tr>
    </w:tbl>
    <w:p w:rsidR="000845D9" w:rsidRDefault="000845D9" w:rsidP="000845D9">
      <w:pPr>
        <w:spacing w:after="0"/>
        <w:jc w:val="both"/>
      </w:pPr>
      <w:r>
        <w:t xml:space="preserve">Zdroj: ÚZIS, </w:t>
      </w:r>
      <w:proofErr w:type="gramStart"/>
      <w:r>
        <w:t>výkaz E(MZ</w:t>
      </w:r>
      <w:proofErr w:type="gramEnd"/>
      <w:r>
        <w:t>)6-02</w:t>
      </w:r>
    </w:p>
    <w:p w:rsidR="00A02490" w:rsidRPr="003B652A" w:rsidRDefault="000845D9" w:rsidP="00A02490">
      <w:pPr>
        <w:spacing w:after="0"/>
        <w:jc w:val="both"/>
        <w:rPr>
          <w:i/>
        </w:rPr>
      </w:pPr>
      <w:r w:rsidRPr="003B652A">
        <w:rPr>
          <w:i/>
        </w:rPr>
        <w:t>pozn. čísla v textu a tabulce se mohou lišit, neboť a) zdrojem dat v textu je hlášení zdravotních pojišťoven, b) tabulka hovoří o celkových příjmech nemocnic, text o nákladech zdravotních pojišťoven za akutní lůžkovou péči, nikoliv však o výdajích na ambulantní péči v nemocnicích, léčivých přípravcích ve specializovaných centrech atd.</w:t>
      </w:r>
    </w:p>
    <w:p w:rsidR="00A02490" w:rsidRDefault="00A02490" w:rsidP="00A02490">
      <w:pPr>
        <w:pStyle w:val="Nadpis1"/>
        <w:numPr>
          <w:ilvl w:val="0"/>
          <w:numId w:val="0"/>
        </w:numPr>
        <w:ind w:left="432" w:hanging="432"/>
        <w:rPr>
          <w:color w:val="auto"/>
        </w:rPr>
      </w:pPr>
    </w:p>
    <w:p w:rsidR="00A02490" w:rsidRDefault="00A02490" w:rsidP="00A02490"/>
    <w:p w:rsidR="00A02490" w:rsidRDefault="00A02490" w:rsidP="00A02490"/>
    <w:p w:rsidR="00A02490" w:rsidRPr="00A02490" w:rsidRDefault="00A02490" w:rsidP="00A02490"/>
    <w:p w:rsidR="00E979C2" w:rsidRDefault="00E979C2" w:rsidP="00447BFC">
      <w:pPr>
        <w:pStyle w:val="Nadpis1"/>
        <w:rPr>
          <w:color w:val="auto"/>
        </w:rPr>
      </w:pPr>
      <w:bookmarkStart w:id="9" w:name="_Toc384356086"/>
      <w:r>
        <w:rPr>
          <w:color w:val="auto"/>
        </w:rPr>
        <w:t>Ekonomická problematika</w:t>
      </w:r>
      <w:bookmarkEnd w:id="9"/>
    </w:p>
    <w:p w:rsidR="00E979C2" w:rsidRPr="00E979C2" w:rsidRDefault="00E979C2" w:rsidP="00E979C2"/>
    <w:p w:rsidR="00A17188" w:rsidRPr="00E979C2" w:rsidRDefault="006B6B15" w:rsidP="00E979C2">
      <w:pPr>
        <w:pStyle w:val="Nadpis2"/>
        <w:rPr>
          <w:color w:val="auto"/>
        </w:rPr>
      </w:pPr>
      <w:bookmarkStart w:id="10" w:name="_Toc384356087"/>
      <w:r w:rsidRPr="00E979C2">
        <w:rPr>
          <w:color w:val="auto"/>
        </w:rPr>
        <w:t>Kompenzace za zrušené regulační poplatky</w:t>
      </w:r>
      <w:bookmarkEnd w:id="10"/>
    </w:p>
    <w:p w:rsidR="00A17188" w:rsidRPr="008D0EBF" w:rsidRDefault="00A17188" w:rsidP="00A17188"/>
    <w:p w:rsidR="00DE03FC" w:rsidRPr="007A7191" w:rsidRDefault="00DE03FC" w:rsidP="00DE03FC">
      <w:pPr>
        <w:jc w:val="both"/>
        <w:rPr>
          <w:sz w:val="24"/>
          <w:szCs w:val="24"/>
        </w:rPr>
      </w:pPr>
      <w:bookmarkStart w:id="11" w:name="_Toc367188616"/>
      <w:r w:rsidRPr="007A7191">
        <w:rPr>
          <w:sz w:val="24"/>
          <w:szCs w:val="24"/>
        </w:rPr>
        <w:t xml:space="preserve">V roce 2014 musí </w:t>
      </w:r>
      <w:r w:rsidR="00235AA3">
        <w:rPr>
          <w:sz w:val="24"/>
          <w:szCs w:val="24"/>
        </w:rPr>
        <w:t>poskytovatelé lůžkových zdravotních služeb</w:t>
      </w:r>
      <w:r w:rsidRPr="007A7191">
        <w:rPr>
          <w:sz w:val="24"/>
          <w:szCs w:val="24"/>
        </w:rPr>
        <w:t xml:space="preserve"> čelit výpadkům příjmů z důvodu nálezu Ústavního soudu </w:t>
      </w:r>
      <w:proofErr w:type="spellStart"/>
      <w:r w:rsidRPr="007A7191">
        <w:rPr>
          <w:sz w:val="24"/>
          <w:szCs w:val="24"/>
        </w:rPr>
        <w:t>sp</w:t>
      </w:r>
      <w:proofErr w:type="spellEnd"/>
      <w:r w:rsidRPr="007A7191">
        <w:rPr>
          <w:sz w:val="24"/>
          <w:szCs w:val="24"/>
        </w:rPr>
        <w:t xml:space="preserve">. zn. </w:t>
      </w:r>
      <w:proofErr w:type="spellStart"/>
      <w:r w:rsidRPr="007A7191">
        <w:rPr>
          <w:sz w:val="24"/>
          <w:szCs w:val="24"/>
        </w:rPr>
        <w:t>Pl</w:t>
      </w:r>
      <w:proofErr w:type="spellEnd"/>
      <w:r w:rsidRPr="007A7191">
        <w:rPr>
          <w:sz w:val="24"/>
          <w:szCs w:val="24"/>
        </w:rPr>
        <w:t>. ÚS 36/11, kterým došlo ke zrušení regulačního poplatku za hospitalizaci ve výši 100 Kč</w:t>
      </w:r>
      <w:r w:rsidR="000845D9">
        <w:rPr>
          <w:sz w:val="24"/>
          <w:szCs w:val="24"/>
        </w:rPr>
        <w:t xml:space="preserve"> za den</w:t>
      </w:r>
      <w:r w:rsidRPr="007A7191">
        <w:rPr>
          <w:sz w:val="24"/>
          <w:szCs w:val="24"/>
        </w:rPr>
        <w:t>. Celkový dopad na poskytovatele lůžkových zdravotních služeb se odhaduje ve výši cca 2,1 mld. Kč ročně.</w:t>
      </w:r>
      <w:r w:rsidR="005F704A" w:rsidRPr="007A7191">
        <w:rPr>
          <w:sz w:val="24"/>
          <w:szCs w:val="24"/>
        </w:rPr>
        <w:t xml:space="preserve"> Rozložení tohoto dopadu mezi jednotlivé druhy poskytovatelů shrnuje následující tabulka:</w:t>
      </w:r>
    </w:p>
    <w:tbl>
      <w:tblPr>
        <w:tblW w:w="7557" w:type="dxa"/>
        <w:jc w:val="center"/>
        <w:tblInd w:w="4988" w:type="dxa"/>
        <w:tblCellMar>
          <w:left w:w="70" w:type="dxa"/>
          <w:right w:w="70" w:type="dxa"/>
        </w:tblCellMar>
        <w:tblLook w:val="04A0"/>
      </w:tblPr>
      <w:tblGrid>
        <w:gridCol w:w="4848"/>
        <w:gridCol w:w="2709"/>
      </w:tblGrid>
      <w:tr w:rsidR="005F704A" w:rsidRPr="00C92DCB" w:rsidTr="009D3EB9">
        <w:trPr>
          <w:trHeight w:val="300"/>
          <w:jc w:val="center"/>
        </w:trPr>
        <w:tc>
          <w:tcPr>
            <w:tcW w:w="4848" w:type="dxa"/>
            <w:tcBorders>
              <w:top w:val="single" w:sz="4" w:space="0" w:color="auto"/>
              <w:left w:val="single" w:sz="4" w:space="0" w:color="auto"/>
              <w:bottom w:val="single" w:sz="4" w:space="0" w:color="95B3D7"/>
              <w:right w:val="nil"/>
            </w:tcBorders>
            <w:shd w:val="clear" w:color="auto" w:fill="4F81BD"/>
            <w:noWrap/>
            <w:vAlign w:val="bottom"/>
            <w:hideMark/>
          </w:tcPr>
          <w:p w:rsidR="005F704A" w:rsidRPr="00C92DCB" w:rsidRDefault="005F704A" w:rsidP="009D3EB9">
            <w:pPr>
              <w:spacing w:after="120" w:line="240" w:lineRule="auto"/>
              <w:ind w:left="206" w:right="692" w:hanging="17"/>
              <w:jc w:val="both"/>
              <w:rPr>
                <w:rFonts w:cs="Times New Roman"/>
                <w:b/>
                <w:bCs/>
                <w:noProof/>
                <w:color w:val="FFFFFF"/>
                <w:sz w:val="24"/>
                <w:szCs w:val="24"/>
              </w:rPr>
            </w:pPr>
            <w:r w:rsidRPr="00C92DCB">
              <w:rPr>
                <w:rFonts w:cs="Times New Roman"/>
                <w:b/>
                <w:bCs/>
                <w:color w:val="FFFFFF"/>
                <w:sz w:val="24"/>
                <w:szCs w:val="24"/>
              </w:rPr>
              <w:t>typ zařízení</w:t>
            </w:r>
          </w:p>
        </w:tc>
        <w:tc>
          <w:tcPr>
            <w:tcW w:w="2709" w:type="dxa"/>
            <w:tcBorders>
              <w:top w:val="single" w:sz="4" w:space="0" w:color="auto"/>
              <w:left w:val="nil"/>
              <w:bottom w:val="single" w:sz="4" w:space="0" w:color="95B3D7"/>
              <w:right w:val="single" w:sz="4" w:space="0" w:color="auto"/>
            </w:tcBorders>
            <w:shd w:val="clear" w:color="auto" w:fill="4F81BD"/>
            <w:noWrap/>
            <w:vAlign w:val="bottom"/>
            <w:hideMark/>
          </w:tcPr>
          <w:p w:rsidR="005F704A" w:rsidRPr="00C92DCB" w:rsidRDefault="005F704A" w:rsidP="009D3EB9">
            <w:pPr>
              <w:spacing w:after="120" w:line="240" w:lineRule="auto"/>
              <w:jc w:val="center"/>
              <w:rPr>
                <w:rFonts w:cs="Times New Roman"/>
                <w:b/>
                <w:bCs/>
                <w:noProof/>
                <w:color w:val="FFFFFF"/>
                <w:sz w:val="24"/>
                <w:szCs w:val="24"/>
              </w:rPr>
            </w:pPr>
            <w:r w:rsidRPr="00C92DCB">
              <w:rPr>
                <w:rFonts w:cs="Times New Roman"/>
                <w:b/>
                <w:bCs/>
                <w:color w:val="FFFFFF"/>
                <w:sz w:val="24"/>
                <w:szCs w:val="24"/>
              </w:rPr>
              <w:t>ztráta</w:t>
            </w:r>
          </w:p>
        </w:tc>
      </w:tr>
      <w:tr w:rsidR="005F704A" w:rsidRPr="00C92DCB" w:rsidTr="009D3EB9">
        <w:trPr>
          <w:trHeight w:val="300"/>
          <w:jc w:val="center"/>
        </w:trPr>
        <w:tc>
          <w:tcPr>
            <w:tcW w:w="4848" w:type="dxa"/>
            <w:tcBorders>
              <w:top w:val="single" w:sz="4" w:space="0" w:color="95B3D7"/>
              <w:left w:val="single" w:sz="4" w:space="0" w:color="auto"/>
              <w:bottom w:val="single" w:sz="4" w:space="0" w:color="95B3D7"/>
              <w:right w:val="nil"/>
            </w:tcBorders>
            <w:shd w:val="clear" w:color="auto" w:fill="DCE6F1"/>
            <w:noWrap/>
            <w:vAlign w:val="bottom"/>
            <w:hideMark/>
          </w:tcPr>
          <w:p w:rsidR="005F704A" w:rsidRPr="00C92DCB" w:rsidRDefault="005F704A" w:rsidP="009D3EB9">
            <w:pPr>
              <w:spacing w:after="0" w:line="240" w:lineRule="auto"/>
              <w:jc w:val="both"/>
              <w:rPr>
                <w:rFonts w:cs="Times New Roman"/>
                <w:noProof/>
                <w:color w:val="000000"/>
                <w:sz w:val="24"/>
                <w:szCs w:val="24"/>
              </w:rPr>
            </w:pPr>
            <w:r w:rsidRPr="00C92DCB">
              <w:rPr>
                <w:rFonts w:cs="Times New Roman"/>
                <w:sz w:val="24"/>
                <w:szCs w:val="24"/>
              </w:rPr>
              <w:t>Fakultní nemocnice</w:t>
            </w:r>
          </w:p>
        </w:tc>
        <w:tc>
          <w:tcPr>
            <w:tcW w:w="2709" w:type="dxa"/>
            <w:tcBorders>
              <w:top w:val="single" w:sz="4" w:space="0" w:color="95B3D7"/>
              <w:left w:val="nil"/>
              <w:bottom w:val="single" w:sz="4" w:space="0" w:color="95B3D7"/>
              <w:right w:val="single" w:sz="4" w:space="0" w:color="auto"/>
            </w:tcBorders>
            <w:shd w:val="clear" w:color="auto" w:fill="DCE6F1"/>
            <w:noWrap/>
            <w:vAlign w:val="bottom"/>
            <w:hideMark/>
          </w:tcPr>
          <w:p w:rsidR="005F704A" w:rsidRPr="00C92DCB" w:rsidRDefault="005F704A" w:rsidP="009D3EB9">
            <w:pPr>
              <w:spacing w:after="0" w:line="240" w:lineRule="auto"/>
              <w:jc w:val="right"/>
              <w:rPr>
                <w:rFonts w:cs="Times New Roman"/>
                <w:noProof/>
                <w:color w:val="000000"/>
                <w:sz w:val="24"/>
                <w:szCs w:val="24"/>
              </w:rPr>
            </w:pPr>
            <w:r w:rsidRPr="00C92DCB">
              <w:rPr>
                <w:rFonts w:cs="Times New Roman"/>
                <w:sz w:val="24"/>
                <w:szCs w:val="24"/>
              </w:rPr>
              <w:t>319 244 300 Kč</w:t>
            </w:r>
          </w:p>
        </w:tc>
      </w:tr>
      <w:tr w:rsidR="005F704A" w:rsidRPr="00C92DCB" w:rsidTr="009D3EB9">
        <w:trPr>
          <w:trHeight w:val="300"/>
          <w:jc w:val="center"/>
        </w:trPr>
        <w:tc>
          <w:tcPr>
            <w:tcW w:w="4848" w:type="dxa"/>
            <w:tcBorders>
              <w:top w:val="single" w:sz="4" w:space="0" w:color="95B3D7"/>
              <w:left w:val="single" w:sz="4" w:space="0" w:color="auto"/>
              <w:bottom w:val="single" w:sz="4" w:space="0" w:color="95B3D7"/>
              <w:right w:val="nil"/>
            </w:tcBorders>
            <w:noWrap/>
            <w:vAlign w:val="bottom"/>
            <w:hideMark/>
          </w:tcPr>
          <w:p w:rsidR="005F704A" w:rsidRPr="00C92DCB" w:rsidRDefault="005F704A" w:rsidP="009D3EB9">
            <w:pPr>
              <w:spacing w:after="0" w:line="240" w:lineRule="auto"/>
              <w:jc w:val="both"/>
              <w:rPr>
                <w:rFonts w:cs="Times New Roman"/>
                <w:noProof/>
                <w:color w:val="000000"/>
                <w:sz w:val="24"/>
                <w:szCs w:val="24"/>
              </w:rPr>
            </w:pPr>
            <w:r w:rsidRPr="00C92DCB">
              <w:rPr>
                <w:rFonts w:cs="Times New Roman"/>
                <w:sz w:val="24"/>
                <w:szCs w:val="24"/>
              </w:rPr>
              <w:t>Nemocnice</w:t>
            </w:r>
          </w:p>
        </w:tc>
        <w:tc>
          <w:tcPr>
            <w:tcW w:w="2709" w:type="dxa"/>
            <w:tcBorders>
              <w:top w:val="single" w:sz="4" w:space="0" w:color="95B3D7"/>
              <w:left w:val="nil"/>
              <w:bottom w:val="single" w:sz="4" w:space="0" w:color="95B3D7"/>
              <w:right w:val="single" w:sz="4" w:space="0" w:color="auto"/>
            </w:tcBorders>
            <w:noWrap/>
            <w:vAlign w:val="bottom"/>
            <w:hideMark/>
          </w:tcPr>
          <w:p w:rsidR="005F704A" w:rsidRPr="00C92DCB" w:rsidRDefault="005F704A" w:rsidP="009D3EB9">
            <w:pPr>
              <w:spacing w:after="0" w:line="240" w:lineRule="auto"/>
              <w:jc w:val="right"/>
              <w:rPr>
                <w:rFonts w:cs="Times New Roman"/>
                <w:noProof/>
                <w:color w:val="000000"/>
                <w:sz w:val="24"/>
                <w:szCs w:val="24"/>
              </w:rPr>
            </w:pPr>
            <w:r w:rsidRPr="00C92DCB">
              <w:rPr>
                <w:rFonts w:cs="Times New Roman"/>
                <w:sz w:val="24"/>
                <w:szCs w:val="24"/>
              </w:rPr>
              <w:t>1 015 528 700 Kč</w:t>
            </w:r>
          </w:p>
        </w:tc>
      </w:tr>
      <w:tr w:rsidR="005F704A" w:rsidRPr="00C92DCB" w:rsidTr="009D3EB9">
        <w:trPr>
          <w:trHeight w:val="300"/>
          <w:jc w:val="center"/>
        </w:trPr>
        <w:tc>
          <w:tcPr>
            <w:tcW w:w="4848" w:type="dxa"/>
            <w:tcBorders>
              <w:top w:val="single" w:sz="4" w:space="0" w:color="95B3D7"/>
              <w:left w:val="single" w:sz="4" w:space="0" w:color="auto"/>
              <w:bottom w:val="single" w:sz="4" w:space="0" w:color="95B3D7"/>
              <w:right w:val="nil"/>
            </w:tcBorders>
            <w:shd w:val="clear" w:color="auto" w:fill="DCE6F1"/>
            <w:noWrap/>
            <w:vAlign w:val="bottom"/>
            <w:hideMark/>
          </w:tcPr>
          <w:p w:rsidR="005F704A" w:rsidRPr="00C92DCB" w:rsidRDefault="005F704A" w:rsidP="009D3EB9">
            <w:pPr>
              <w:spacing w:after="0" w:line="240" w:lineRule="auto"/>
              <w:jc w:val="both"/>
              <w:rPr>
                <w:rFonts w:cs="Times New Roman"/>
                <w:noProof/>
                <w:color w:val="000000"/>
                <w:sz w:val="24"/>
                <w:szCs w:val="24"/>
              </w:rPr>
            </w:pPr>
            <w:r w:rsidRPr="00C92DCB">
              <w:rPr>
                <w:rFonts w:cs="Times New Roman"/>
                <w:sz w:val="24"/>
                <w:szCs w:val="24"/>
              </w:rPr>
              <w:t>Nemocnice následné péče</w:t>
            </w:r>
          </w:p>
        </w:tc>
        <w:tc>
          <w:tcPr>
            <w:tcW w:w="2709" w:type="dxa"/>
            <w:tcBorders>
              <w:top w:val="single" w:sz="4" w:space="0" w:color="95B3D7"/>
              <w:left w:val="nil"/>
              <w:bottom w:val="single" w:sz="4" w:space="0" w:color="95B3D7"/>
              <w:right w:val="single" w:sz="4" w:space="0" w:color="auto"/>
            </w:tcBorders>
            <w:shd w:val="clear" w:color="auto" w:fill="DCE6F1"/>
            <w:noWrap/>
            <w:vAlign w:val="bottom"/>
            <w:hideMark/>
          </w:tcPr>
          <w:p w:rsidR="005F704A" w:rsidRPr="00C92DCB" w:rsidRDefault="005F704A" w:rsidP="009D3EB9">
            <w:pPr>
              <w:spacing w:after="0" w:line="240" w:lineRule="auto"/>
              <w:jc w:val="right"/>
              <w:rPr>
                <w:rFonts w:cs="Times New Roman"/>
                <w:noProof/>
                <w:color w:val="000000"/>
                <w:sz w:val="24"/>
                <w:szCs w:val="24"/>
              </w:rPr>
            </w:pPr>
            <w:r w:rsidRPr="00C92DCB">
              <w:rPr>
                <w:rFonts w:cs="Times New Roman"/>
                <w:sz w:val="24"/>
                <w:szCs w:val="24"/>
              </w:rPr>
              <w:t>77 684 900 Kč</w:t>
            </w:r>
          </w:p>
        </w:tc>
      </w:tr>
      <w:tr w:rsidR="005F704A" w:rsidRPr="00C92DCB" w:rsidTr="009D3EB9">
        <w:trPr>
          <w:trHeight w:val="300"/>
          <w:jc w:val="center"/>
        </w:trPr>
        <w:tc>
          <w:tcPr>
            <w:tcW w:w="4848" w:type="dxa"/>
            <w:tcBorders>
              <w:top w:val="single" w:sz="4" w:space="0" w:color="95B3D7"/>
              <w:left w:val="single" w:sz="4" w:space="0" w:color="auto"/>
              <w:bottom w:val="single" w:sz="4" w:space="0" w:color="95B3D7"/>
              <w:right w:val="nil"/>
            </w:tcBorders>
            <w:noWrap/>
            <w:vAlign w:val="bottom"/>
            <w:hideMark/>
          </w:tcPr>
          <w:p w:rsidR="005F704A" w:rsidRPr="00C92DCB" w:rsidRDefault="005F704A" w:rsidP="009D3EB9">
            <w:pPr>
              <w:spacing w:after="0" w:line="240" w:lineRule="auto"/>
              <w:jc w:val="both"/>
              <w:rPr>
                <w:rFonts w:cs="Times New Roman"/>
                <w:noProof/>
                <w:color w:val="000000"/>
                <w:sz w:val="24"/>
                <w:szCs w:val="24"/>
              </w:rPr>
            </w:pPr>
            <w:r w:rsidRPr="00C92DCB">
              <w:rPr>
                <w:rFonts w:cs="Times New Roman"/>
                <w:sz w:val="24"/>
                <w:szCs w:val="24"/>
              </w:rPr>
              <w:t>Léčebna pro dlouhodobě nemocné (LDN)</w:t>
            </w:r>
          </w:p>
        </w:tc>
        <w:tc>
          <w:tcPr>
            <w:tcW w:w="2709" w:type="dxa"/>
            <w:tcBorders>
              <w:top w:val="single" w:sz="4" w:space="0" w:color="95B3D7"/>
              <w:left w:val="nil"/>
              <w:bottom w:val="single" w:sz="4" w:space="0" w:color="95B3D7"/>
              <w:right w:val="single" w:sz="4" w:space="0" w:color="auto"/>
            </w:tcBorders>
            <w:noWrap/>
            <w:vAlign w:val="bottom"/>
            <w:hideMark/>
          </w:tcPr>
          <w:p w:rsidR="005F704A" w:rsidRPr="00C92DCB" w:rsidRDefault="005F704A" w:rsidP="009D3EB9">
            <w:pPr>
              <w:spacing w:after="0" w:line="240" w:lineRule="auto"/>
              <w:jc w:val="right"/>
              <w:rPr>
                <w:rFonts w:cs="Times New Roman"/>
                <w:noProof/>
                <w:color w:val="000000"/>
                <w:sz w:val="24"/>
                <w:szCs w:val="24"/>
              </w:rPr>
            </w:pPr>
            <w:r w:rsidRPr="00C92DCB">
              <w:rPr>
                <w:rFonts w:cs="Times New Roman"/>
                <w:sz w:val="24"/>
                <w:szCs w:val="24"/>
              </w:rPr>
              <w:t>219 562 800 Kč</w:t>
            </w:r>
          </w:p>
        </w:tc>
      </w:tr>
      <w:tr w:rsidR="005F704A" w:rsidRPr="00C92DCB" w:rsidTr="009D3EB9">
        <w:trPr>
          <w:trHeight w:val="300"/>
          <w:jc w:val="center"/>
        </w:trPr>
        <w:tc>
          <w:tcPr>
            <w:tcW w:w="4848" w:type="dxa"/>
            <w:tcBorders>
              <w:top w:val="single" w:sz="4" w:space="0" w:color="95B3D7"/>
              <w:left w:val="single" w:sz="4" w:space="0" w:color="auto"/>
              <w:bottom w:val="single" w:sz="4" w:space="0" w:color="95B3D7"/>
              <w:right w:val="nil"/>
            </w:tcBorders>
            <w:shd w:val="clear" w:color="auto" w:fill="DCE6F1"/>
            <w:noWrap/>
            <w:vAlign w:val="bottom"/>
            <w:hideMark/>
          </w:tcPr>
          <w:p w:rsidR="005F704A" w:rsidRPr="00C92DCB" w:rsidRDefault="005F704A" w:rsidP="009D3EB9">
            <w:pPr>
              <w:spacing w:after="0" w:line="240" w:lineRule="auto"/>
              <w:jc w:val="both"/>
              <w:rPr>
                <w:rFonts w:cs="Times New Roman"/>
                <w:noProof/>
                <w:color w:val="000000"/>
                <w:sz w:val="24"/>
                <w:szCs w:val="24"/>
              </w:rPr>
            </w:pPr>
            <w:r w:rsidRPr="00C92DCB">
              <w:rPr>
                <w:rFonts w:cs="Times New Roman"/>
                <w:sz w:val="24"/>
                <w:szCs w:val="24"/>
              </w:rPr>
              <w:t xml:space="preserve">Léčebna </w:t>
            </w:r>
            <w:proofErr w:type="gramStart"/>
            <w:r w:rsidRPr="00C92DCB">
              <w:rPr>
                <w:rFonts w:cs="Times New Roman"/>
                <w:sz w:val="24"/>
                <w:szCs w:val="24"/>
              </w:rPr>
              <w:t>tuberkul. a respir</w:t>
            </w:r>
            <w:proofErr w:type="gramEnd"/>
            <w:r w:rsidRPr="00C92DCB">
              <w:rPr>
                <w:rFonts w:cs="Times New Roman"/>
                <w:sz w:val="24"/>
                <w:szCs w:val="24"/>
              </w:rPr>
              <w:t>. nemocí (TRN)</w:t>
            </w:r>
          </w:p>
        </w:tc>
        <w:tc>
          <w:tcPr>
            <w:tcW w:w="2709" w:type="dxa"/>
            <w:tcBorders>
              <w:top w:val="single" w:sz="4" w:space="0" w:color="95B3D7"/>
              <w:left w:val="nil"/>
              <w:bottom w:val="single" w:sz="4" w:space="0" w:color="95B3D7"/>
              <w:right w:val="single" w:sz="4" w:space="0" w:color="auto"/>
            </w:tcBorders>
            <w:shd w:val="clear" w:color="auto" w:fill="DCE6F1"/>
            <w:noWrap/>
            <w:vAlign w:val="bottom"/>
            <w:hideMark/>
          </w:tcPr>
          <w:p w:rsidR="005F704A" w:rsidRPr="00C92DCB" w:rsidRDefault="005F704A" w:rsidP="009D3EB9">
            <w:pPr>
              <w:spacing w:after="0" w:line="240" w:lineRule="auto"/>
              <w:jc w:val="right"/>
              <w:rPr>
                <w:rFonts w:cs="Times New Roman"/>
                <w:noProof/>
                <w:color w:val="000000"/>
                <w:sz w:val="24"/>
                <w:szCs w:val="24"/>
              </w:rPr>
            </w:pPr>
            <w:r w:rsidRPr="00C92DCB">
              <w:rPr>
                <w:rFonts w:cs="Times New Roman"/>
                <w:sz w:val="24"/>
                <w:szCs w:val="24"/>
              </w:rPr>
              <w:t>14 152 300 Kč</w:t>
            </w:r>
          </w:p>
        </w:tc>
      </w:tr>
      <w:tr w:rsidR="005F704A" w:rsidRPr="00C92DCB" w:rsidTr="009D3EB9">
        <w:trPr>
          <w:trHeight w:val="300"/>
          <w:jc w:val="center"/>
        </w:trPr>
        <w:tc>
          <w:tcPr>
            <w:tcW w:w="4848" w:type="dxa"/>
            <w:tcBorders>
              <w:top w:val="single" w:sz="4" w:space="0" w:color="95B3D7"/>
              <w:left w:val="single" w:sz="4" w:space="0" w:color="auto"/>
              <w:bottom w:val="single" w:sz="4" w:space="0" w:color="95B3D7"/>
              <w:right w:val="nil"/>
            </w:tcBorders>
            <w:noWrap/>
            <w:vAlign w:val="bottom"/>
            <w:hideMark/>
          </w:tcPr>
          <w:p w:rsidR="005F704A" w:rsidRPr="00C92DCB" w:rsidRDefault="005F704A" w:rsidP="009D3EB9">
            <w:pPr>
              <w:spacing w:after="0" w:line="240" w:lineRule="auto"/>
              <w:jc w:val="both"/>
              <w:rPr>
                <w:rFonts w:cs="Times New Roman"/>
                <w:noProof/>
                <w:color w:val="000000"/>
                <w:sz w:val="24"/>
                <w:szCs w:val="24"/>
              </w:rPr>
            </w:pPr>
            <w:r w:rsidRPr="00C92DCB">
              <w:rPr>
                <w:rFonts w:cs="Times New Roman"/>
                <w:sz w:val="24"/>
                <w:szCs w:val="24"/>
              </w:rPr>
              <w:t>Psychiatrická léčebna</w:t>
            </w:r>
          </w:p>
        </w:tc>
        <w:tc>
          <w:tcPr>
            <w:tcW w:w="2709" w:type="dxa"/>
            <w:tcBorders>
              <w:top w:val="single" w:sz="4" w:space="0" w:color="95B3D7"/>
              <w:left w:val="nil"/>
              <w:bottom w:val="single" w:sz="4" w:space="0" w:color="95B3D7"/>
              <w:right w:val="single" w:sz="4" w:space="0" w:color="auto"/>
            </w:tcBorders>
            <w:noWrap/>
            <w:vAlign w:val="bottom"/>
            <w:hideMark/>
          </w:tcPr>
          <w:p w:rsidR="005F704A" w:rsidRPr="00C92DCB" w:rsidRDefault="005F704A" w:rsidP="009D3EB9">
            <w:pPr>
              <w:spacing w:after="0" w:line="240" w:lineRule="auto"/>
              <w:jc w:val="right"/>
              <w:rPr>
                <w:rFonts w:cs="Times New Roman"/>
                <w:noProof/>
                <w:color w:val="000000"/>
                <w:sz w:val="24"/>
                <w:szCs w:val="24"/>
              </w:rPr>
            </w:pPr>
            <w:r w:rsidRPr="00C92DCB">
              <w:rPr>
                <w:rFonts w:cs="Times New Roman"/>
                <w:sz w:val="24"/>
                <w:szCs w:val="24"/>
              </w:rPr>
              <w:t>334 931 300 Kč</w:t>
            </w:r>
          </w:p>
        </w:tc>
      </w:tr>
      <w:tr w:rsidR="005F704A" w:rsidRPr="00C92DCB" w:rsidTr="009D3EB9">
        <w:trPr>
          <w:trHeight w:val="300"/>
          <w:jc w:val="center"/>
        </w:trPr>
        <w:tc>
          <w:tcPr>
            <w:tcW w:w="4848" w:type="dxa"/>
            <w:tcBorders>
              <w:top w:val="single" w:sz="4" w:space="0" w:color="95B3D7"/>
              <w:left w:val="single" w:sz="4" w:space="0" w:color="auto"/>
              <w:bottom w:val="single" w:sz="4" w:space="0" w:color="95B3D7"/>
              <w:right w:val="nil"/>
            </w:tcBorders>
            <w:shd w:val="clear" w:color="auto" w:fill="DCE6F1"/>
            <w:noWrap/>
            <w:vAlign w:val="bottom"/>
            <w:hideMark/>
          </w:tcPr>
          <w:p w:rsidR="005F704A" w:rsidRPr="00C92DCB" w:rsidRDefault="005F704A" w:rsidP="009D3EB9">
            <w:pPr>
              <w:spacing w:after="0" w:line="240" w:lineRule="auto"/>
              <w:jc w:val="both"/>
              <w:rPr>
                <w:rFonts w:cs="Times New Roman"/>
                <w:noProof/>
                <w:color w:val="000000"/>
                <w:sz w:val="24"/>
                <w:szCs w:val="24"/>
              </w:rPr>
            </w:pPr>
            <w:r w:rsidRPr="00C92DCB">
              <w:rPr>
                <w:rFonts w:cs="Times New Roman"/>
                <w:sz w:val="24"/>
                <w:szCs w:val="24"/>
              </w:rPr>
              <w:t>Rehabilitační ústav</w:t>
            </w:r>
          </w:p>
        </w:tc>
        <w:tc>
          <w:tcPr>
            <w:tcW w:w="2709" w:type="dxa"/>
            <w:tcBorders>
              <w:top w:val="single" w:sz="4" w:space="0" w:color="95B3D7"/>
              <w:left w:val="nil"/>
              <w:bottom w:val="single" w:sz="4" w:space="0" w:color="95B3D7"/>
              <w:right w:val="single" w:sz="4" w:space="0" w:color="auto"/>
            </w:tcBorders>
            <w:shd w:val="clear" w:color="auto" w:fill="DCE6F1"/>
            <w:noWrap/>
            <w:vAlign w:val="bottom"/>
            <w:hideMark/>
          </w:tcPr>
          <w:p w:rsidR="005F704A" w:rsidRPr="00C92DCB" w:rsidRDefault="005F704A" w:rsidP="009D3EB9">
            <w:pPr>
              <w:spacing w:after="0" w:line="240" w:lineRule="auto"/>
              <w:jc w:val="right"/>
              <w:rPr>
                <w:rFonts w:cs="Times New Roman"/>
                <w:noProof/>
                <w:color w:val="000000"/>
                <w:sz w:val="24"/>
                <w:szCs w:val="24"/>
              </w:rPr>
            </w:pPr>
            <w:r w:rsidRPr="00C92DCB">
              <w:rPr>
                <w:rFonts w:cs="Times New Roman"/>
                <w:sz w:val="24"/>
                <w:szCs w:val="24"/>
              </w:rPr>
              <w:t>39 437 700 Kč</w:t>
            </w:r>
          </w:p>
        </w:tc>
      </w:tr>
      <w:tr w:rsidR="005F704A" w:rsidRPr="00C92DCB" w:rsidTr="009D3EB9">
        <w:trPr>
          <w:trHeight w:val="300"/>
          <w:jc w:val="center"/>
        </w:trPr>
        <w:tc>
          <w:tcPr>
            <w:tcW w:w="4848" w:type="dxa"/>
            <w:tcBorders>
              <w:top w:val="single" w:sz="4" w:space="0" w:color="95B3D7"/>
              <w:left w:val="single" w:sz="4" w:space="0" w:color="auto"/>
              <w:bottom w:val="single" w:sz="4" w:space="0" w:color="95B3D7"/>
              <w:right w:val="nil"/>
            </w:tcBorders>
            <w:noWrap/>
            <w:vAlign w:val="bottom"/>
            <w:hideMark/>
          </w:tcPr>
          <w:p w:rsidR="005F704A" w:rsidRPr="00C92DCB" w:rsidRDefault="005F704A" w:rsidP="009D3EB9">
            <w:pPr>
              <w:spacing w:after="0" w:line="240" w:lineRule="auto"/>
              <w:jc w:val="both"/>
              <w:rPr>
                <w:rFonts w:cs="Times New Roman"/>
                <w:noProof/>
                <w:color w:val="000000"/>
                <w:sz w:val="24"/>
                <w:szCs w:val="24"/>
              </w:rPr>
            </w:pPr>
            <w:r w:rsidRPr="00C92DCB">
              <w:rPr>
                <w:rFonts w:cs="Times New Roman"/>
                <w:sz w:val="24"/>
                <w:szCs w:val="24"/>
              </w:rPr>
              <w:t>Ostatní odborné léčebné ústavy</w:t>
            </w:r>
          </w:p>
        </w:tc>
        <w:tc>
          <w:tcPr>
            <w:tcW w:w="2709" w:type="dxa"/>
            <w:tcBorders>
              <w:top w:val="single" w:sz="4" w:space="0" w:color="95B3D7"/>
              <w:left w:val="nil"/>
              <w:bottom w:val="single" w:sz="4" w:space="0" w:color="95B3D7"/>
              <w:right w:val="single" w:sz="4" w:space="0" w:color="auto"/>
            </w:tcBorders>
            <w:noWrap/>
            <w:vAlign w:val="bottom"/>
            <w:hideMark/>
          </w:tcPr>
          <w:p w:rsidR="005F704A" w:rsidRPr="00C92DCB" w:rsidRDefault="005F704A" w:rsidP="009D3EB9">
            <w:pPr>
              <w:spacing w:after="0" w:line="240" w:lineRule="auto"/>
              <w:jc w:val="right"/>
              <w:rPr>
                <w:rFonts w:cs="Times New Roman"/>
                <w:noProof/>
                <w:color w:val="000000"/>
                <w:sz w:val="24"/>
                <w:szCs w:val="24"/>
              </w:rPr>
            </w:pPr>
            <w:r w:rsidRPr="00C92DCB">
              <w:rPr>
                <w:rFonts w:cs="Times New Roman"/>
                <w:sz w:val="24"/>
                <w:szCs w:val="24"/>
              </w:rPr>
              <w:t>53 818 500 Kč</w:t>
            </w:r>
          </w:p>
        </w:tc>
      </w:tr>
      <w:tr w:rsidR="005F704A" w:rsidRPr="00C92DCB" w:rsidTr="009D3EB9">
        <w:trPr>
          <w:trHeight w:val="300"/>
          <w:jc w:val="center"/>
        </w:trPr>
        <w:tc>
          <w:tcPr>
            <w:tcW w:w="4848" w:type="dxa"/>
            <w:tcBorders>
              <w:top w:val="single" w:sz="4" w:space="0" w:color="95B3D7"/>
              <w:left w:val="single" w:sz="4" w:space="0" w:color="auto"/>
              <w:bottom w:val="single" w:sz="4" w:space="0" w:color="95B3D7"/>
              <w:right w:val="nil"/>
            </w:tcBorders>
            <w:shd w:val="clear" w:color="auto" w:fill="DCE6F1"/>
            <w:noWrap/>
            <w:vAlign w:val="bottom"/>
            <w:hideMark/>
          </w:tcPr>
          <w:p w:rsidR="005F704A" w:rsidRPr="00C92DCB" w:rsidRDefault="005F704A" w:rsidP="009D3EB9">
            <w:pPr>
              <w:spacing w:after="0" w:line="240" w:lineRule="auto"/>
              <w:jc w:val="both"/>
              <w:rPr>
                <w:rFonts w:cs="Times New Roman"/>
                <w:noProof/>
                <w:color w:val="000000"/>
                <w:sz w:val="24"/>
                <w:szCs w:val="24"/>
              </w:rPr>
            </w:pPr>
            <w:r w:rsidRPr="00C92DCB">
              <w:rPr>
                <w:rFonts w:cs="Times New Roman"/>
                <w:sz w:val="24"/>
                <w:szCs w:val="24"/>
              </w:rPr>
              <w:t>Dětská psychiatrická léčebna</w:t>
            </w:r>
          </w:p>
        </w:tc>
        <w:tc>
          <w:tcPr>
            <w:tcW w:w="2709" w:type="dxa"/>
            <w:tcBorders>
              <w:top w:val="single" w:sz="4" w:space="0" w:color="95B3D7"/>
              <w:left w:val="nil"/>
              <w:bottom w:val="single" w:sz="4" w:space="0" w:color="95B3D7"/>
              <w:right w:val="single" w:sz="4" w:space="0" w:color="auto"/>
            </w:tcBorders>
            <w:shd w:val="clear" w:color="auto" w:fill="DCE6F1"/>
            <w:noWrap/>
            <w:vAlign w:val="bottom"/>
            <w:hideMark/>
          </w:tcPr>
          <w:p w:rsidR="005F704A" w:rsidRPr="00C92DCB" w:rsidRDefault="005F704A" w:rsidP="009D3EB9">
            <w:pPr>
              <w:spacing w:after="0" w:line="240" w:lineRule="auto"/>
              <w:jc w:val="right"/>
              <w:rPr>
                <w:rFonts w:cs="Times New Roman"/>
                <w:noProof/>
                <w:color w:val="000000"/>
                <w:sz w:val="24"/>
                <w:szCs w:val="24"/>
              </w:rPr>
            </w:pPr>
            <w:r w:rsidRPr="00C92DCB">
              <w:rPr>
                <w:rFonts w:cs="Times New Roman"/>
                <w:sz w:val="24"/>
                <w:szCs w:val="24"/>
              </w:rPr>
              <w:t>7 274 300 Kč</w:t>
            </w:r>
          </w:p>
        </w:tc>
      </w:tr>
      <w:tr w:rsidR="005F704A" w:rsidRPr="00C92DCB" w:rsidTr="009D3EB9">
        <w:trPr>
          <w:trHeight w:val="300"/>
          <w:jc w:val="center"/>
        </w:trPr>
        <w:tc>
          <w:tcPr>
            <w:tcW w:w="4848" w:type="dxa"/>
            <w:tcBorders>
              <w:top w:val="single" w:sz="4" w:space="0" w:color="95B3D7"/>
              <w:left w:val="single" w:sz="4" w:space="0" w:color="auto"/>
              <w:bottom w:val="single" w:sz="4" w:space="0" w:color="95B3D7"/>
              <w:right w:val="nil"/>
            </w:tcBorders>
            <w:noWrap/>
            <w:vAlign w:val="bottom"/>
            <w:hideMark/>
          </w:tcPr>
          <w:p w:rsidR="005F704A" w:rsidRPr="00C92DCB" w:rsidRDefault="005F704A" w:rsidP="009D3EB9">
            <w:pPr>
              <w:spacing w:after="0" w:line="240" w:lineRule="auto"/>
              <w:jc w:val="both"/>
              <w:rPr>
                <w:rFonts w:cs="Times New Roman"/>
                <w:noProof/>
                <w:color w:val="000000"/>
                <w:sz w:val="24"/>
                <w:szCs w:val="24"/>
              </w:rPr>
            </w:pPr>
            <w:r w:rsidRPr="00C92DCB">
              <w:rPr>
                <w:rFonts w:cs="Times New Roman"/>
                <w:sz w:val="24"/>
                <w:szCs w:val="24"/>
              </w:rPr>
              <w:t>Ostatní dětské odborné léčebné ústavy</w:t>
            </w:r>
          </w:p>
        </w:tc>
        <w:tc>
          <w:tcPr>
            <w:tcW w:w="2709" w:type="dxa"/>
            <w:tcBorders>
              <w:top w:val="single" w:sz="4" w:space="0" w:color="95B3D7"/>
              <w:left w:val="nil"/>
              <w:bottom w:val="single" w:sz="4" w:space="0" w:color="95B3D7"/>
              <w:right w:val="single" w:sz="4" w:space="0" w:color="auto"/>
            </w:tcBorders>
            <w:noWrap/>
            <w:vAlign w:val="bottom"/>
            <w:hideMark/>
          </w:tcPr>
          <w:p w:rsidR="005F704A" w:rsidRPr="00C92DCB" w:rsidRDefault="005F704A" w:rsidP="009D3EB9">
            <w:pPr>
              <w:spacing w:after="0" w:line="240" w:lineRule="auto"/>
              <w:jc w:val="right"/>
              <w:rPr>
                <w:rFonts w:cs="Times New Roman"/>
                <w:noProof/>
                <w:color w:val="000000"/>
                <w:sz w:val="24"/>
                <w:szCs w:val="24"/>
              </w:rPr>
            </w:pPr>
            <w:r w:rsidRPr="00C92DCB">
              <w:rPr>
                <w:rFonts w:cs="Times New Roman"/>
                <w:sz w:val="24"/>
                <w:szCs w:val="24"/>
              </w:rPr>
              <w:t>11 739 400 Kč</w:t>
            </w:r>
          </w:p>
        </w:tc>
      </w:tr>
      <w:tr w:rsidR="005F704A" w:rsidRPr="00C92DCB" w:rsidTr="009D3EB9">
        <w:trPr>
          <w:trHeight w:val="300"/>
          <w:jc w:val="center"/>
        </w:trPr>
        <w:tc>
          <w:tcPr>
            <w:tcW w:w="4848" w:type="dxa"/>
            <w:tcBorders>
              <w:top w:val="single" w:sz="4" w:space="0" w:color="95B3D7"/>
              <w:left w:val="single" w:sz="4" w:space="0" w:color="auto"/>
              <w:bottom w:val="single" w:sz="4" w:space="0" w:color="95B3D7"/>
              <w:right w:val="nil"/>
            </w:tcBorders>
            <w:shd w:val="clear" w:color="auto" w:fill="DCE6F1"/>
            <w:noWrap/>
            <w:vAlign w:val="bottom"/>
            <w:hideMark/>
          </w:tcPr>
          <w:p w:rsidR="005F704A" w:rsidRPr="00C92DCB" w:rsidRDefault="005F704A" w:rsidP="009D3EB9">
            <w:pPr>
              <w:spacing w:after="0" w:line="240" w:lineRule="auto"/>
              <w:jc w:val="both"/>
              <w:rPr>
                <w:rFonts w:cs="Times New Roman"/>
                <w:noProof/>
                <w:color w:val="000000"/>
                <w:sz w:val="24"/>
                <w:szCs w:val="24"/>
              </w:rPr>
            </w:pPr>
            <w:r w:rsidRPr="00C92DCB">
              <w:rPr>
                <w:rFonts w:cs="Times New Roman"/>
                <w:sz w:val="24"/>
                <w:szCs w:val="24"/>
              </w:rPr>
              <w:t>Hospic</w:t>
            </w:r>
          </w:p>
        </w:tc>
        <w:tc>
          <w:tcPr>
            <w:tcW w:w="2709" w:type="dxa"/>
            <w:tcBorders>
              <w:top w:val="single" w:sz="4" w:space="0" w:color="95B3D7"/>
              <w:left w:val="nil"/>
              <w:bottom w:val="single" w:sz="4" w:space="0" w:color="95B3D7"/>
              <w:right w:val="single" w:sz="4" w:space="0" w:color="auto"/>
            </w:tcBorders>
            <w:shd w:val="clear" w:color="auto" w:fill="DCE6F1"/>
            <w:noWrap/>
            <w:vAlign w:val="bottom"/>
            <w:hideMark/>
          </w:tcPr>
          <w:p w:rsidR="005F704A" w:rsidRPr="00C92DCB" w:rsidRDefault="005F704A" w:rsidP="009D3EB9">
            <w:pPr>
              <w:spacing w:after="0" w:line="240" w:lineRule="auto"/>
              <w:jc w:val="right"/>
              <w:rPr>
                <w:rFonts w:cs="Times New Roman"/>
                <w:noProof/>
                <w:color w:val="000000"/>
                <w:sz w:val="24"/>
                <w:szCs w:val="24"/>
              </w:rPr>
            </w:pPr>
            <w:r w:rsidRPr="00C92DCB">
              <w:rPr>
                <w:rFonts w:cs="Times New Roman"/>
                <w:sz w:val="24"/>
                <w:szCs w:val="24"/>
              </w:rPr>
              <w:t>9 666 900 Kč</w:t>
            </w:r>
          </w:p>
        </w:tc>
      </w:tr>
      <w:tr w:rsidR="005F704A" w:rsidRPr="00C92DCB" w:rsidTr="009D3EB9">
        <w:trPr>
          <w:trHeight w:val="344"/>
          <w:jc w:val="center"/>
        </w:trPr>
        <w:tc>
          <w:tcPr>
            <w:tcW w:w="4848" w:type="dxa"/>
            <w:tcBorders>
              <w:top w:val="single" w:sz="4" w:space="0" w:color="95B3D7"/>
              <w:left w:val="single" w:sz="4" w:space="0" w:color="auto"/>
              <w:bottom w:val="single" w:sz="4" w:space="0" w:color="95B3D7"/>
              <w:right w:val="nil"/>
            </w:tcBorders>
            <w:noWrap/>
            <w:vAlign w:val="bottom"/>
            <w:hideMark/>
          </w:tcPr>
          <w:p w:rsidR="005F704A" w:rsidRPr="00C92DCB" w:rsidRDefault="005F704A" w:rsidP="009D3EB9">
            <w:pPr>
              <w:spacing w:after="0" w:line="240" w:lineRule="auto"/>
              <w:jc w:val="both"/>
              <w:rPr>
                <w:rFonts w:cs="Times New Roman"/>
                <w:noProof/>
                <w:color w:val="000000"/>
                <w:sz w:val="24"/>
                <w:szCs w:val="24"/>
              </w:rPr>
            </w:pPr>
            <w:r w:rsidRPr="00C92DCB">
              <w:rPr>
                <w:rFonts w:cs="Times New Roman"/>
                <w:sz w:val="24"/>
                <w:szCs w:val="24"/>
              </w:rPr>
              <w:t>Další lůžkové zařízení</w:t>
            </w:r>
          </w:p>
        </w:tc>
        <w:tc>
          <w:tcPr>
            <w:tcW w:w="2709" w:type="dxa"/>
            <w:tcBorders>
              <w:top w:val="single" w:sz="4" w:space="0" w:color="95B3D7"/>
              <w:left w:val="nil"/>
              <w:bottom w:val="single" w:sz="4" w:space="0" w:color="95B3D7"/>
              <w:right w:val="single" w:sz="4" w:space="0" w:color="auto"/>
            </w:tcBorders>
            <w:noWrap/>
            <w:vAlign w:val="bottom"/>
            <w:hideMark/>
          </w:tcPr>
          <w:p w:rsidR="005F704A" w:rsidRPr="00C92DCB" w:rsidRDefault="005F704A" w:rsidP="009D3EB9">
            <w:pPr>
              <w:spacing w:after="0" w:line="240" w:lineRule="auto"/>
              <w:jc w:val="right"/>
              <w:rPr>
                <w:rFonts w:cs="Times New Roman"/>
                <w:noProof/>
                <w:color w:val="000000"/>
                <w:sz w:val="24"/>
                <w:szCs w:val="24"/>
              </w:rPr>
            </w:pPr>
            <w:r w:rsidRPr="00C92DCB">
              <w:rPr>
                <w:rFonts w:cs="Times New Roman"/>
                <w:sz w:val="24"/>
                <w:szCs w:val="24"/>
              </w:rPr>
              <w:t>744 400 Kč</w:t>
            </w:r>
          </w:p>
        </w:tc>
      </w:tr>
      <w:tr w:rsidR="005F704A" w:rsidRPr="00C92DCB" w:rsidTr="009D3EB9">
        <w:trPr>
          <w:trHeight w:val="234"/>
          <w:jc w:val="center"/>
        </w:trPr>
        <w:tc>
          <w:tcPr>
            <w:tcW w:w="4848" w:type="dxa"/>
            <w:tcBorders>
              <w:top w:val="double" w:sz="6" w:space="0" w:color="4F81BD"/>
              <w:left w:val="single" w:sz="4" w:space="0" w:color="auto"/>
              <w:bottom w:val="single" w:sz="4" w:space="0" w:color="auto"/>
              <w:right w:val="nil"/>
            </w:tcBorders>
            <w:noWrap/>
            <w:vAlign w:val="bottom"/>
            <w:hideMark/>
          </w:tcPr>
          <w:p w:rsidR="005F704A" w:rsidRPr="00C92DCB" w:rsidRDefault="005F704A" w:rsidP="009D3EB9">
            <w:pPr>
              <w:spacing w:line="240" w:lineRule="auto"/>
              <w:rPr>
                <w:rFonts w:cs="Times New Roman"/>
                <w:sz w:val="24"/>
                <w:szCs w:val="24"/>
              </w:rPr>
            </w:pPr>
          </w:p>
        </w:tc>
        <w:tc>
          <w:tcPr>
            <w:tcW w:w="2709" w:type="dxa"/>
            <w:tcBorders>
              <w:top w:val="double" w:sz="6" w:space="0" w:color="4F81BD"/>
              <w:left w:val="nil"/>
              <w:bottom w:val="single" w:sz="4" w:space="0" w:color="auto"/>
              <w:right w:val="single" w:sz="4" w:space="0" w:color="auto"/>
            </w:tcBorders>
            <w:noWrap/>
            <w:vAlign w:val="bottom"/>
            <w:hideMark/>
          </w:tcPr>
          <w:p w:rsidR="005F704A" w:rsidRPr="00C92DCB" w:rsidRDefault="005F704A" w:rsidP="009D3EB9">
            <w:pPr>
              <w:spacing w:after="0" w:line="240" w:lineRule="auto"/>
              <w:jc w:val="right"/>
              <w:rPr>
                <w:rFonts w:cs="Times New Roman"/>
                <w:b/>
                <w:bCs/>
                <w:noProof/>
                <w:color w:val="000000"/>
                <w:sz w:val="24"/>
                <w:szCs w:val="24"/>
              </w:rPr>
            </w:pPr>
            <w:r w:rsidRPr="00C92DCB">
              <w:rPr>
                <w:rFonts w:cs="Times New Roman"/>
                <w:b/>
                <w:bCs/>
                <w:sz w:val="24"/>
                <w:szCs w:val="24"/>
              </w:rPr>
              <w:t>2 103 785 500 Kč</w:t>
            </w:r>
          </w:p>
        </w:tc>
      </w:tr>
    </w:tbl>
    <w:p w:rsidR="005F704A" w:rsidRDefault="005F704A" w:rsidP="00DE03FC">
      <w:pPr>
        <w:jc w:val="both"/>
      </w:pPr>
    </w:p>
    <w:p w:rsidR="00DE03FC" w:rsidRPr="007A7191" w:rsidRDefault="00DE03FC" w:rsidP="00DE03FC">
      <w:pPr>
        <w:jc w:val="both"/>
        <w:rPr>
          <w:b/>
          <w:sz w:val="24"/>
          <w:szCs w:val="24"/>
        </w:rPr>
      </w:pPr>
      <w:r w:rsidRPr="007A7191">
        <w:rPr>
          <w:sz w:val="24"/>
          <w:szCs w:val="24"/>
        </w:rPr>
        <w:t xml:space="preserve">Za účelem dorovnání příjmů zdravotního systému bylo rozhodnuto, že výpadek příjmů bude kompenzován zvýšením platby za státní pojištěnce. Navrhovaná právní úprava se bude týkat zákonů 592/1992 Sb. a 48/1997 Sb. Vyměřovací základ pro pojistné za státní pojištěnce je v současné době stanoven ve výši </w:t>
      </w:r>
      <w:r w:rsidRPr="007A7191">
        <w:rPr>
          <w:b/>
          <w:sz w:val="24"/>
          <w:szCs w:val="24"/>
        </w:rPr>
        <w:t>5829 Kč</w:t>
      </w:r>
      <w:r w:rsidRPr="007A7191">
        <w:rPr>
          <w:sz w:val="24"/>
          <w:szCs w:val="24"/>
        </w:rPr>
        <w:t xml:space="preserve">. Tento vyměřovací základ znamená měsíční platbu za jednoho státního pojištěnce ve výši </w:t>
      </w:r>
      <w:r w:rsidRPr="007A7191">
        <w:rPr>
          <w:b/>
          <w:sz w:val="24"/>
          <w:szCs w:val="24"/>
        </w:rPr>
        <w:t>787 Kč</w:t>
      </w:r>
      <w:r w:rsidRPr="007A7191">
        <w:rPr>
          <w:sz w:val="24"/>
          <w:szCs w:val="24"/>
        </w:rPr>
        <w:t xml:space="preserve">. Navrhovaná právní úprava spočívá ve zvýšení měsíční platby za státní pojištěnce o </w:t>
      </w:r>
      <w:r w:rsidRPr="007A7191">
        <w:rPr>
          <w:b/>
          <w:sz w:val="24"/>
          <w:szCs w:val="24"/>
        </w:rPr>
        <w:t>58 Kč</w:t>
      </w:r>
      <w:r w:rsidRPr="007A7191">
        <w:rPr>
          <w:sz w:val="24"/>
          <w:szCs w:val="24"/>
        </w:rPr>
        <w:t xml:space="preserve"> ze </w:t>
      </w:r>
      <w:r w:rsidRPr="007A7191">
        <w:rPr>
          <w:b/>
          <w:sz w:val="24"/>
          <w:szCs w:val="24"/>
        </w:rPr>
        <w:t>787 Kč</w:t>
      </w:r>
      <w:r w:rsidRPr="007A7191">
        <w:rPr>
          <w:sz w:val="24"/>
          <w:szCs w:val="24"/>
        </w:rPr>
        <w:t xml:space="preserve"> na </w:t>
      </w:r>
      <w:r w:rsidR="00235AA3">
        <w:rPr>
          <w:b/>
          <w:sz w:val="24"/>
          <w:szCs w:val="24"/>
        </w:rPr>
        <w:t>845 </w:t>
      </w:r>
      <w:r w:rsidRPr="007A7191">
        <w:rPr>
          <w:b/>
          <w:sz w:val="24"/>
          <w:szCs w:val="24"/>
        </w:rPr>
        <w:t>Kč</w:t>
      </w:r>
      <w:r w:rsidRPr="007A7191">
        <w:rPr>
          <w:sz w:val="24"/>
          <w:szCs w:val="24"/>
        </w:rPr>
        <w:t xml:space="preserve"> za měsíc od 1. 7. 2014. Toto zvýšení by podle odhadů mělo do systému veřejného zdravotního pojištění </w:t>
      </w:r>
      <w:r w:rsidRPr="007A7191">
        <w:rPr>
          <w:b/>
          <w:sz w:val="24"/>
          <w:szCs w:val="24"/>
        </w:rPr>
        <w:t>během roku 2014 přinést cca 2,1 mld. Kč</w:t>
      </w:r>
      <w:r w:rsidRPr="007A7191">
        <w:rPr>
          <w:sz w:val="24"/>
          <w:szCs w:val="24"/>
        </w:rPr>
        <w:t xml:space="preserve">. Každý další rok potom </w:t>
      </w:r>
      <w:r w:rsidRPr="007A7191">
        <w:rPr>
          <w:b/>
          <w:sz w:val="24"/>
          <w:szCs w:val="24"/>
        </w:rPr>
        <w:t>cca. 4,2 mld. Kč.</w:t>
      </w:r>
    </w:p>
    <w:p w:rsidR="00DE03FC" w:rsidRPr="007A7191" w:rsidRDefault="00DE03FC" w:rsidP="00DE03FC">
      <w:pPr>
        <w:jc w:val="both"/>
        <w:rPr>
          <w:sz w:val="24"/>
          <w:szCs w:val="24"/>
        </w:rPr>
      </w:pPr>
      <w:r w:rsidRPr="007A7191">
        <w:rPr>
          <w:sz w:val="24"/>
          <w:szCs w:val="24"/>
        </w:rPr>
        <w:t xml:space="preserve">Navrhovaná právní úprava dále zavádí zdravotním pojišťovnám novou povinnost kompenzovat poskytovatelům lůžkových zdravotních služeb včetně poskytovatelů lázeňské léčebně rehabilitační péče a ozdravoven výpadek příjmů z hospitalizačních regulačních poplatků. Smluvnímu poskytovateli, který poskytuje pojištěncům příslušné zdravotní pojišťovny lůžkovou péči, poskytne tato pojišťovna jako kompenzaci za regulační poplatky, které by byly vybrány v roce 2014, pokud by nedošlo k jejich zrušení, částku 100 Kč za každý den hospitalizace svého pojištěnce u daného smluvního poskytovatele v roce 2014. Kompenzace bude vypočtena na základě skutečného vykázaného počtu dní, po které byl pojištěnec </w:t>
      </w:r>
      <w:r w:rsidRPr="007A7191">
        <w:rPr>
          <w:sz w:val="24"/>
          <w:szCs w:val="24"/>
        </w:rPr>
        <w:lastRenderedPageBreak/>
        <w:t>příslušné zdravotní pojišťovny přijat k poskytování lůžkové péče. Den, ve</w:t>
      </w:r>
      <w:r w:rsidR="00213264">
        <w:rPr>
          <w:sz w:val="24"/>
          <w:szCs w:val="24"/>
        </w:rPr>
        <w:t xml:space="preserve"> kterém byl pojištěnec přijat k </w:t>
      </w:r>
      <w:r w:rsidRPr="007A7191">
        <w:rPr>
          <w:sz w:val="24"/>
          <w:szCs w:val="24"/>
        </w:rPr>
        <w:t xml:space="preserve">poskytování této péče, a den, ve kterém bylo poskytování této péče ukončeno, se počítá jako jeden den. </w:t>
      </w:r>
    </w:p>
    <w:p w:rsidR="00DE03FC" w:rsidRPr="007A7191" w:rsidRDefault="00DE03FC" w:rsidP="00DE03FC">
      <w:pPr>
        <w:jc w:val="both"/>
        <w:rPr>
          <w:sz w:val="24"/>
          <w:szCs w:val="24"/>
        </w:rPr>
      </w:pPr>
      <w:r w:rsidRPr="007A7191">
        <w:rPr>
          <w:sz w:val="24"/>
          <w:szCs w:val="24"/>
        </w:rPr>
        <w:t>Kompenzace bude probíhat formou měsíčních zálohových plateb, kdy pojišťovna uhradí smluvnímu poskytovateli zdravotních služeb v měsíci červenci 2014 částku ve výši sedmi dvanáctin a v každém dalším měsíci roku 2014 jedné dvanáctiny z úhrnu regulačních poplatků, které byl tento poskytovatel povinen vybrat za poskytnutou lůžkovou péči v roce 2013 a vykázal vybrání takového regulačního poplatku příslušné zdravotní pojišťovně. Tato předběžná úhrada bude smluvnímu poskytovateli uhrazena nejpozději k poslednímu dni příslušného kalendářního měsíce. Celková výše skute</w:t>
      </w:r>
      <w:r w:rsidR="00213264">
        <w:rPr>
          <w:sz w:val="24"/>
          <w:szCs w:val="24"/>
        </w:rPr>
        <w:t>čné kompenzace bude vypočtena z </w:t>
      </w:r>
      <w:r w:rsidRPr="007A7191">
        <w:rPr>
          <w:sz w:val="24"/>
          <w:szCs w:val="24"/>
        </w:rPr>
        <w:t>údajů týkajících se období 1. 1. 2014 až 31. 12. 2014, které poskytovatel vykáže zdravotní pojišťovně do 31. 3. 2015. Zálohové platby se na základě vykázané skutečnosti vypořádají do 30. 6. 2015.</w:t>
      </w:r>
    </w:p>
    <w:p w:rsidR="00DE03FC" w:rsidRDefault="00DE03FC" w:rsidP="00DE03FC">
      <w:pPr>
        <w:jc w:val="both"/>
      </w:pPr>
    </w:p>
    <w:p w:rsidR="004B55A4" w:rsidRPr="00E979C2" w:rsidRDefault="00453A0E" w:rsidP="00E979C2">
      <w:pPr>
        <w:pStyle w:val="Nadpis2"/>
        <w:rPr>
          <w:color w:val="auto"/>
        </w:rPr>
      </w:pPr>
      <w:bookmarkStart w:id="12" w:name="_Toc384356088"/>
      <w:r>
        <w:rPr>
          <w:color w:val="auto"/>
        </w:rPr>
        <w:t>Dopad</w:t>
      </w:r>
      <w:r w:rsidR="00C44159" w:rsidRPr="00E979C2">
        <w:rPr>
          <w:color w:val="auto"/>
        </w:rPr>
        <w:t xml:space="preserve"> zvýšení DPH</w:t>
      </w:r>
      <w:bookmarkEnd w:id="12"/>
    </w:p>
    <w:p w:rsidR="00C44159" w:rsidRDefault="00C44159" w:rsidP="00C44159"/>
    <w:p w:rsidR="0089535F" w:rsidRPr="008D0EBF" w:rsidRDefault="0089535F" w:rsidP="0089535F">
      <w:r w:rsidRPr="008D0EBF">
        <w:t xml:space="preserve">Významný vliv na zvýšení nákladů v celém sektoru zdravotnictví </w:t>
      </w:r>
      <w:r>
        <w:t>měl ve sledovaném období</w:t>
      </w:r>
      <w:r w:rsidRPr="008D0EBF">
        <w:t xml:space="preserve"> zvyšování sazeb DPH, zejména razantní nárůst snížené sazby na 1</w:t>
      </w:r>
      <w:r>
        <w:t>5</w:t>
      </w:r>
      <w:r w:rsidRPr="008D0EBF">
        <w:t xml:space="preserve"> % v roce 201</w:t>
      </w:r>
      <w:r>
        <w:t>3</w:t>
      </w:r>
      <w:r w:rsidRPr="008D0EBF">
        <w:t>.</w:t>
      </w:r>
    </w:p>
    <w:p w:rsidR="0089535F" w:rsidRPr="008D0EBF" w:rsidRDefault="0089535F" w:rsidP="0089535F">
      <w:pPr>
        <w:rPr>
          <w:b/>
        </w:rPr>
      </w:pPr>
      <w:r w:rsidRPr="008D0EBF">
        <w:rPr>
          <w:b/>
        </w:rPr>
        <w:t>Přehled změn sazby DPH:</w:t>
      </w:r>
    </w:p>
    <w:tbl>
      <w:tblPr>
        <w:tblStyle w:val="Svtlstnovn"/>
        <w:tblW w:w="7627" w:type="dxa"/>
        <w:jc w:val="center"/>
        <w:tblLook w:val="04A0"/>
      </w:tblPr>
      <w:tblGrid>
        <w:gridCol w:w="3817"/>
        <w:gridCol w:w="1270"/>
        <w:gridCol w:w="1270"/>
        <w:gridCol w:w="1270"/>
      </w:tblGrid>
      <w:tr w:rsidR="0089535F" w:rsidRPr="008D0EBF" w:rsidTr="0089535F">
        <w:trPr>
          <w:cnfStyle w:val="100000000000"/>
          <w:trHeight w:val="457"/>
          <w:jc w:val="center"/>
        </w:trPr>
        <w:tc>
          <w:tcPr>
            <w:cnfStyle w:val="001000000000"/>
            <w:tcW w:w="0" w:type="auto"/>
          </w:tcPr>
          <w:p w:rsidR="0089535F" w:rsidRPr="008D0EBF" w:rsidRDefault="0089535F" w:rsidP="0089535F">
            <w:r w:rsidRPr="008D0EBF">
              <w:t>rok</w:t>
            </w:r>
          </w:p>
        </w:tc>
        <w:tc>
          <w:tcPr>
            <w:tcW w:w="0" w:type="auto"/>
          </w:tcPr>
          <w:p w:rsidR="0089535F" w:rsidRPr="008D0EBF" w:rsidRDefault="0089535F" w:rsidP="0089535F">
            <w:pPr>
              <w:cnfStyle w:val="100000000000"/>
            </w:pPr>
            <w:r w:rsidRPr="008D0EBF">
              <w:t>2011</w:t>
            </w:r>
          </w:p>
        </w:tc>
        <w:tc>
          <w:tcPr>
            <w:tcW w:w="0" w:type="auto"/>
          </w:tcPr>
          <w:p w:rsidR="0089535F" w:rsidRPr="008D0EBF" w:rsidRDefault="0089535F" w:rsidP="0089535F">
            <w:pPr>
              <w:cnfStyle w:val="100000000000"/>
            </w:pPr>
            <w:r w:rsidRPr="008D0EBF">
              <w:t>2012</w:t>
            </w:r>
          </w:p>
        </w:tc>
        <w:tc>
          <w:tcPr>
            <w:tcW w:w="0" w:type="auto"/>
          </w:tcPr>
          <w:p w:rsidR="0089535F" w:rsidRPr="008D0EBF" w:rsidRDefault="0089535F" w:rsidP="0089535F">
            <w:pPr>
              <w:cnfStyle w:val="100000000000"/>
            </w:pPr>
            <w:r w:rsidRPr="008D0EBF">
              <w:t>2013</w:t>
            </w:r>
          </w:p>
        </w:tc>
      </w:tr>
      <w:tr w:rsidR="0089535F" w:rsidRPr="008D0EBF" w:rsidTr="0089535F">
        <w:trPr>
          <w:cnfStyle w:val="000000100000"/>
          <w:trHeight w:val="457"/>
          <w:jc w:val="center"/>
        </w:trPr>
        <w:tc>
          <w:tcPr>
            <w:cnfStyle w:val="001000000000"/>
            <w:tcW w:w="0" w:type="auto"/>
          </w:tcPr>
          <w:p w:rsidR="0089535F" w:rsidRPr="008D0EBF" w:rsidRDefault="0089535F" w:rsidP="0089535F">
            <w:r w:rsidRPr="008D0EBF">
              <w:t>Základní sazba DPH</w:t>
            </w:r>
          </w:p>
        </w:tc>
        <w:tc>
          <w:tcPr>
            <w:tcW w:w="0" w:type="auto"/>
          </w:tcPr>
          <w:p w:rsidR="0089535F" w:rsidRPr="008D0EBF" w:rsidRDefault="0089535F" w:rsidP="0089535F">
            <w:pPr>
              <w:cnfStyle w:val="000000100000"/>
            </w:pPr>
            <w:r w:rsidRPr="008D0EBF">
              <w:t>20%</w:t>
            </w:r>
          </w:p>
        </w:tc>
        <w:tc>
          <w:tcPr>
            <w:tcW w:w="0" w:type="auto"/>
          </w:tcPr>
          <w:p w:rsidR="0089535F" w:rsidRPr="008D0EBF" w:rsidRDefault="0089535F" w:rsidP="0089535F">
            <w:pPr>
              <w:cnfStyle w:val="000000100000"/>
            </w:pPr>
            <w:r w:rsidRPr="008D0EBF">
              <w:t>20%</w:t>
            </w:r>
          </w:p>
        </w:tc>
        <w:tc>
          <w:tcPr>
            <w:tcW w:w="0" w:type="auto"/>
          </w:tcPr>
          <w:p w:rsidR="0089535F" w:rsidRPr="008D0EBF" w:rsidRDefault="0089535F" w:rsidP="0089535F">
            <w:pPr>
              <w:cnfStyle w:val="000000100000"/>
            </w:pPr>
            <w:r w:rsidRPr="008D0EBF">
              <w:t>21%</w:t>
            </w:r>
          </w:p>
        </w:tc>
      </w:tr>
      <w:tr w:rsidR="0089535F" w:rsidRPr="008D0EBF" w:rsidTr="0089535F">
        <w:trPr>
          <w:trHeight w:val="457"/>
          <w:jc w:val="center"/>
        </w:trPr>
        <w:tc>
          <w:tcPr>
            <w:cnfStyle w:val="001000000000"/>
            <w:tcW w:w="0" w:type="auto"/>
            <w:tcBorders>
              <w:bottom w:val="single" w:sz="8" w:space="0" w:color="000000" w:themeColor="text1"/>
            </w:tcBorders>
          </w:tcPr>
          <w:p w:rsidR="0089535F" w:rsidRPr="008D0EBF" w:rsidRDefault="0089535F" w:rsidP="0089535F">
            <w:r w:rsidRPr="008D0EBF">
              <w:t>Snížená sazba DPH</w:t>
            </w:r>
          </w:p>
        </w:tc>
        <w:tc>
          <w:tcPr>
            <w:tcW w:w="0" w:type="auto"/>
            <w:tcBorders>
              <w:bottom w:val="single" w:sz="8" w:space="0" w:color="000000" w:themeColor="text1"/>
            </w:tcBorders>
          </w:tcPr>
          <w:p w:rsidR="0089535F" w:rsidRPr="008D0EBF" w:rsidRDefault="0089535F" w:rsidP="0089535F">
            <w:pPr>
              <w:cnfStyle w:val="000000000000"/>
            </w:pPr>
            <w:r w:rsidRPr="008D0EBF">
              <w:t>10%</w:t>
            </w:r>
          </w:p>
        </w:tc>
        <w:tc>
          <w:tcPr>
            <w:tcW w:w="0" w:type="auto"/>
            <w:tcBorders>
              <w:bottom w:val="single" w:sz="8" w:space="0" w:color="000000" w:themeColor="text1"/>
            </w:tcBorders>
          </w:tcPr>
          <w:p w:rsidR="0089535F" w:rsidRPr="008D0EBF" w:rsidRDefault="0089535F" w:rsidP="0089535F">
            <w:pPr>
              <w:cnfStyle w:val="000000000000"/>
            </w:pPr>
            <w:r w:rsidRPr="008D0EBF">
              <w:t>14%</w:t>
            </w:r>
          </w:p>
        </w:tc>
        <w:tc>
          <w:tcPr>
            <w:tcW w:w="0" w:type="auto"/>
            <w:tcBorders>
              <w:bottom w:val="single" w:sz="8" w:space="0" w:color="000000" w:themeColor="text1"/>
            </w:tcBorders>
          </w:tcPr>
          <w:p w:rsidR="0089535F" w:rsidRPr="008D0EBF" w:rsidRDefault="0089535F" w:rsidP="0089535F">
            <w:pPr>
              <w:cnfStyle w:val="000000000000"/>
            </w:pPr>
            <w:r w:rsidRPr="008D0EBF">
              <w:t>15%</w:t>
            </w:r>
          </w:p>
        </w:tc>
      </w:tr>
    </w:tbl>
    <w:p w:rsidR="0089535F" w:rsidRPr="008D0EBF" w:rsidRDefault="0089535F" w:rsidP="0089535F"/>
    <w:p w:rsidR="0089535F" w:rsidRPr="008D0EBF" w:rsidRDefault="0089535F" w:rsidP="00213264">
      <w:pPr>
        <w:jc w:val="both"/>
      </w:pPr>
      <w:r w:rsidRPr="008D0EBF">
        <w:t xml:space="preserve">Navíc </w:t>
      </w:r>
      <w:r>
        <w:t>v roce</w:t>
      </w:r>
      <w:r w:rsidRPr="008D0EBF">
        <w:t xml:space="preserve"> 2013 byly některé zdravotnické prostředky přeřazeny ze snížené do základní sazby DPH. Jedná se o zdravotnické prostředky, které nejsou výlučně určeny pro osoby se zdravotním postižením nebo léčení jejich potíží a pro výlučnou osobní potřebu zdravotně postižených. Důvodem bylo zahájení řízení o porušení Smlouvy o fungování Evropské unie vůči ČR. Evropská komise došla k názoru, že jejich dosavadní zařazení do nižší sazby DPH bylo v rozporu s legislativou Evropské unie.</w:t>
      </w:r>
    </w:p>
    <w:p w:rsidR="0089535F" w:rsidRPr="008D0EBF" w:rsidRDefault="0089535F" w:rsidP="00213264">
      <w:pPr>
        <w:jc w:val="both"/>
      </w:pPr>
      <w:r w:rsidRPr="008D0EBF">
        <w:t>Náklady na spotřební materiál činí významnou položku v nákladech většiny zdravotnických zařízení a jeho cena stoupla v letech 2011 – 2013 o 5</w:t>
      </w:r>
      <w:r w:rsidR="00213264">
        <w:t xml:space="preserve"> </w:t>
      </w:r>
      <w:r w:rsidRPr="008D0EBF">
        <w:t>%, v některých případech z důvodu změny sazby až o 11%. Zvýšení se projev</w:t>
      </w:r>
      <w:r>
        <w:t>ilo</w:t>
      </w:r>
      <w:r w:rsidRPr="008D0EBF">
        <w:t xml:space="preserve"> u </w:t>
      </w:r>
      <w:r w:rsidR="00213264">
        <w:t> </w:t>
      </w:r>
      <w:r w:rsidRPr="008D0EBF">
        <w:t>nákupu všeho zboží a služeb, včetně investic.</w:t>
      </w:r>
    </w:p>
    <w:p w:rsidR="0089535F" w:rsidRPr="008D0EBF" w:rsidRDefault="0089535F" w:rsidP="00213264">
      <w:pPr>
        <w:jc w:val="both"/>
      </w:pPr>
      <w:r w:rsidRPr="008D0EBF">
        <w:t xml:space="preserve">V roce 2013 fakticky </w:t>
      </w:r>
      <w:r>
        <w:t>došlo</w:t>
      </w:r>
      <w:r w:rsidRPr="008D0EBF">
        <w:t xml:space="preserve"> zvýšenými odvody za DPH k přesunu finančních prost</w:t>
      </w:r>
      <w:r w:rsidR="00213264">
        <w:t>ředků ze zdravotního systému do </w:t>
      </w:r>
      <w:r w:rsidRPr="008D0EBF">
        <w:t>státního rozpočtu.</w:t>
      </w:r>
    </w:p>
    <w:p w:rsidR="004B55A4" w:rsidRDefault="0089535F" w:rsidP="00213264">
      <w:pPr>
        <w:pStyle w:val="Odstavecseseznamem"/>
        <w:spacing w:after="0"/>
        <w:ind w:left="0"/>
        <w:jc w:val="both"/>
        <w:rPr>
          <w:rFonts w:eastAsia="Times New Roman"/>
          <w:bCs/>
          <w:color w:val="000000"/>
          <w:lang w:eastAsia="cs-CZ"/>
        </w:rPr>
      </w:pPr>
      <w:r w:rsidRPr="008D0EBF">
        <w:t xml:space="preserve">Kvalifikovaný odhad dopadu zvýšení sazeb DPH činí pro rok 2013 pro celý systém zdravotnictví 3,8 mld. Kč. </w:t>
      </w:r>
      <w:r w:rsidR="00213264">
        <w:t>Jen u </w:t>
      </w:r>
      <w:r>
        <w:t>nemocnic činí předpokládaný dopad přibližně 647 mil. Kč.</w:t>
      </w:r>
    </w:p>
    <w:p w:rsidR="00A17188" w:rsidRPr="00E979C2" w:rsidRDefault="00C44159" w:rsidP="00E979C2">
      <w:pPr>
        <w:pStyle w:val="Nadpis2"/>
        <w:rPr>
          <w:color w:val="auto"/>
        </w:rPr>
      </w:pPr>
      <w:bookmarkStart w:id="13" w:name="_Toc384356089"/>
      <w:bookmarkEnd w:id="11"/>
      <w:r w:rsidRPr="00E979C2">
        <w:rPr>
          <w:color w:val="auto"/>
        </w:rPr>
        <w:t>Analýza dopadu měnových intervencí</w:t>
      </w:r>
      <w:bookmarkEnd w:id="13"/>
    </w:p>
    <w:p w:rsidR="000943D5" w:rsidRDefault="000943D5">
      <w:pPr>
        <w:spacing w:after="0" w:line="240" w:lineRule="auto"/>
      </w:pPr>
    </w:p>
    <w:p w:rsidR="00C44159" w:rsidRPr="004A7EDF" w:rsidRDefault="00B46C37" w:rsidP="00B46C37">
      <w:pPr>
        <w:spacing w:after="0" w:line="240" w:lineRule="auto"/>
        <w:jc w:val="both"/>
        <w:rPr>
          <w:sz w:val="24"/>
          <w:szCs w:val="24"/>
        </w:rPr>
      </w:pPr>
      <w:r w:rsidRPr="004A7EDF">
        <w:rPr>
          <w:sz w:val="24"/>
          <w:szCs w:val="24"/>
        </w:rPr>
        <w:t xml:space="preserve">V listopadu 2013 přistoupila Česká národní banka k měnové intervenci a oslabila kurz koruny vůči euru z 25 Kč/EUR na 27Kč/EUR. Cílem intervence bylo odstranění rizika deflace, oživení ekonomiky a rychlejší přibližování k inflačnímu cíli. </w:t>
      </w:r>
    </w:p>
    <w:p w:rsidR="00B46C37" w:rsidRPr="004A7EDF" w:rsidRDefault="00B46C37" w:rsidP="00B46C37">
      <w:pPr>
        <w:spacing w:after="0" w:line="240" w:lineRule="auto"/>
        <w:jc w:val="both"/>
        <w:rPr>
          <w:sz w:val="24"/>
          <w:szCs w:val="24"/>
        </w:rPr>
      </w:pPr>
    </w:p>
    <w:p w:rsidR="00B46C37" w:rsidRPr="004A7EDF" w:rsidRDefault="00B46C37" w:rsidP="00B46C37">
      <w:pPr>
        <w:spacing w:after="0" w:line="240" w:lineRule="auto"/>
        <w:jc w:val="both"/>
        <w:rPr>
          <w:sz w:val="24"/>
          <w:szCs w:val="24"/>
        </w:rPr>
      </w:pPr>
      <w:r w:rsidRPr="004A7EDF">
        <w:rPr>
          <w:sz w:val="24"/>
          <w:szCs w:val="24"/>
        </w:rPr>
        <w:lastRenderedPageBreak/>
        <w:t>Dopad</w:t>
      </w:r>
      <w:r w:rsidR="00DC22D1" w:rsidRPr="004A7EDF">
        <w:rPr>
          <w:sz w:val="24"/>
          <w:szCs w:val="24"/>
        </w:rPr>
        <w:t>y</w:t>
      </w:r>
      <w:r w:rsidRPr="004A7EDF">
        <w:rPr>
          <w:sz w:val="24"/>
          <w:szCs w:val="24"/>
        </w:rPr>
        <w:t xml:space="preserve"> měnových intervencí </w:t>
      </w:r>
      <w:r w:rsidR="00DC22D1" w:rsidRPr="004A7EDF">
        <w:rPr>
          <w:sz w:val="24"/>
          <w:szCs w:val="24"/>
        </w:rPr>
        <w:t>lze rozdělit na dva druhy – přímé efekty a nepřímé efekty. Mezi přímé efekty patří nárůst cen léků, přístrojů a jiné zdravotnické techniky nakupované v zahraniční měně. Dále pak přecenění rezerv poskytovatelů a pojišťoven držených v zahraniční měně. Mezi nepřímé efekty patří zamýšlené oživení ekonomiky, které přinese dodatečné příjmy zdravotnímu systému skrze vyšší mzdy a větší zaměstnanost.</w:t>
      </w:r>
    </w:p>
    <w:p w:rsidR="00DC22D1" w:rsidRPr="004A7EDF" w:rsidRDefault="00DC22D1" w:rsidP="00B46C37">
      <w:pPr>
        <w:spacing w:after="0" w:line="240" w:lineRule="auto"/>
        <w:jc w:val="both"/>
        <w:rPr>
          <w:sz w:val="24"/>
          <w:szCs w:val="24"/>
        </w:rPr>
      </w:pPr>
    </w:p>
    <w:p w:rsidR="00DC22D1" w:rsidRPr="004A7EDF" w:rsidRDefault="00DC22D1" w:rsidP="00B46C37">
      <w:pPr>
        <w:spacing w:after="0" w:line="240" w:lineRule="auto"/>
        <w:jc w:val="both"/>
        <w:rPr>
          <w:sz w:val="24"/>
          <w:szCs w:val="24"/>
        </w:rPr>
      </w:pPr>
      <w:r w:rsidRPr="004A7EDF">
        <w:rPr>
          <w:sz w:val="24"/>
          <w:szCs w:val="24"/>
        </w:rPr>
        <w:t xml:space="preserve">Přesné vyčíslení dopadů je téměř nemožné, jelikož MZ nemá data o expozici poskytovatelů vůči zahraničí. Co se týče efektu přecenění rezerv, lze tvrdit, že dopad na zdravotní pojišťovny je zanedbatelný, jelikož žádné rezervy v zahraniční měně nedrží. </w:t>
      </w:r>
      <w:r w:rsidR="004A7EDF" w:rsidRPr="004A7EDF">
        <w:rPr>
          <w:sz w:val="24"/>
          <w:szCs w:val="24"/>
        </w:rPr>
        <w:t>Údaje o měnových rezervách poskytovatelů nemá MZ k dispozici.</w:t>
      </w:r>
    </w:p>
    <w:p w:rsidR="00DC22D1" w:rsidRPr="004A7EDF" w:rsidRDefault="00DC22D1" w:rsidP="00B46C37">
      <w:pPr>
        <w:spacing w:after="0" w:line="240" w:lineRule="auto"/>
        <w:jc w:val="both"/>
        <w:rPr>
          <w:sz w:val="24"/>
          <w:szCs w:val="24"/>
        </w:rPr>
      </w:pPr>
    </w:p>
    <w:p w:rsidR="00DC22D1" w:rsidRPr="004A7EDF" w:rsidRDefault="00DC22D1" w:rsidP="00B46C37">
      <w:pPr>
        <w:spacing w:after="0" w:line="240" w:lineRule="auto"/>
        <w:jc w:val="both"/>
        <w:rPr>
          <w:b/>
          <w:sz w:val="24"/>
          <w:szCs w:val="24"/>
        </w:rPr>
      </w:pPr>
      <w:r w:rsidRPr="004A7EDF">
        <w:rPr>
          <w:sz w:val="24"/>
          <w:szCs w:val="24"/>
        </w:rPr>
        <w:t>Pro kvantifikaci efektu zdražení zahraničních nákupů lze vycházet z dat o hospodaření nemocnic za rok 2012 (rok 2013 není ještě uzavřený</w:t>
      </w:r>
      <w:r w:rsidR="005C446D" w:rsidRPr="004A7EDF">
        <w:rPr>
          <w:sz w:val="24"/>
          <w:szCs w:val="24"/>
        </w:rPr>
        <w:t>; výdaje nemocnic tvoří naprostou většinu výdajů ovlivnitelných kurzovou změnou</w:t>
      </w:r>
      <w:r w:rsidRPr="004A7EDF">
        <w:rPr>
          <w:sz w:val="24"/>
          <w:szCs w:val="24"/>
        </w:rPr>
        <w:t xml:space="preserve">). V tomto roce náklady nemocnic na léčiva, zdravotnické prostředky a odpisy (reprezentující náklady na investice) tvořily 40,3 mld. Kč. Jelikož depreciace činila 8%, lze vyčíslit maximální možný nárůst výdajů nemocnic na </w:t>
      </w:r>
      <w:r w:rsidR="005C446D" w:rsidRPr="004A7EDF">
        <w:rPr>
          <w:sz w:val="24"/>
          <w:szCs w:val="24"/>
        </w:rPr>
        <w:t>3,2 mld. Kč. Aktuální nárůst výdajů je pak dán vynásobením této částky procentuální expozicí nemocnic vůči zahraničí. Zároveň je třeba zohlednit zmírněný efekt devalvace daný českou distribuční sítí. Předběžné údaje ČSÚ z února 2014 odhadují meziroční zvýšení cen léků o 1%, z čehož lze aproximovat expozici vůči zahraničí na 1/8</w:t>
      </w:r>
      <w:r w:rsidR="00F45ABD">
        <w:rPr>
          <w:sz w:val="24"/>
          <w:szCs w:val="24"/>
        </w:rPr>
        <w:t xml:space="preserve"> (maximální možná expozice je dle PT RHSD 0,4)</w:t>
      </w:r>
      <w:r w:rsidR="005C446D" w:rsidRPr="004A7EDF">
        <w:rPr>
          <w:sz w:val="24"/>
          <w:szCs w:val="24"/>
        </w:rPr>
        <w:t xml:space="preserve">. </w:t>
      </w:r>
      <w:r w:rsidR="004A7EDF" w:rsidRPr="004A7EDF">
        <w:rPr>
          <w:sz w:val="24"/>
          <w:szCs w:val="24"/>
        </w:rPr>
        <w:t xml:space="preserve">Celkový efekt devalvace tak činí velmi zhruba </w:t>
      </w:r>
      <w:r w:rsidR="004A7EDF" w:rsidRPr="004A7EDF">
        <w:rPr>
          <w:b/>
          <w:sz w:val="24"/>
          <w:szCs w:val="24"/>
        </w:rPr>
        <w:t xml:space="preserve">ztrátu zdravotního systému ve výši 400 </w:t>
      </w:r>
      <w:r w:rsidR="00F45ABD">
        <w:rPr>
          <w:b/>
          <w:sz w:val="24"/>
          <w:szCs w:val="24"/>
        </w:rPr>
        <w:t xml:space="preserve">až 1 300 </w:t>
      </w:r>
      <w:r w:rsidR="004A7EDF" w:rsidRPr="004A7EDF">
        <w:rPr>
          <w:b/>
          <w:sz w:val="24"/>
          <w:szCs w:val="24"/>
        </w:rPr>
        <w:t>mil. Kč.</w:t>
      </w:r>
    </w:p>
    <w:p w:rsidR="00C44159" w:rsidRDefault="00C44159">
      <w:pPr>
        <w:spacing w:after="0" w:line="240" w:lineRule="auto"/>
      </w:pPr>
    </w:p>
    <w:p w:rsidR="00C44159" w:rsidRDefault="00E979C2" w:rsidP="005F704A">
      <w:pPr>
        <w:pStyle w:val="Nadpis1"/>
      </w:pPr>
      <w:bookmarkStart w:id="14" w:name="_Toc384356090"/>
      <w:r w:rsidRPr="005F704A">
        <w:rPr>
          <w:color w:val="auto"/>
        </w:rPr>
        <w:t>Odkup nedobytných pohledávek</w:t>
      </w:r>
      <w:bookmarkEnd w:id="14"/>
    </w:p>
    <w:p w:rsidR="003207C1" w:rsidRDefault="003207C1">
      <w:pPr>
        <w:spacing w:after="0" w:line="240" w:lineRule="auto"/>
      </w:pPr>
    </w:p>
    <w:p w:rsidR="00F40273" w:rsidRDefault="00F40273" w:rsidP="00F40273">
      <w:pPr>
        <w:jc w:val="both"/>
        <w:rPr>
          <w:rFonts w:cs="Times New Roman"/>
          <w:sz w:val="24"/>
          <w:szCs w:val="24"/>
        </w:rPr>
      </w:pPr>
      <w:r w:rsidRPr="00C92DCB">
        <w:rPr>
          <w:rFonts w:cs="Times New Roman"/>
          <w:sz w:val="24"/>
          <w:szCs w:val="24"/>
        </w:rPr>
        <w:t>K celkové stabilizaci systému veřejného zdravotního pojištění</w:t>
      </w:r>
      <w:r>
        <w:rPr>
          <w:rFonts w:cs="Times New Roman"/>
          <w:sz w:val="24"/>
          <w:szCs w:val="24"/>
        </w:rPr>
        <w:t xml:space="preserve"> předloží Ministerstvo zdravotnictví </w:t>
      </w:r>
      <w:r w:rsidRPr="00C92DCB">
        <w:rPr>
          <w:rFonts w:cs="Times New Roman"/>
          <w:sz w:val="24"/>
          <w:szCs w:val="24"/>
        </w:rPr>
        <w:t>zákon, k</w:t>
      </w:r>
      <w:r>
        <w:rPr>
          <w:rFonts w:cs="Times New Roman"/>
          <w:sz w:val="24"/>
          <w:szCs w:val="24"/>
        </w:rPr>
        <w:t>terým umožní</w:t>
      </w:r>
      <w:r w:rsidRPr="00C92DCB">
        <w:rPr>
          <w:rFonts w:cs="Times New Roman"/>
          <w:sz w:val="24"/>
          <w:szCs w:val="24"/>
        </w:rPr>
        <w:t xml:space="preserve">  odkoupení pohledávek zdravotních pojišťoven za plátci pojistného státem.</w:t>
      </w:r>
      <w:r>
        <w:rPr>
          <w:rFonts w:cs="Times New Roman"/>
          <w:sz w:val="24"/>
          <w:szCs w:val="24"/>
        </w:rPr>
        <w:t xml:space="preserve"> Tento krok částečně sníží administrativní zatížení zdravotních pojišťoven způsobené účetním vedením takových pohledávek a především přispěje k vyrovnání deficitu systému veřejného zdravotního pojištění. </w:t>
      </w:r>
    </w:p>
    <w:p w:rsidR="00F40273" w:rsidRDefault="00F40273" w:rsidP="00F40273">
      <w:pPr>
        <w:jc w:val="both"/>
        <w:rPr>
          <w:rFonts w:cs="Times New Roman"/>
          <w:sz w:val="24"/>
          <w:szCs w:val="24"/>
        </w:rPr>
      </w:pPr>
      <w:r>
        <w:rPr>
          <w:rFonts w:cs="Times New Roman"/>
          <w:sz w:val="24"/>
          <w:szCs w:val="24"/>
        </w:rPr>
        <w:t>Objem postupovaných pohledávek bude vycházet z jejich věcného vymezení. Ministerstvo zdravotnictví v současné době předpokládá, že návrh bude vycházet z definice tzv. nedobytného dluhu obsažené v ustanovení § 26c zákona č. 592/1992 Sb., o pojistném na veřejné zdravotní pojištění, ve znění pozdějších předpisů. Odkazem na tuto legální definici bude zabráněno účelovému nakládání s pohledávkami ze strany zdravotních pojišťoven, neboť odkupovaná pohledávka bude muset naplňovat znaky stanovené zákonem.</w:t>
      </w:r>
    </w:p>
    <w:p w:rsidR="00F40273" w:rsidRDefault="00F40273" w:rsidP="00F40273">
      <w:pPr>
        <w:jc w:val="both"/>
        <w:rPr>
          <w:rFonts w:cs="Times New Roman"/>
          <w:sz w:val="24"/>
          <w:szCs w:val="24"/>
        </w:rPr>
      </w:pPr>
      <w:r>
        <w:rPr>
          <w:rFonts w:cs="Times New Roman"/>
          <w:sz w:val="24"/>
          <w:szCs w:val="24"/>
        </w:rPr>
        <w:t>Dle dostupných informací je v současnosti celková výše nedobytných pohledávek u Všeobecné zdravotní pojišťovny ČR včetně příslušenství cca 3,7 mld. Kč a u zaměstnaneckých pojišťoven činí výše těchto pohledávek cca 1,65 mld. Kč. V součtu by se tedy jednalo o pohledávky ve výši cca 5,35 mld. Kč.</w:t>
      </w:r>
    </w:p>
    <w:p w:rsidR="00F40273" w:rsidRDefault="00F40273" w:rsidP="00F40273">
      <w:pPr>
        <w:jc w:val="both"/>
        <w:rPr>
          <w:rFonts w:cs="Times New Roman"/>
          <w:sz w:val="24"/>
          <w:szCs w:val="24"/>
        </w:rPr>
      </w:pPr>
      <w:r>
        <w:rPr>
          <w:rFonts w:cs="Times New Roman"/>
          <w:sz w:val="24"/>
          <w:szCs w:val="24"/>
        </w:rPr>
        <w:t>K předložení právní úpravy odkupu nedobytných pohledávek by mělo dojít takový způsobem, aby mohl být zohledněn při přípravě státního rozpočtu na rok 2015 a v tomto roce rovněž realizován. Ministerstvo zdravotnictví předpokládá, že odkoupené pohledávky nebudou podléhat přerozdělení a budou přímým příjmem jednotlivých zdravotních pojišťoven. Při přípravě paragrafového znění tohoto opatření bude Ministerstvo zdravotnictví spolupracovat se zdravotními pojišťovnami i ostatními sociálními partnery.</w:t>
      </w:r>
    </w:p>
    <w:p w:rsidR="00F40273" w:rsidRDefault="00F40273" w:rsidP="00F40273">
      <w:pPr>
        <w:jc w:val="both"/>
        <w:rPr>
          <w:rFonts w:cs="Times New Roman"/>
          <w:sz w:val="24"/>
          <w:szCs w:val="24"/>
        </w:rPr>
      </w:pPr>
    </w:p>
    <w:p w:rsidR="00213264" w:rsidRDefault="00213264" w:rsidP="00F40273">
      <w:pPr>
        <w:pStyle w:val="Nadpis1"/>
        <w:rPr>
          <w:color w:val="auto"/>
        </w:rPr>
      </w:pPr>
      <w:bookmarkStart w:id="15" w:name="_Toc384356091"/>
      <w:r w:rsidRPr="00213264">
        <w:rPr>
          <w:color w:val="auto"/>
        </w:rPr>
        <w:lastRenderedPageBreak/>
        <w:t>Koncepce hygienické služby a prevence nemocí</w:t>
      </w:r>
      <w:bookmarkEnd w:id="15"/>
    </w:p>
    <w:p w:rsidR="00213264" w:rsidRPr="00213264" w:rsidRDefault="00213264" w:rsidP="00213264"/>
    <w:p w:rsidR="00213264" w:rsidRPr="00213264" w:rsidRDefault="00213264" w:rsidP="00213264">
      <w:pPr>
        <w:pStyle w:val="Odstavecseseznamem"/>
        <w:spacing w:after="120"/>
        <w:ind w:left="0"/>
        <w:jc w:val="both"/>
        <w:rPr>
          <w:rFonts w:cs="Times New Roman"/>
          <w:sz w:val="24"/>
          <w:szCs w:val="24"/>
        </w:rPr>
      </w:pPr>
      <w:r w:rsidRPr="00213264">
        <w:rPr>
          <w:rFonts w:cs="Times New Roman"/>
          <w:sz w:val="24"/>
          <w:szCs w:val="24"/>
        </w:rPr>
        <w:t>Schválená Koncepce hygienické služby a prevence nemocí je průběžně naplňována. Podstatným  problémem se ale ukazuje  ohrožení jednoho ze základních principů koncepce, a to integrity zdravotního dozoru. Toto ohrožení spočívá ve snaze upravit pozměňovacími návrhy Poslanecké sněmovně předloženou novelu zákona o potravinách, která ve stávající podobě respektuje odbornou úlohu hygienické služby a její kompetence v oblasti dozoru nad potravinami a společným stravováním. Na svém jednání 21.</w:t>
      </w:r>
      <w:r>
        <w:rPr>
          <w:rFonts w:cs="Times New Roman"/>
          <w:sz w:val="24"/>
          <w:szCs w:val="24"/>
        </w:rPr>
        <w:t> </w:t>
      </w:r>
      <w:r w:rsidRPr="00213264">
        <w:rPr>
          <w:rFonts w:cs="Times New Roman"/>
          <w:sz w:val="24"/>
          <w:szCs w:val="24"/>
        </w:rPr>
        <w:t>3.</w:t>
      </w:r>
      <w:r>
        <w:rPr>
          <w:rFonts w:cs="Times New Roman"/>
          <w:sz w:val="24"/>
          <w:szCs w:val="24"/>
        </w:rPr>
        <w:t xml:space="preserve"> </w:t>
      </w:r>
      <w:r w:rsidRPr="00213264">
        <w:rPr>
          <w:rFonts w:cs="Times New Roman"/>
          <w:sz w:val="24"/>
          <w:szCs w:val="24"/>
        </w:rPr>
        <w:t>2014 pracovní tým RHSD vyjádřil znepokojení nad uvedeným problémem a přijal následně tento závěr: Pracovní tým RHSD podporuje kroky vedení hygienické služby k naplňování koncepce. PT požaduje, aby byla zachována integrita státního zdravotního dozoru nad všemi rozhodujícími oblastmi ovlivňujícími zdraví včetně výživy a dozoru a potravinami ve společném stravování.</w:t>
      </w:r>
    </w:p>
    <w:p w:rsidR="000943D5" w:rsidRPr="00C44159" w:rsidRDefault="000943D5" w:rsidP="00C44159">
      <w:pPr>
        <w:pStyle w:val="Nadpis1"/>
        <w:rPr>
          <w:color w:val="auto"/>
        </w:rPr>
      </w:pPr>
      <w:bookmarkStart w:id="16" w:name="_Toc384356092"/>
      <w:r w:rsidRPr="00C44159">
        <w:rPr>
          <w:color w:val="auto"/>
        </w:rPr>
        <w:t>Plnění vládního programového prohlášení</w:t>
      </w:r>
      <w:bookmarkEnd w:id="16"/>
    </w:p>
    <w:p w:rsidR="00A17188" w:rsidRDefault="00A17188" w:rsidP="00A17188"/>
    <w:p w:rsidR="000943D5" w:rsidRDefault="000943D5" w:rsidP="000943D5">
      <w:pPr>
        <w:jc w:val="both"/>
      </w:pPr>
      <w:r>
        <w:t>Vláda se ve svém Programovém prohlášení zavázala k zavedení předvídatelného, stabilního a průměrným nákladům odpovídajícího systému úhrad pro všechny typy zdravotní péče.  Za účelem dosažení tohoto cíle Ministerstvo zdravotnictví předloží novelu Seznamu výkonů s bodovými hodnotami a bude dále pracovat na kultivaci systému DRG i dalších platebních mechanismů.</w:t>
      </w:r>
    </w:p>
    <w:p w:rsidR="000943D5" w:rsidRDefault="000943D5" w:rsidP="000943D5">
      <w:pPr>
        <w:jc w:val="both"/>
      </w:pPr>
    </w:p>
    <w:p w:rsidR="000943D5" w:rsidRDefault="000943D5" w:rsidP="000943D5">
      <w:pPr>
        <w:pStyle w:val="Nadpis2"/>
        <w:rPr>
          <w:color w:val="auto"/>
          <w:sz w:val="28"/>
          <w:szCs w:val="28"/>
        </w:rPr>
      </w:pPr>
      <w:bookmarkStart w:id="17" w:name="_Toc384356093"/>
      <w:r w:rsidRPr="000943D5">
        <w:rPr>
          <w:color w:val="auto"/>
          <w:sz w:val="28"/>
          <w:szCs w:val="28"/>
        </w:rPr>
        <w:t>Novelizace Seznamu výkonů:</w:t>
      </w:r>
      <w:bookmarkEnd w:id="17"/>
    </w:p>
    <w:p w:rsidR="000943D5" w:rsidRPr="000943D5" w:rsidRDefault="000943D5" w:rsidP="000943D5"/>
    <w:p w:rsidR="000943D5" w:rsidRDefault="000943D5" w:rsidP="000943D5">
      <w:pPr>
        <w:jc w:val="both"/>
      </w:pPr>
      <w:r>
        <w:t>Jedná se o novelizaci Seznamu výkonů zaměřenou primárně na odbornosti interní, laboratorní a nelékařské v rozsahu zařazení cca 300 nových výkonů a cca 1500 novelizovaných výkonů projednaných Pracovní skupinou k Seznamu výkonů.</w:t>
      </w:r>
      <w:r w:rsidR="00213264">
        <w:t xml:space="preserve"> </w:t>
      </w:r>
      <w:r>
        <w:t>Účinnost</w:t>
      </w:r>
      <w:r w:rsidR="00213264">
        <w:t xml:space="preserve"> je plánována</w:t>
      </w:r>
      <w:r>
        <w:t xml:space="preserve"> k 1. 1. 2015</w:t>
      </w:r>
      <w:r w:rsidR="00213264">
        <w:t xml:space="preserve"> s dostatečnou </w:t>
      </w:r>
      <w:proofErr w:type="spellStart"/>
      <w:r w:rsidR="00213264">
        <w:t>legisvakanční</w:t>
      </w:r>
      <w:proofErr w:type="spellEnd"/>
      <w:r w:rsidR="00213264">
        <w:t xml:space="preserve"> lhůtou, která</w:t>
      </w:r>
      <w:r>
        <w:t xml:space="preserve"> umožní všem zainteresovaným subjektům (zejména pak zdravotním pojišťovnám a poskytovatelům) se detailně seznámit se změnami v systému.</w:t>
      </w:r>
    </w:p>
    <w:p w:rsidR="000943D5" w:rsidRDefault="000943D5" w:rsidP="000943D5">
      <w:pPr>
        <w:jc w:val="both"/>
      </w:pPr>
      <w:r>
        <w:t>V rámci dalších prací po přijetí v současnosti připravované novely se předpokládá zaměření dalších prací na chirurgické odbornosti a narovnání nepřímých nákladů napříč odbornostmi.</w:t>
      </w:r>
    </w:p>
    <w:p w:rsidR="000943D5" w:rsidRDefault="000943D5" w:rsidP="000943D5">
      <w:pPr>
        <w:jc w:val="both"/>
      </w:pPr>
    </w:p>
    <w:p w:rsidR="000943D5" w:rsidRDefault="000943D5" w:rsidP="000943D5">
      <w:pPr>
        <w:pStyle w:val="Nadpis2"/>
        <w:rPr>
          <w:color w:val="auto"/>
          <w:sz w:val="28"/>
          <w:szCs w:val="28"/>
        </w:rPr>
      </w:pPr>
      <w:bookmarkStart w:id="18" w:name="_Toc384356094"/>
      <w:r w:rsidRPr="000943D5">
        <w:rPr>
          <w:color w:val="auto"/>
          <w:sz w:val="28"/>
          <w:szCs w:val="28"/>
        </w:rPr>
        <w:t>Narovnání úhrad v oblasti lůžkové péče</w:t>
      </w:r>
      <w:bookmarkEnd w:id="18"/>
    </w:p>
    <w:p w:rsidR="000943D5" w:rsidRPr="000943D5" w:rsidRDefault="000943D5" w:rsidP="000943D5"/>
    <w:p w:rsidR="000943D5" w:rsidRDefault="000943D5" w:rsidP="000943D5">
      <w:pPr>
        <w:jc w:val="both"/>
      </w:pPr>
      <w:r>
        <w:t>Ministerstvo zdravotnictví předpokládá, že v hrubých rysech bude zachována kontinuita úhradových mechanismů pro jednotlivé segmenty zdravotní péče. Mechanismus platby za akutní lůžkovou péči zůstane pravděpodobně zachován, lze nicméně očekávat změny v jednotlivých koeficientech popřípadě další sbližování tzv. základních sazeb. Doposud však nebylo ukončeno dohodovací řízení a nelze tak s určitostí závazně určit přesné parametry úhrad na rok 2015.</w:t>
      </w:r>
    </w:p>
    <w:p w:rsidR="000943D5" w:rsidRDefault="000943D5" w:rsidP="000943D5">
      <w:pPr>
        <w:jc w:val="both"/>
      </w:pPr>
      <w:r>
        <w:t xml:space="preserve">Za účelem dalšího rozvoje úhradových mechanismů bude revidován proces kultivace DRG v současné době spadající pod NRC a bude posouzena moznost jeho převedeni do kompetence MZ či jím řízené organizace. Ministerstvo zdravotnictví bude rovněž aktivně prosazovat další rozvoj systému DRG tak, aby se odstranily historicky dané nerovnosti mezi jednotlivými poskytovateli lůžkové péče způsobené nedokonalostmi v současném systému DRG. </w:t>
      </w:r>
    </w:p>
    <w:p w:rsidR="000943D5" w:rsidRDefault="000943D5" w:rsidP="000943D5">
      <w:pPr>
        <w:jc w:val="both"/>
      </w:pPr>
    </w:p>
    <w:p w:rsidR="000943D5" w:rsidRDefault="000943D5" w:rsidP="000943D5">
      <w:pPr>
        <w:pStyle w:val="Nadpis2"/>
        <w:rPr>
          <w:color w:val="auto"/>
          <w:sz w:val="28"/>
          <w:szCs w:val="28"/>
        </w:rPr>
      </w:pPr>
      <w:bookmarkStart w:id="19" w:name="_Toc384356095"/>
      <w:r w:rsidRPr="000943D5">
        <w:rPr>
          <w:color w:val="auto"/>
          <w:sz w:val="28"/>
          <w:szCs w:val="28"/>
        </w:rPr>
        <w:t>Dohled nad zdravotním pojištěním a fungováním zdravotních pojišťoven</w:t>
      </w:r>
      <w:bookmarkEnd w:id="19"/>
    </w:p>
    <w:p w:rsidR="000943D5" w:rsidRDefault="000943D5" w:rsidP="000943D5"/>
    <w:p w:rsidR="00235AA3" w:rsidRDefault="00235AA3" w:rsidP="00235AA3">
      <w:r>
        <w:t>Kroky podniknuté ministerstvem zdravotnictví ke zvýšení transparentnosti a efektivity vynakládání finančních prostředků</w:t>
      </w:r>
    </w:p>
    <w:p w:rsidR="00235AA3" w:rsidRPr="00235AA3" w:rsidRDefault="00235AA3" w:rsidP="00235AA3">
      <w:pPr>
        <w:rPr>
          <w:b/>
        </w:rPr>
      </w:pPr>
      <w:r w:rsidRPr="00235AA3">
        <w:rPr>
          <w:b/>
        </w:rPr>
        <w:t>Zveřejňování smluv</w:t>
      </w:r>
    </w:p>
    <w:p w:rsidR="00235AA3" w:rsidRDefault="00235AA3" w:rsidP="00235AA3">
      <w:pPr>
        <w:jc w:val="both"/>
      </w:pPr>
      <w:r>
        <w:t>Na základě výzvy ministra zdravotnictví došlo ze strany Všeobecné zdravotní pojišťovny k veřejnému příslibu zveřejnění všech smluv s poskytovateli o úhradě zdravotní péče. Tento krok jednoznačně přispěje ke zvýšení transparentnosti finančních toků ve zdravotnictví. Ostatní zdravotní pojišťovny se k tomuto kroku také postupně zavazují, považují však za nutné vyžádat si stanovisko od druhé smluvní strany. Ministerstvo zdravotnictví jednoznačně deklarovalo, že zveřejňování smluv považuje za nutnost. Z toho důvodu bude situaci dále sledovat a v případě nedostatečné aktivity podnikne potřebné kroky prostřednictvím zástupců státu ve správních radách zdravotních pojišťoven.</w:t>
      </w:r>
    </w:p>
    <w:p w:rsidR="00235AA3" w:rsidRDefault="00235AA3" w:rsidP="00235AA3">
      <w:pPr>
        <w:jc w:val="both"/>
      </w:pPr>
      <w:r>
        <w:t>Povinnost zveřejňovat smlouvy včetně obecné informační povinnosti vůči Ministerstvu zdravotnictví bude zdravotním pojišťovnám uložena i legislativně.</w:t>
      </w:r>
    </w:p>
    <w:p w:rsidR="00235AA3" w:rsidRDefault="00235AA3" w:rsidP="00235AA3">
      <w:pPr>
        <w:jc w:val="both"/>
      </w:pPr>
    </w:p>
    <w:p w:rsidR="00235AA3" w:rsidRPr="00235AA3" w:rsidRDefault="00235AA3" w:rsidP="00235AA3">
      <w:pPr>
        <w:jc w:val="both"/>
        <w:rPr>
          <w:b/>
        </w:rPr>
      </w:pPr>
      <w:r w:rsidRPr="00235AA3">
        <w:rPr>
          <w:b/>
        </w:rPr>
        <w:t xml:space="preserve">Praxe získávání pojištěnců prostřednictvím </w:t>
      </w:r>
      <w:proofErr w:type="spellStart"/>
      <w:r w:rsidRPr="00235AA3">
        <w:rPr>
          <w:b/>
        </w:rPr>
        <w:t>náborářu</w:t>
      </w:r>
      <w:proofErr w:type="spellEnd"/>
    </w:p>
    <w:p w:rsidR="00235AA3" w:rsidRDefault="00235AA3" w:rsidP="00235AA3">
      <w:pPr>
        <w:jc w:val="both"/>
      </w:pPr>
      <w:r>
        <w:t xml:space="preserve">Ministerstvo zdravotnictví kritizovalo zavedenou praxi, kdy zdravotní pojišťovny provádějí nábor pojištěnců prostřednictvím třetích osob, tzv. náborářů nebo také dealerů.  Tyto aktivity s sebou nesou riziko, že třetí osoby s cílem získat provizi za převedené pojištěnce budou </w:t>
      </w:r>
      <w:proofErr w:type="spellStart"/>
      <w:r>
        <w:t>náborované</w:t>
      </w:r>
      <w:proofErr w:type="spellEnd"/>
      <w:r>
        <w:t xml:space="preserve"> pojištěnce úmyslně uvádět v omyl, sdělovat jim nepravdivé údaje, případně je jiným nekalým způsobem přesvědčovat o nutnosti přechodu k jiné zdravotní pojišťovně. Nábory pojištěnců prostřednictvím třetích osob stojí zdravotní pojišťovny nemalé finanční prostředky, které by místo tohoto neefektivního vynakládání mohly být použity na péči o zdraví pojištěnců. Z tohoto důvodu se ministr zdravotnictví rozhodl důrazně vyzvat zdravotní pojišťovny, aby od této praxe upustily. Svaz zdravotních pojišťoven k</w:t>
      </w:r>
      <w:r w:rsidR="000E4B0C">
        <w:t> tomuto tématu vydal prohlášení</w:t>
      </w:r>
      <w:r>
        <w:t xml:space="preserve">, ve kterém se zavazuje upustit od provádění náborů prostřednictvím dealerů a dealerských společností. </w:t>
      </w:r>
    </w:p>
    <w:p w:rsidR="000E4B0C" w:rsidRDefault="000E4B0C" w:rsidP="000943D5">
      <w:pPr>
        <w:jc w:val="both"/>
      </w:pPr>
    </w:p>
    <w:p w:rsidR="000943D5" w:rsidRDefault="000943D5" w:rsidP="000943D5">
      <w:pPr>
        <w:jc w:val="both"/>
      </w:pPr>
      <w:r>
        <w:t xml:space="preserve">V roce 2015 bude v souladu s výhledem legislativních prací vlády připravena novela zákona č. 551/1991 Sb., </w:t>
      </w:r>
      <w:r w:rsidR="005F08C0">
        <w:t>o </w:t>
      </w:r>
      <w:r w:rsidRPr="00C23783">
        <w:t>Všeobecné zdravotní pojišťovně České republiky</w:t>
      </w:r>
      <w:r>
        <w:t xml:space="preserve">, ve znění pozdějších předpisů, a zákona č. 280/1992 Sb., </w:t>
      </w:r>
      <w:r w:rsidR="005F08C0">
        <w:t>o </w:t>
      </w:r>
      <w:r w:rsidRPr="00C23783">
        <w:t>resortních, oborových, podnikových a dalších zdravotních pojišťovnách</w:t>
      </w:r>
      <w:r>
        <w:t>, ve znění pozdějších předpisů. Obsahově by tato legislativní změna měla vycházet z návrhu novely uvedených zákonů, která byla přerušena v průběhu meziresortního připomínkového řízení. Ministerstvo zdravotnictví předpokládá, že jejím obsahem bude minimálně řešení následujících problematických oblastí:</w:t>
      </w:r>
    </w:p>
    <w:p w:rsidR="000943D5" w:rsidRPr="0055647D" w:rsidRDefault="000943D5" w:rsidP="00031892">
      <w:pPr>
        <w:pStyle w:val="Odstavecseseznamem"/>
        <w:numPr>
          <w:ilvl w:val="0"/>
          <w:numId w:val="2"/>
        </w:numPr>
        <w:contextualSpacing/>
        <w:jc w:val="both"/>
        <w:rPr>
          <w:rFonts w:ascii="Times New Roman" w:hAnsi="Times New Roman" w:cs="Times New Roman"/>
          <w:sz w:val="24"/>
          <w:szCs w:val="24"/>
          <w:u w:val="single"/>
        </w:rPr>
      </w:pPr>
      <w:r>
        <w:t>nedostatečně upravený a nejasně vymezený dohled a kontrola nad činností zdravotních pojišťoven včetně podmínek zavedení nucené správy,</w:t>
      </w:r>
    </w:p>
    <w:p w:rsidR="000943D5" w:rsidRPr="0055647D" w:rsidRDefault="000943D5" w:rsidP="00031892">
      <w:pPr>
        <w:pStyle w:val="Odstavecseseznamem"/>
        <w:numPr>
          <w:ilvl w:val="0"/>
          <w:numId w:val="2"/>
        </w:numPr>
        <w:contextualSpacing/>
        <w:jc w:val="both"/>
        <w:rPr>
          <w:rFonts w:ascii="Times New Roman" w:hAnsi="Times New Roman" w:cs="Times New Roman"/>
          <w:sz w:val="24"/>
          <w:szCs w:val="24"/>
          <w:u w:val="single"/>
        </w:rPr>
      </w:pPr>
      <w:r>
        <w:t>nevhodné složení, vymezení rolí a odpovědností orgánů zdravotních pojišťoven,</w:t>
      </w:r>
    </w:p>
    <w:p w:rsidR="009D3EB9" w:rsidRDefault="000943D5" w:rsidP="00031892">
      <w:pPr>
        <w:pStyle w:val="Odstavecseseznamem"/>
        <w:numPr>
          <w:ilvl w:val="0"/>
          <w:numId w:val="2"/>
        </w:numPr>
        <w:contextualSpacing/>
        <w:jc w:val="both"/>
      </w:pPr>
      <w:r>
        <w:t>nedostatečné vymezení sankcí za porušení povinností zdravotními pojišťovnami podle příslušných ustanovení zákona o VZP a zákona o zaměstnaneckých pojišťovnách,</w:t>
      </w:r>
    </w:p>
    <w:p w:rsidR="009D3EB9" w:rsidRPr="009D3EB9" w:rsidRDefault="000943D5" w:rsidP="00031892">
      <w:pPr>
        <w:pStyle w:val="Odstavecseseznamem"/>
        <w:numPr>
          <w:ilvl w:val="0"/>
          <w:numId w:val="2"/>
        </w:numPr>
        <w:contextualSpacing/>
        <w:jc w:val="both"/>
      </w:pPr>
      <w:r w:rsidRPr="00062591">
        <w:t xml:space="preserve">posílení mechanismů k zajištění oddělení </w:t>
      </w:r>
      <w:r w:rsidRPr="009D3EB9">
        <w:rPr>
          <w:rFonts w:cs="TimesNewRoman"/>
        </w:rPr>
        <w:t xml:space="preserve">vlastnictví zdravotnických zařízení a zdravotních pojišťoven </w:t>
      </w:r>
    </w:p>
    <w:p w:rsidR="000943D5" w:rsidRPr="0089535F" w:rsidRDefault="000943D5" w:rsidP="00031892">
      <w:pPr>
        <w:pStyle w:val="Odstavecseseznamem"/>
        <w:numPr>
          <w:ilvl w:val="0"/>
          <w:numId w:val="2"/>
        </w:numPr>
        <w:contextualSpacing/>
        <w:jc w:val="both"/>
      </w:pPr>
      <w:r w:rsidRPr="009D3EB9">
        <w:rPr>
          <w:rFonts w:cs="TimesNewRoman"/>
        </w:rPr>
        <w:t>zamezení jejich vzájemného ovládání nebo ovládání třetí osobou.</w:t>
      </w:r>
    </w:p>
    <w:p w:rsidR="0089535F" w:rsidRDefault="0089535F" w:rsidP="0089535F">
      <w:pPr>
        <w:pStyle w:val="Nadpis2"/>
        <w:rPr>
          <w:color w:val="auto"/>
          <w:sz w:val="28"/>
          <w:szCs w:val="28"/>
        </w:rPr>
      </w:pPr>
      <w:bookmarkStart w:id="20" w:name="_Toc384356096"/>
      <w:r w:rsidRPr="0089535F">
        <w:rPr>
          <w:color w:val="auto"/>
          <w:sz w:val="28"/>
          <w:szCs w:val="28"/>
        </w:rPr>
        <w:lastRenderedPageBreak/>
        <w:t>Další navrhovaná opatření</w:t>
      </w:r>
      <w:bookmarkEnd w:id="20"/>
    </w:p>
    <w:p w:rsidR="005F08C0" w:rsidRPr="005F08C0" w:rsidRDefault="005F08C0" w:rsidP="005F08C0"/>
    <w:p w:rsidR="005F08C0" w:rsidRPr="009B3077" w:rsidRDefault="005F08C0" w:rsidP="005F08C0">
      <w:pPr>
        <w:jc w:val="center"/>
        <w:rPr>
          <w:b/>
          <w:sz w:val="24"/>
        </w:rPr>
      </w:pPr>
      <w:r w:rsidRPr="009B3077">
        <w:rPr>
          <w:b/>
          <w:sz w:val="24"/>
        </w:rPr>
        <w:t>NÁVRH SYSTÉMOVÝCH ZMĚN V OBLASTI VEŘEJNÉHO ZDRAVOTNÍHO POJIŠTĚNÍ S CÍLEM ZVÝŠIT EFEKTIVITU A TRANSPARENTNOST SYSTÉMU VEŘEJNÉHO ZDRAVOTNÍHO POJIŠTĚNÍ</w:t>
      </w:r>
    </w:p>
    <w:p w:rsidR="005F08C0" w:rsidRPr="00A17E1D" w:rsidRDefault="005F08C0" w:rsidP="005F08C0"/>
    <w:p w:rsidR="005F08C0" w:rsidRPr="005F08C0" w:rsidRDefault="005F08C0" w:rsidP="005F08C0">
      <w:pPr>
        <w:pStyle w:val="Nadpis1"/>
        <w:keepNext w:val="0"/>
        <w:keepLines w:val="0"/>
        <w:numPr>
          <w:ilvl w:val="0"/>
          <w:numId w:val="4"/>
        </w:numPr>
        <w:spacing w:before="0" w:after="200"/>
        <w:contextualSpacing/>
        <w:jc w:val="center"/>
        <w:rPr>
          <w:color w:val="auto"/>
        </w:rPr>
      </w:pPr>
      <w:bookmarkStart w:id="21" w:name="_Toc384356097"/>
      <w:r w:rsidRPr="005F08C0">
        <w:rPr>
          <w:color w:val="auto"/>
        </w:rPr>
        <w:t>Oblast zdravotního pojištění</w:t>
      </w:r>
      <w:bookmarkEnd w:id="21"/>
    </w:p>
    <w:p w:rsidR="005F08C0" w:rsidRPr="005F08C0" w:rsidRDefault="005F08C0" w:rsidP="005F08C0">
      <w:pPr>
        <w:pStyle w:val="Nadpis3"/>
        <w:keepNext w:val="0"/>
        <w:keepLines w:val="0"/>
        <w:numPr>
          <w:ilvl w:val="1"/>
          <w:numId w:val="4"/>
        </w:numPr>
        <w:spacing w:before="360" w:after="200"/>
        <w:contextualSpacing/>
        <w:jc w:val="both"/>
        <w:rPr>
          <w:color w:val="auto"/>
        </w:rPr>
      </w:pPr>
      <w:bookmarkStart w:id="22" w:name="_Toc384356098"/>
      <w:r w:rsidRPr="005F08C0">
        <w:rPr>
          <w:color w:val="auto"/>
        </w:rPr>
        <w:t>Povinné zveřejňování smluv zdravotních pojišťoven</w:t>
      </w:r>
      <w:bookmarkEnd w:id="22"/>
    </w:p>
    <w:p w:rsidR="005F08C0" w:rsidRPr="005F08C0" w:rsidRDefault="005F08C0" w:rsidP="005F08C0">
      <w:pPr>
        <w:jc w:val="both"/>
      </w:pPr>
      <w:r w:rsidRPr="005F08C0">
        <w:t xml:space="preserve">Zdravotnictví je často kritizováno za malou transparentnost finančních toků. Tlakem ministra zdravotnictví se podařilo přesvědčit zdravotní pojišťovny, aby započaly proces zveřejňování smluv. VZP již v tomto poskytla veřejný příslib, ostatní zdravotní pojišťovny provedou zapracování ustanovení o zveřejňování do smluv a potom tyto smlouvy zveřejní. </w:t>
      </w:r>
    </w:p>
    <w:p w:rsidR="005F08C0" w:rsidRPr="005F08C0" w:rsidRDefault="005F08C0" w:rsidP="005F08C0">
      <w:pPr>
        <w:jc w:val="both"/>
      </w:pPr>
      <w:r w:rsidRPr="005F08C0">
        <w:t xml:space="preserve">Ministerstvo zdravotnictví navrhuje zakotvit povinnost zveřejňování smluv včetně úhradových dodatků a údajů o produkci v referenčním období s komentářem do zákona č. 551/1991 Sb., o Všeobecné zdravotní pojišťovně České republiky, ve znění pozdějších předpisů (dále jen „zákon o Všeobecné zdravotní pojišťovně“) a zákona č. 280/1992 Sb., o resortních, oborových, podnikových a dalších zdravotních pojišťovnách, ve znění pozdějších předpisů (dále jen „zákon o zaměstnaneckých pojišťovnách“) tak, aby bylo zřejmé, za jaké výkony je placena jaká úhrada. Ministerstvo zdravotnictví již zahájilo legislativní práce pro realizaci tohoto opatření.  </w:t>
      </w:r>
    </w:p>
    <w:p w:rsidR="005F08C0" w:rsidRPr="005F08C0" w:rsidRDefault="005F08C0" w:rsidP="005F08C0">
      <w:pPr>
        <w:pStyle w:val="Nadpis3"/>
        <w:keepNext w:val="0"/>
        <w:keepLines w:val="0"/>
        <w:numPr>
          <w:ilvl w:val="1"/>
          <w:numId w:val="4"/>
        </w:numPr>
        <w:spacing w:before="360" w:after="200"/>
        <w:contextualSpacing/>
        <w:jc w:val="both"/>
        <w:rPr>
          <w:color w:val="auto"/>
        </w:rPr>
      </w:pPr>
      <w:bookmarkStart w:id="23" w:name="_Toc384356099"/>
      <w:r w:rsidRPr="005F08C0">
        <w:rPr>
          <w:color w:val="auto"/>
        </w:rPr>
        <w:t>Snížení maximálního možného přídělu do provozního fondu zdravotních pojišťoven</w:t>
      </w:r>
      <w:bookmarkEnd w:id="23"/>
    </w:p>
    <w:p w:rsidR="005F08C0" w:rsidRPr="005F08C0" w:rsidRDefault="005F08C0" w:rsidP="005F08C0">
      <w:pPr>
        <w:jc w:val="both"/>
      </w:pPr>
      <w:r w:rsidRPr="005F08C0">
        <w:t xml:space="preserve">Provozní fond slouží k financování vlastního provozu zdravotních pojišťoven. Maximální možný roční příděl do provozního fondu zdravotních pojišťoven je upraven fondovou vyhláškou Ministerstva financí č. 418/2003 Sb. V roce 2013 se koeficient přídělu pohyboval u jednotlivých zdravotních pojišťoven od 3,24 % do 3,41 %. Celkový příděl do provozních fondů všech zdravotních pojišťoven vyjádřený jako procento jejich celkových příjmů byl cca 3,13 %. </w:t>
      </w:r>
    </w:p>
    <w:p w:rsidR="005F08C0" w:rsidRPr="005F08C0" w:rsidRDefault="005F08C0" w:rsidP="005F08C0">
      <w:pPr>
        <w:jc w:val="both"/>
      </w:pPr>
      <w:r w:rsidRPr="005F08C0">
        <w:t>Ministerstvo zdravotnictví navrhne Ministerstvu financí, aby byla tato vyhláška novelizována a případně byl i upraven a zjednodušen mechanismus výpočtu. Snížení podílu přídělu do provozních fondů na celkových příjmech o 0,3 procentního bodu by znamenalo úsporu přes 700 milionů Kč. Takto uspořené finanční prostředky mohou být použity na úhradu léčby pacientů.</w:t>
      </w:r>
    </w:p>
    <w:p w:rsidR="005F08C0" w:rsidRPr="005F08C0" w:rsidRDefault="005F08C0" w:rsidP="005F08C0">
      <w:pPr>
        <w:pStyle w:val="Nadpis3"/>
        <w:keepNext w:val="0"/>
        <w:keepLines w:val="0"/>
        <w:numPr>
          <w:ilvl w:val="1"/>
          <w:numId w:val="4"/>
        </w:numPr>
        <w:spacing w:before="360" w:after="200"/>
        <w:contextualSpacing/>
        <w:jc w:val="both"/>
        <w:rPr>
          <w:color w:val="auto"/>
        </w:rPr>
      </w:pPr>
      <w:bookmarkStart w:id="24" w:name="_Toc384356100"/>
      <w:r w:rsidRPr="005F08C0">
        <w:rPr>
          <w:color w:val="auto"/>
        </w:rPr>
        <w:t>Rozšíření informační povinnosti zdravotních pojišťoven vůči Ministerstvu zdravotnictví a Ministerstvu financí</w:t>
      </w:r>
      <w:bookmarkEnd w:id="24"/>
    </w:p>
    <w:p w:rsidR="005F08C0" w:rsidRPr="005F08C0" w:rsidRDefault="005F08C0" w:rsidP="005F08C0">
      <w:pPr>
        <w:jc w:val="both"/>
      </w:pPr>
      <w:r w:rsidRPr="005F08C0">
        <w:t xml:space="preserve">Ministerstvo zdravotnictví často naráží na problém, že data potřebná pro analýzy a řízení systému nejsou k dispozici a neexistuje opora v zákoně pro provádění ad hoc sběru dat od zdravotních pojišťoven. </w:t>
      </w:r>
    </w:p>
    <w:p w:rsidR="005F08C0" w:rsidRPr="005F08C0" w:rsidRDefault="005F08C0" w:rsidP="005F08C0">
      <w:pPr>
        <w:jc w:val="both"/>
      </w:pPr>
      <w:r w:rsidRPr="005F08C0">
        <w:t xml:space="preserve">Nově navrhujeme zakotvit v zákoně o Všeobecné zdravotní pojišťovně a v zákoně o zaměstnaneckých pojišťovnách povinnost zdravotních pojišťoven poskytovat Ministerstvu zdravotnictví a také Ministerstvu financí veškerá data vzniklá při činnosti zdravotních pojišťoven, o která bude zdravotní pojišťovna požádána nad rámec informačních povinností stanovených vyhláškou č. 362/2010 Sb., o způsobu podávání informací o hospodaření zdravotních pojišťoven a jejich rozsahu. Tato data budou používána především jako podklad pro přípravu úhradové vyhlášky a pro další analytické práce na rozvoji systému veřejného zdravotního pojištění a dohledu nad zdravotními pojišťovnami. Ochrana osobních údajů bude zajištěna tak, že z povinnosti budou vyjmuta data, z nichž by bylo možné </w:t>
      </w:r>
      <w:r w:rsidRPr="005F08C0">
        <w:lastRenderedPageBreak/>
        <w:t>identifikovat konkrétního pojištěnce. V případě nutnosti předání individuálních dat budou muset být data anonymizována.</w:t>
      </w:r>
    </w:p>
    <w:p w:rsidR="005F08C0" w:rsidRPr="005F08C0" w:rsidRDefault="005F08C0" w:rsidP="005F08C0">
      <w:pPr>
        <w:pStyle w:val="Nadpis3"/>
        <w:keepNext w:val="0"/>
        <w:keepLines w:val="0"/>
        <w:numPr>
          <w:ilvl w:val="1"/>
          <w:numId w:val="4"/>
        </w:numPr>
        <w:spacing w:before="360" w:after="200"/>
        <w:contextualSpacing/>
        <w:jc w:val="both"/>
        <w:rPr>
          <w:color w:val="auto"/>
        </w:rPr>
      </w:pPr>
      <w:bookmarkStart w:id="25" w:name="_Toc384356101"/>
      <w:r w:rsidRPr="005F08C0">
        <w:rPr>
          <w:color w:val="auto"/>
        </w:rPr>
        <w:t>Zákaz provádění akvizic pojištěnců prostřednictvím třetích osob</w:t>
      </w:r>
      <w:bookmarkEnd w:id="25"/>
    </w:p>
    <w:p w:rsidR="005F08C0" w:rsidRPr="005F08C0" w:rsidRDefault="005F08C0" w:rsidP="005F08C0">
      <w:pPr>
        <w:jc w:val="both"/>
      </w:pPr>
      <w:r w:rsidRPr="005F08C0">
        <w:t>Již dlouhou dobu upozorňují některé zdravotní pojišťovny a někteří pojištěnci na nekalé praktiky tzv. dealerů, kteří pro některé zdravotní pojišťovny provádějí nábor pojištěnců. Pojištěnci jsou často uvádění v omyl, jsou jim podávány nepravdivé informace o zániku nebo přejmenování jejich zdravotní pojišťovny atd. Jelikož dealeři provádějí nábor na základě smluv za úplatu, dochází k neefektivnímu vynakládání finančních prostředků na činnosti, které pojištěncům z hlediska jejich zdravotního stavu nepřinášejí žádný benefit.</w:t>
      </w:r>
    </w:p>
    <w:p w:rsidR="005F08C0" w:rsidRPr="005F08C0" w:rsidRDefault="005F08C0" w:rsidP="005F08C0">
      <w:pPr>
        <w:jc w:val="both"/>
      </w:pPr>
      <w:r w:rsidRPr="005F08C0">
        <w:t>Na základě silného tlaku ministra zdravotnictví uzavřely zaměstnanecké zdravotní pojišťovny dne 6. 3. 2014 dohodu, že se zavazují ukončit získávání pojištěnců prostřednictvím tzv. dealerů a dealerských společností.</w:t>
      </w:r>
    </w:p>
    <w:p w:rsidR="005F08C0" w:rsidRPr="005F08C0" w:rsidRDefault="005F08C0" w:rsidP="005F08C0">
      <w:pPr>
        <w:jc w:val="both"/>
      </w:pPr>
      <w:r w:rsidRPr="005F08C0">
        <w:t>K zajištění transparentnosti přechodu pojištěnců mezi zdravotními pojišťovnami a vymahatelnosti takového opatření navrhne Ministerstvo zdravotnictví novou úpravu obsaženou v zákoně o Všeobecné zdravotní pojišťovně a v zákoně o zaměstnaneckých pojišťovnách, kterou bude výslovně zakázáno provádění náboru prostřednictvím třetích osob.</w:t>
      </w:r>
    </w:p>
    <w:p w:rsidR="005F08C0" w:rsidRPr="005F08C0" w:rsidRDefault="005F08C0" w:rsidP="005F08C0">
      <w:pPr>
        <w:pStyle w:val="Nadpis3"/>
        <w:keepNext w:val="0"/>
        <w:keepLines w:val="0"/>
        <w:numPr>
          <w:ilvl w:val="1"/>
          <w:numId w:val="4"/>
        </w:numPr>
        <w:spacing w:before="360" w:after="200"/>
        <w:contextualSpacing/>
        <w:jc w:val="both"/>
        <w:rPr>
          <w:color w:val="auto"/>
        </w:rPr>
      </w:pPr>
      <w:bookmarkStart w:id="26" w:name="_Toc384356102"/>
      <w:r w:rsidRPr="005F08C0">
        <w:rPr>
          <w:color w:val="auto"/>
        </w:rPr>
        <w:t>Snížení přídělu do rezervního fondu o polovinu</w:t>
      </w:r>
      <w:bookmarkEnd w:id="26"/>
    </w:p>
    <w:p w:rsidR="005F08C0" w:rsidRPr="005F08C0" w:rsidRDefault="005F08C0" w:rsidP="005F08C0">
      <w:pPr>
        <w:jc w:val="both"/>
      </w:pPr>
      <w:r w:rsidRPr="005F08C0">
        <w:t xml:space="preserve">Dalším způsobem zvýšení disponibilních zdrojů systému veřejného zdravotního pojištění může být snížení povinné výše rezervního fondu. </w:t>
      </w:r>
    </w:p>
    <w:p w:rsidR="005F08C0" w:rsidRPr="005F08C0" w:rsidRDefault="005F08C0" w:rsidP="005F08C0">
      <w:pPr>
        <w:jc w:val="both"/>
      </w:pPr>
      <w:r w:rsidRPr="005F08C0">
        <w:t>Zdravotní pojišťovny mají ze zákona povinnost naplňovat rezervní fond. Ten musí být naplněn alespoň ve výši 1,5 % průměrných výdajů základního fondu za tři poslední roky. Zdravotní pojišťovna je oprávněna tyto prostředky použít pouze ke krytí schodku na základním fondu a v případě pohrom a katastrof.</w:t>
      </w:r>
    </w:p>
    <w:p w:rsidR="005F08C0" w:rsidRPr="005F08C0" w:rsidRDefault="005F08C0" w:rsidP="005F08C0">
      <w:pPr>
        <w:jc w:val="both"/>
      </w:pPr>
      <w:r w:rsidRPr="005F08C0">
        <w:t xml:space="preserve">V rámci snahy o zvýšení efektivity systému veřejného zdravotního pojištění navrhuje Ministerstvo zdravotnictví mobilizovat zůstatky rezervních fondů ve prospěch základních fondů zdravotního pojištění jednotlivých zdravotních pojišťoven tím, že se povinná výše rezervního fondu </w:t>
      </w:r>
      <w:proofErr w:type="gramStart"/>
      <w:r w:rsidRPr="005F08C0">
        <w:t>sníží z 1,5</w:t>
      </w:r>
      <w:proofErr w:type="gramEnd"/>
      <w:r w:rsidRPr="005F08C0">
        <w:t xml:space="preserve"> % na 0,75 % průměrných výdajů základního fondu zdravotního pojištění za poslední 3 roky. Tímto opatřením se z rezervních fondů uvolní přibližně 600 mil. Kč.</w:t>
      </w:r>
    </w:p>
    <w:p w:rsidR="005F08C0" w:rsidRPr="005F08C0" w:rsidRDefault="005F08C0" w:rsidP="005F08C0">
      <w:pPr>
        <w:pStyle w:val="Nadpis3"/>
        <w:keepNext w:val="0"/>
        <w:keepLines w:val="0"/>
        <w:numPr>
          <w:ilvl w:val="1"/>
          <w:numId w:val="4"/>
        </w:numPr>
        <w:spacing w:before="360" w:after="200"/>
        <w:contextualSpacing/>
        <w:jc w:val="both"/>
        <w:rPr>
          <w:color w:val="auto"/>
        </w:rPr>
      </w:pPr>
      <w:bookmarkStart w:id="27" w:name="_Toc384356103"/>
      <w:r w:rsidRPr="005F08C0">
        <w:rPr>
          <w:color w:val="auto"/>
        </w:rPr>
        <w:t>Možnost spolupráce zdravotních pojišťoven při revizní činnosti</w:t>
      </w:r>
      <w:bookmarkEnd w:id="27"/>
    </w:p>
    <w:p w:rsidR="005F08C0" w:rsidRPr="005F08C0" w:rsidRDefault="005F08C0" w:rsidP="005F08C0">
      <w:pPr>
        <w:jc w:val="both"/>
      </w:pPr>
      <w:r w:rsidRPr="005F08C0">
        <w:t>Revizní činnost je nedílnou součástí práce zdravotních pojišťoven. Správně vedená revizní činnost umožňuje kontrolovat oprávněnost vykazování zdravotních služeb a lze při ní odhalit neoprávněné vykazování péče, která ve skutečnosti nebyla poskytnuta. V současné době je revizní činnost pojišťoven řešena nedostatečně efektivním způsobem, kdy jednotlivé zdravotní pojišťovny revidují vyúčtované zdravotní služby jednotlivě. Zároveň v oblasti revizní činnosti dochází ke zbytečným duplicitám, kdy několik dní po sobě jede na velkou vzdálenost revidovat téhož lékaře několik revizních lékařů, každý pouze za svou zdravotní pojišťovnu.</w:t>
      </w:r>
    </w:p>
    <w:p w:rsidR="005F08C0" w:rsidRDefault="005F08C0" w:rsidP="005F08C0">
      <w:pPr>
        <w:jc w:val="both"/>
      </w:pPr>
      <w:r w:rsidRPr="005F08C0">
        <w:t>Ministerstvo zdravotnictví proto navrhuje novelizovat příslušné zákony v tom směru, že by zdravotním pojišťovnám bylo umožněno revizní činnost sdílet, realizovat společně, případně kontrahovat u jiné zdravotní pojišťovny. Došlo by tak k úsporám z rozsahu, snížení duplicit a zefektivnění revizní činnosti. Vhodné by bylo zaměřit se více i na kontroly oprávněnosti preskripce léčiv (preskripční a indikační omezení), kontrolu duplicit, lékových interakcí a na možnost zavést projekty racionální preskripce léčiv (např. antibiotik).</w:t>
      </w:r>
    </w:p>
    <w:p w:rsidR="005F08C0" w:rsidRDefault="005F08C0" w:rsidP="005F08C0"/>
    <w:p w:rsidR="005F08C0" w:rsidRPr="005F08C0" w:rsidRDefault="005F08C0" w:rsidP="005F08C0"/>
    <w:p w:rsidR="005F08C0" w:rsidRPr="005F08C0" w:rsidRDefault="005F08C0" w:rsidP="005F08C0">
      <w:pPr>
        <w:pStyle w:val="Nadpis3"/>
        <w:keepNext w:val="0"/>
        <w:keepLines w:val="0"/>
        <w:numPr>
          <w:ilvl w:val="1"/>
          <w:numId w:val="4"/>
        </w:numPr>
        <w:spacing w:before="360" w:after="200"/>
        <w:contextualSpacing/>
        <w:jc w:val="both"/>
        <w:rPr>
          <w:color w:val="auto"/>
        </w:rPr>
      </w:pPr>
      <w:bookmarkStart w:id="28" w:name="_Toc384356104"/>
      <w:r w:rsidRPr="005F08C0">
        <w:rPr>
          <w:color w:val="auto"/>
        </w:rPr>
        <w:lastRenderedPageBreak/>
        <w:t>Zlepšení dohledu nad úhradovými mechanismy (DRG, Seznam zdravotních výkonů)</w:t>
      </w:r>
      <w:bookmarkEnd w:id="28"/>
    </w:p>
    <w:p w:rsidR="005F08C0" w:rsidRPr="005F08C0" w:rsidRDefault="005F08C0" w:rsidP="005F08C0">
      <w:pPr>
        <w:jc w:val="both"/>
      </w:pPr>
      <w:r w:rsidRPr="005F08C0">
        <w:t>V současné době je situace nevyhovující, jelikož správu a rozvoj systému DRG (hlavního úhradového mechanismu používaného v akutní lůžkové péči v České republice) spravuje Národní referenční centrum, zájmové sdružení právnických osob (zdravotních pojišťoven a sdružení poskytovatelů zdravotních služeb). Toto institucionální uspořádání nevyhovuje plně potřebě synergie mezi kultivací DRG jako úhradového nástroje a tvorbou úhradových vyhlášek Ministerstva zdravotnictví. Dalším nevyřešeným problémem je také kultivace seznamu zdravotních výkonů.</w:t>
      </w:r>
    </w:p>
    <w:p w:rsidR="005F08C0" w:rsidRPr="005F08C0" w:rsidRDefault="005F08C0" w:rsidP="005F08C0">
      <w:pPr>
        <w:jc w:val="both"/>
      </w:pPr>
      <w:r w:rsidRPr="005F08C0">
        <w:t xml:space="preserve">Ministerstvo bude činit taková opatření, aby správa a rozvoj systému DRG byly podřízeny Ministerstvu zdravotnictví. V rámci struktury přímo řízených organizací Ministerstva zdravotnictví by byla vytvořena organizace, která by měla v gesci vývoj a kultivaci úhradových a klasifikačních mechanismů ve zdravotnictví. </w:t>
      </w:r>
    </w:p>
    <w:p w:rsidR="005F08C0" w:rsidRPr="005F08C0" w:rsidRDefault="005F08C0" w:rsidP="005F08C0">
      <w:pPr>
        <w:pStyle w:val="Nadpis3"/>
        <w:keepNext w:val="0"/>
        <w:keepLines w:val="0"/>
        <w:numPr>
          <w:ilvl w:val="1"/>
          <w:numId w:val="4"/>
        </w:numPr>
        <w:spacing w:before="360" w:after="200"/>
        <w:contextualSpacing/>
        <w:jc w:val="both"/>
        <w:rPr>
          <w:color w:val="auto"/>
        </w:rPr>
      </w:pPr>
      <w:bookmarkStart w:id="29" w:name="_Toc384356105"/>
      <w:r w:rsidRPr="005F08C0">
        <w:rPr>
          <w:color w:val="auto"/>
        </w:rPr>
        <w:t>Zpřesnění úpravy střetu zájmů členů orgánů zdravotních pojišťoven</w:t>
      </w:r>
      <w:bookmarkEnd w:id="29"/>
    </w:p>
    <w:p w:rsidR="005F08C0" w:rsidRPr="005F08C0" w:rsidRDefault="005F08C0" w:rsidP="005F08C0">
      <w:pPr>
        <w:jc w:val="both"/>
      </w:pPr>
      <w:r w:rsidRPr="005F08C0">
        <w:t xml:space="preserve">Ministerstvo zdravotnictví zpracuje zpřesnění úpravy střetu zájmů pro členy orgánů zdravotních pojišťoven. Toto opatření, které bude provedeno novelizací zákona o Všeobecné zdravotní pojišťovně a zákona o zaměstnaneckých pojišťovnách, bude mít za cíl přesnější definici osob, které jsou ve střetu zájmů a zároveň budou stanoveny sankce za porušení tohoto ustanovení. </w:t>
      </w:r>
    </w:p>
    <w:p w:rsidR="005F08C0" w:rsidRPr="005F08C0" w:rsidRDefault="005F08C0" w:rsidP="005F08C0"/>
    <w:p w:rsidR="005F08C0" w:rsidRPr="005F08C0" w:rsidRDefault="005F08C0" w:rsidP="005F08C0">
      <w:pPr>
        <w:pStyle w:val="Nadpis1"/>
        <w:keepNext w:val="0"/>
        <w:keepLines w:val="0"/>
        <w:numPr>
          <w:ilvl w:val="0"/>
          <w:numId w:val="4"/>
        </w:numPr>
        <w:spacing w:before="0" w:after="200"/>
        <w:contextualSpacing/>
        <w:jc w:val="center"/>
        <w:rPr>
          <w:color w:val="auto"/>
        </w:rPr>
      </w:pPr>
      <w:bookmarkStart w:id="30" w:name="_Toc384356106"/>
      <w:r w:rsidRPr="005F08C0">
        <w:rPr>
          <w:color w:val="auto"/>
        </w:rPr>
        <w:t>Oblast zdravotních služeb</w:t>
      </w:r>
      <w:bookmarkEnd w:id="30"/>
    </w:p>
    <w:p w:rsidR="005F08C0" w:rsidRPr="005F08C0" w:rsidRDefault="005F08C0" w:rsidP="005F08C0">
      <w:pPr>
        <w:pStyle w:val="Nadpis3"/>
        <w:keepNext w:val="0"/>
        <w:keepLines w:val="0"/>
        <w:numPr>
          <w:ilvl w:val="1"/>
          <w:numId w:val="6"/>
        </w:numPr>
        <w:spacing w:before="360" w:after="200"/>
        <w:ind w:left="714" w:hanging="357"/>
        <w:contextualSpacing/>
        <w:rPr>
          <w:rFonts w:eastAsia="Times New Roman"/>
          <w:color w:val="auto"/>
        </w:rPr>
      </w:pPr>
      <w:bookmarkStart w:id="31" w:name="_Toc384356107"/>
      <w:r w:rsidRPr="005F08C0">
        <w:rPr>
          <w:rFonts w:eastAsia="Times New Roman"/>
          <w:color w:val="auto"/>
        </w:rPr>
        <w:t>Zřízení přístrojové komise</w:t>
      </w:r>
      <w:bookmarkEnd w:id="31"/>
    </w:p>
    <w:p w:rsidR="005F08C0" w:rsidRPr="005F08C0" w:rsidRDefault="005F08C0" w:rsidP="005F08C0">
      <w:pPr>
        <w:jc w:val="both"/>
      </w:pPr>
      <w:r w:rsidRPr="005F08C0">
        <w:t xml:space="preserve">Ministerstvo zdravotnictví nově zřídí jako poradní orgán ministra tzv. „přístrojovou komisi“. Úkolem této komise bude především posuzovat zdravotnické prostředky, které jsou hrazené z veřejného zdravotního pojištění, z hlediska účelnosti jejich pořízení ve vztahu k potřebě dostupnosti těchto prostředků v rámci ČR, při zohlednění jejich efektivního vytížení; obdobně bude komise posuzovat i nákup nových technologií v rámci systému veřejného zdravotního pojištění. Závěry uvedeného hodnocení budou ve formě doporučení zveřejňovány. </w:t>
      </w:r>
    </w:p>
    <w:p w:rsidR="005F08C0" w:rsidRPr="005F08C0" w:rsidRDefault="005F08C0" w:rsidP="005F08C0">
      <w:pPr>
        <w:jc w:val="both"/>
      </w:pPr>
      <w:r w:rsidRPr="005F08C0">
        <w:t xml:space="preserve">Komise bude brát v úvahu jak předpokládanou finanční náročnost investic pro státní rozpočet a veřejné zdravotní pojištění, tak i další kritéria sledovaná v rámci standardního procesu hodnocení zdravotnických technologií. Zřízení komise je již nyní Ministerstvem zdravotnictví připravováno. V budoucnu budou zkušenosti z fungování tzv. přístrojové komise použity pro založení agentury pro hodnocení zdravotnických technologií plně se řídící metodikou </w:t>
      </w:r>
      <w:proofErr w:type="spellStart"/>
      <w:r w:rsidRPr="005F08C0">
        <w:t>Health</w:t>
      </w:r>
      <w:proofErr w:type="spellEnd"/>
      <w:r w:rsidRPr="005F08C0">
        <w:t xml:space="preserve"> Technology </w:t>
      </w:r>
      <w:proofErr w:type="spellStart"/>
      <w:r w:rsidRPr="005F08C0">
        <w:t>Assesment</w:t>
      </w:r>
      <w:proofErr w:type="spellEnd"/>
      <w:r w:rsidRPr="005F08C0">
        <w:t xml:space="preserve"> (HTA).</w:t>
      </w:r>
    </w:p>
    <w:p w:rsidR="005F08C0" w:rsidRPr="005F08C0" w:rsidRDefault="005F08C0" w:rsidP="005F08C0">
      <w:pPr>
        <w:pStyle w:val="Nadpis3"/>
        <w:keepNext w:val="0"/>
        <w:keepLines w:val="0"/>
        <w:numPr>
          <w:ilvl w:val="1"/>
          <w:numId w:val="4"/>
        </w:numPr>
        <w:spacing w:before="360" w:after="200"/>
        <w:contextualSpacing/>
        <w:jc w:val="both"/>
        <w:rPr>
          <w:color w:val="auto"/>
        </w:rPr>
      </w:pPr>
      <w:bookmarkStart w:id="32" w:name="_Toc384356108"/>
      <w:r w:rsidRPr="005F08C0">
        <w:rPr>
          <w:color w:val="auto"/>
        </w:rPr>
        <w:t>Centralizace nákladné zdravotní péče do center vysoce specializované péče</w:t>
      </w:r>
      <w:bookmarkEnd w:id="32"/>
    </w:p>
    <w:p w:rsidR="005F08C0" w:rsidRPr="005F08C0" w:rsidRDefault="005F08C0" w:rsidP="005F08C0">
      <w:pPr>
        <w:jc w:val="both"/>
      </w:pPr>
      <w:r w:rsidRPr="005F08C0">
        <w:t xml:space="preserve">Ministerstvo zdravotnictví je oprávněno na základě zákona č. 372/2011 Sb., o zdravotních službách a podmínkách jejich poskytování (zákon o zdravotních službách), ve znění pozdějších předpisů, udělit poskytovateli zdravotních služeb, který splňuje ministerstvem předem stanovená kritéria, statut vysoce specializovaného centra. Postupným soustřeďováním nákladné (finančně, personálně, technicky) zdravotní péče pro řešení některých zdravotních stavů či poskytování zdravotní péče občanům se vzácnými chorobami do center vysoce specializované zdravotní péče jsou vytvářeny podmínky pro získání a udržení erudice zdravotnických pracovníků, jsou zabezpečeny podmínky pro zvyšování efektivity managementu. Soustřeďováním této nákladné péče lze dosáhnout snížení prostředků vynakládaných na diagnostiku, léčbu a další sledování jednoho pacienta při zachování nebo dokonce zvýšení kvality poskytované péče. Směřování pacientů a specializovaných diagnostických a léčebných výkonů do center vysoce specializované péče má v neposlední řadě klíčový význam pro postgraduální vzdělávání zdravotnických pracovníků. Snaha soustředit poskytování některých zdravotních výkonů pouze do center vysoce specializované péče z důvodu </w:t>
      </w:r>
      <w:r w:rsidRPr="005F08C0">
        <w:lastRenderedPageBreak/>
        <w:t xml:space="preserve">erudice zdravotnického personálu a snížení výskytu zdravotních komplikací však nemůže v současné době bez úpravy platné legislativy  zabránit tomu, aby zdravotní pojišťovny </w:t>
      </w:r>
      <w:proofErr w:type="spellStart"/>
      <w:r w:rsidRPr="005F08C0">
        <w:t>nasmlouvávaly</w:t>
      </w:r>
      <w:proofErr w:type="spellEnd"/>
      <w:r w:rsidRPr="005F08C0">
        <w:t xml:space="preserve"> tyto výkony i s poskytovateli zdravotních služeb, kteří nemají statut centra vysoce specializované péče, neboť pro takové omezení nejsou stanoveny právními předpisy podmínky.  </w:t>
      </w:r>
    </w:p>
    <w:p w:rsidR="005F08C0" w:rsidRPr="005F08C0" w:rsidRDefault="005F08C0" w:rsidP="005F08C0">
      <w:pPr>
        <w:jc w:val="both"/>
      </w:pPr>
      <w:r w:rsidRPr="005F08C0">
        <w:t>Ministerstvo zdravotnictví proto navrhuje v návaznosti na vznik center vysoce specializované péče podle zákona o zdravotních službách upravit právní předpisy tak, aby  bylo jednoznačně preferováno poskytování určité specializované péče právě v těchto centrech.</w:t>
      </w:r>
    </w:p>
    <w:p w:rsidR="005F08C0" w:rsidRPr="005F08C0" w:rsidRDefault="005F08C0" w:rsidP="005F08C0">
      <w:pPr>
        <w:pStyle w:val="Nadpis3"/>
        <w:keepNext w:val="0"/>
        <w:keepLines w:val="0"/>
        <w:numPr>
          <w:ilvl w:val="1"/>
          <w:numId w:val="4"/>
        </w:numPr>
        <w:spacing w:before="360" w:after="200"/>
        <w:contextualSpacing/>
        <w:jc w:val="both"/>
        <w:rPr>
          <w:color w:val="auto"/>
        </w:rPr>
      </w:pPr>
      <w:bookmarkStart w:id="33" w:name="_Toc384356109"/>
      <w:r w:rsidRPr="005F08C0">
        <w:rPr>
          <w:color w:val="auto"/>
        </w:rPr>
        <w:t>Dokončení koncepce systému následné a dlouhodobé lůžkové péče a domácí zdravotní péče včetně péče paliativní</w:t>
      </w:r>
      <w:bookmarkEnd w:id="33"/>
    </w:p>
    <w:p w:rsidR="005F08C0" w:rsidRPr="005F08C0" w:rsidRDefault="005F08C0" w:rsidP="005F08C0">
      <w:pPr>
        <w:jc w:val="both"/>
      </w:pPr>
      <w:r w:rsidRPr="005F08C0">
        <w:t xml:space="preserve">Cílem koncepce je nový organizační systém koordinace </w:t>
      </w:r>
      <w:proofErr w:type="spellStart"/>
      <w:r w:rsidRPr="005F08C0">
        <w:t>postakutní</w:t>
      </w:r>
      <w:proofErr w:type="spellEnd"/>
      <w:r w:rsidRPr="005F08C0">
        <w:t xml:space="preserve"> péče s návazností na akutní lůžkovou a ambulantní péči. Smyslem zamýšleného systému je položit základy poskytování diferencované a individualizované následné a dlouhodobé péče pro konkrétního nemocného podle jeho zdravotní a funkční potřebnosti. Půjde především o zpřesnění podmínek poskytování této péče, včetně nového nastavení úhrad z veřejného zdravotního pojištění.  Předpokládaným efektem je zlepšení dostupnosti </w:t>
      </w:r>
      <w:proofErr w:type="spellStart"/>
      <w:r w:rsidRPr="005F08C0">
        <w:t>postakutní</w:t>
      </w:r>
      <w:proofErr w:type="spellEnd"/>
      <w:r w:rsidRPr="005F08C0">
        <w:t xml:space="preserve"> péče při stárnutí populace a postupná eliminace převisu poptávky po těchto službách, zvýšení efektivity financování z veřejného zdravotního pojištění (neutrální finanční dopad - zachování objemu prostředků veřejného zdravotního pojištění pro tento segment péče s vyšším objemem poskytnutých služeb respektive s vyšším počtem ošetřených), zkrácení průměrné doby hospitalizace na akutním lůžku, jasné nastavení pravidel přestupů mezi jednotlivými druhy </w:t>
      </w:r>
      <w:proofErr w:type="spellStart"/>
      <w:r w:rsidRPr="005F08C0">
        <w:t>postakutní</w:t>
      </w:r>
      <w:proofErr w:type="spellEnd"/>
      <w:r w:rsidRPr="005F08C0">
        <w:t xml:space="preserve"> péče. </w:t>
      </w:r>
    </w:p>
    <w:p w:rsidR="005F08C0" w:rsidRPr="005F08C0" w:rsidRDefault="005F08C0" w:rsidP="005F08C0">
      <w:pPr>
        <w:jc w:val="both"/>
      </w:pPr>
      <w:r w:rsidRPr="005F08C0">
        <w:t>Upravení koncepce systému následné a dlouhodobé lůžkové péče včetně domácí a paliativní péče bude mít především pozitivní dopad na pacienty, kteří v důsledku svého zdravotního stavu potřebují zajištění těchto zdravotních služeb.</w:t>
      </w:r>
    </w:p>
    <w:p w:rsidR="005F08C0" w:rsidRPr="005F08C0" w:rsidRDefault="005F08C0" w:rsidP="005F08C0">
      <w:pPr>
        <w:pStyle w:val="Nadpis3"/>
        <w:keepNext w:val="0"/>
        <w:keepLines w:val="0"/>
        <w:numPr>
          <w:ilvl w:val="1"/>
          <w:numId w:val="4"/>
        </w:numPr>
        <w:spacing w:before="360" w:after="200"/>
        <w:contextualSpacing/>
        <w:jc w:val="both"/>
        <w:rPr>
          <w:color w:val="auto"/>
        </w:rPr>
      </w:pPr>
      <w:bookmarkStart w:id="34" w:name="_Toc384356110"/>
      <w:r w:rsidRPr="005F08C0">
        <w:rPr>
          <w:color w:val="auto"/>
        </w:rPr>
        <w:t>Úhradová regulace zdravotnických prostředků</w:t>
      </w:r>
      <w:bookmarkEnd w:id="34"/>
    </w:p>
    <w:p w:rsidR="005F08C0" w:rsidRPr="005F08C0" w:rsidRDefault="005F08C0" w:rsidP="005F08C0">
      <w:pPr>
        <w:jc w:val="both"/>
      </w:pPr>
      <w:r w:rsidRPr="005F08C0">
        <w:t>V ambulantní péči bude úhradový mechanismus nastaven na ekonomicky nejméně náročnou variantu (ENNV). Předpokladem pro tento způsob úhrady je řádná kategorizace zdravotnických prostředků, tj. stanovení úhradových skupin. Kategorizace včetně stanovení indikačních a preskripčních omezení je u zdravotnických prostředků předepisovaných na poukaz již provedena. Je tedy potřeba v zákoně o veřejném zdravotním pojištění doplnit mechanismus stanovení ENNV a způsob zveřejnění seznamu zdravotnických prostředků hrazených na poukaz.</w:t>
      </w:r>
    </w:p>
    <w:p w:rsidR="005F08C0" w:rsidRPr="005F08C0" w:rsidRDefault="005F08C0" w:rsidP="005F08C0">
      <w:pPr>
        <w:jc w:val="both"/>
      </w:pPr>
      <w:r w:rsidRPr="005F08C0">
        <w:t>Stejný princip je možné aplikovat u zvlášť účtovaného materiálu (ZUM). Je potřeba provést kompletní kategorizaci ZUM. Vzhledem k množství položek ZUM se práce odhaduje na cca 12 měsíců.</w:t>
      </w:r>
    </w:p>
    <w:p w:rsidR="005F08C0" w:rsidRPr="005F08C0" w:rsidRDefault="005F08C0" w:rsidP="005F08C0">
      <w:pPr>
        <w:pStyle w:val="Nadpis3"/>
        <w:keepNext w:val="0"/>
        <w:keepLines w:val="0"/>
        <w:numPr>
          <w:ilvl w:val="1"/>
          <w:numId w:val="4"/>
        </w:numPr>
        <w:spacing w:before="360" w:after="200"/>
        <w:contextualSpacing/>
        <w:jc w:val="both"/>
        <w:rPr>
          <w:color w:val="auto"/>
        </w:rPr>
      </w:pPr>
      <w:bookmarkStart w:id="35" w:name="_Toc384356111"/>
      <w:r w:rsidRPr="005F08C0">
        <w:rPr>
          <w:color w:val="auto"/>
        </w:rPr>
        <w:t>Rozšíření úhradových aukcí</w:t>
      </w:r>
      <w:bookmarkEnd w:id="35"/>
    </w:p>
    <w:p w:rsidR="005F08C0" w:rsidRPr="005F08C0" w:rsidRDefault="005F08C0" w:rsidP="005F08C0">
      <w:pPr>
        <w:jc w:val="both"/>
        <w:rPr>
          <w:lang w:eastAsia="cs-CZ"/>
        </w:rPr>
      </w:pPr>
      <w:r w:rsidRPr="005F08C0">
        <w:rPr>
          <w:lang w:eastAsia="cs-CZ"/>
        </w:rPr>
        <w:t xml:space="preserve">U hrazených léků je možné stanovit úhradu ze zdravotního pojištění na základě úhradové soutěže, která probíhá formou elektronické aukce. Jejím smyslem je zajistit dostupnost plně hrazených léků pro pacienty a zároveň zajistit úspory pro systém veřejného zdravotního pojištění. Minimální snížení úhrady potřebné podle zákona o veřejném </w:t>
      </w:r>
      <w:r w:rsidRPr="005F08C0">
        <w:t>zdravotním</w:t>
      </w:r>
      <w:r w:rsidRPr="005F08C0">
        <w:rPr>
          <w:lang w:eastAsia="cs-CZ"/>
        </w:rPr>
        <w:t xml:space="preserve"> pojištění k úspěšnému dokončení aukce je 2% oproti současné výši úhrady za den terapie. Účastník, který zvítězí v úhradové soutěži, se zavazuje zajistit dodávky daného léku po dobu zpravidla 18 měsíců, a také ručí, že po celou tuto dobu bude daný lék plně hrazený, tedy bez doplatku pacienta.</w:t>
      </w:r>
    </w:p>
    <w:p w:rsidR="005F08C0" w:rsidRDefault="005F08C0" w:rsidP="005F08C0">
      <w:pPr>
        <w:rPr>
          <w:lang w:eastAsia="cs-CZ"/>
        </w:rPr>
      </w:pPr>
      <w:r w:rsidRPr="005F08C0">
        <w:rPr>
          <w:rFonts w:cs="Arial"/>
          <w:bCs/>
        </w:rPr>
        <w:t>Státní</w:t>
      </w:r>
      <w:r w:rsidRPr="005F08C0">
        <w:rPr>
          <w:rFonts w:cs="Arial"/>
        </w:rPr>
        <w:t xml:space="preserve"> </w:t>
      </w:r>
      <w:r w:rsidRPr="005F08C0">
        <w:rPr>
          <w:rFonts w:cs="Arial"/>
          <w:bCs/>
        </w:rPr>
        <w:t>ústav</w:t>
      </w:r>
      <w:r w:rsidRPr="005F08C0">
        <w:rPr>
          <w:rFonts w:cs="Arial"/>
        </w:rPr>
        <w:t xml:space="preserve"> </w:t>
      </w:r>
      <w:r w:rsidRPr="005F08C0">
        <w:rPr>
          <w:rFonts w:cs="Arial"/>
          <w:bCs/>
        </w:rPr>
        <w:t>pro</w:t>
      </w:r>
      <w:r w:rsidRPr="005F08C0">
        <w:rPr>
          <w:rFonts w:cs="Arial"/>
        </w:rPr>
        <w:t xml:space="preserve"> </w:t>
      </w:r>
      <w:r w:rsidRPr="005F08C0">
        <w:rPr>
          <w:rFonts w:cs="Arial"/>
          <w:bCs/>
        </w:rPr>
        <w:t>kontrolu</w:t>
      </w:r>
      <w:r w:rsidRPr="005F08C0">
        <w:rPr>
          <w:rFonts w:cs="Arial"/>
        </w:rPr>
        <w:t xml:space="preserve"> </w:t>
      </w:r>
      <w:r w:rsidRPr="005F08C0">
        <w:rPr>
          <w:rFonts w:cs="Arial"/>
          <w:bCs/>
        </w:rPr>
        <w:t>léčiv</w:t>
      </w:r>
      <w:r w:rsidRPr="005F08C0">
        <w:rPr>
          <w:rFonts w:ascii="Arial" w:hAnsi="Arial" w:cs="Arial"/>
          <w:sz w:val="19"/>
          <w:szCs w:val="19"/>
        </w:rPr>
        <w:t xml:space="preserve"> </w:t>
      </w:r>
      <w:r w:rsidRPr="005F08C0">
        <w:rPr>
          <w:lang w:eastAsia="cs-CZ"/>
        </w:rPr>
        <w:t xml:space="preserve">v současné době pracuje na vytipování skupin vhodných pro úhradové aukce. </w:t>
      </w:r>
    </w:p>
    <w:p w:rsidR="005F08C0" w:rsidRPr="005F08C0" w:rsidRDefault="005F08C0" w:rsidP="005F08C0">
      <w:pPr>
        <w:rPr>
          <w:lang w:eastAsia="cs-CZ"/>
        </w:rPr>
      </w:pPr>
    </w:p>
    <w:p w:rsidR="005F08C0" w:rsidRPr="005F08C0" w:rsidRDefault="005F08C0" w:rsidP="005F08C0">
      <w:pPr>
        <w:pStyle w:val="Nadpis3"/>
        <w:keepNext w:val="0"/>
        <w:keepLines w:val="0"/>
        <w:numPr>
          <w:ilvl w:val="1"/>
          <w:numId w:val="4"/>
        </w:numPr>
        <w:spacing w:before="360" w:after="200"/>
        <w:contextualSpacing/>
        <w:jc w:val="both"/>
        <w:rPr>
          <w:color w:val="auto"/>
        </w:rPr>
      </w:pPr>
      <w:bookmarkStart w:id="36" w:name="_Toc384356112"/>
      <w:r w:rsidRPr="005F08C0">
        <w:rPr>
          <w:color w:val="auto"/>
        </w:rPr>
        <w:lastRenderedPageBreak/>
        <w:t>Rozvoj indikátorů kvality a jejich zavedení do praxe</w:t>
      </w:r>
      <w:bookmarkEnd w:id="36"/>
    </w:p>
    <w:p w:rsidR="005F08C0" w:rsidRPr="005F08C0" w:rsidRDefault="005F08C0" w:rsidP="005F08C0">
      <w:pPr>
        <w:jc w:val="both"/>
      </w:pPr>
      <w:r w:rsidRPr="005F08C0">
        <w:t>Pro zvýšení efektivity a transparentnosti systému je nutné, aby Ministerstvo zdravotnictví mělo k dispozici dostatečně validní soubor dat, nad kterými bude možné zavést příslušné indikátory kvality zdravotní péče. Několik sad těchto indikátorů již bylo dříve vytvořeno a validováno. Zbývá zavést do praktického užívání ty, které se osvědčily. Tyto indikátory bude možné použít pro hodnocení kvality a efektivity poskytovaných zdravotních služeb. S ohledem na předešlé zkušenosti se jeví jako optimální, aby sběr dat pro tyto indikátory nezatěžoval dále administrativně poskytovatele zdravotních služeb, tedy aby se pouze předávala do centrálního bodu data již sbíraná na úrovni poskytovatelů zdravotních služeb.  Nejsnáze realizovatelné jsou v současné době indikátory vycházející z dat výkazů pro zdravotní pojišťovny, kdy je však nutné z cca 150 již definovaných indikátorů vybrat ty nejvhodnější. Centrálním bodem sběru příslušných dat (výkazů pro zdravotní pojišťovny) může být Národní registr hospitalizovaných, jehož správou je pověřen Ústav zdravotnické informatiky a statistiky (dále jen ÚZIS). Pro zajištění sběru dat optimálním způsobem ode všech poskytovatelů zdravotních služeb a pro zkrácení intervalu předávání dat bude nutné upravit pokyn ÚZIS pro předávání dat do Národního registru hospitalizovaných. Takto shromážděná data mohou následně sloužit i pro veřejné či „zaslepené“ porovnávání poskytovatelů zdravotních služeb a další analýzy podle potřeby. Mimo to lze tato data o dřívějších hospitalizacích zpřístupnit pacientům a jejich ošetřujícím lékařům, což však bude vyžadovat definici těchto přístupových oprávnění v zákoně č. 372/2011 Sb., o zdravotních službách a podmínkách jejich poskytování (zákon o zdravotních službách).</w:t>
      </w:r>
    </w:p>
    <w:p w:rsidR="005F08C0" w:rsidRPr="005F08C0" w:rsidRDefault="005F08C0" w:rsidP="005F08C0">
      <w:pPr>
        <w:pStyle w:val="Nadpis3"/>
        <w:keepNext w:val="0"/>
        <w:keepLines w:val="0"/>
        <w:numPr>
          <w:ilvl w:val="1"/>
          <w:numId w:val="8"/>
        </w:numPr>
        <w:spacing w:before="360" w:after="200"/>
        <w:contextualSpacing/>
        <w:jc w:val="both"/>
        <w:rPr>
          <w:color w:val="auto"/>
        </w:rPr>
      </w:pPr>
      <w:bookmarkStart w:id="37" w:name="_Toc384356113"/>
      <w:r w:rsidRPr="005F08C0">
        <w:rPr>
          <w:color w:val="auto"/>
        </w:rPr>
        <w:t>Rozvoj systému interního hodnocení kvality podle § 47 odst. (3) písm. b) zákona č. 372/2011Sb., o zdravotních službách a podmínkách jejich poskytování (zákon o zdravotních službách).</w:t>
      </w:r>
      <w:bookmarkEnd w:id="37"/>
      <w:r w:rsidRPr="005F08C0">
        <w:rPr>
          <w:color w:val="auto"/>
        </w:rPr>
        <w:t xml:space="preserve"> </w:t>
      </w:r>
    </w:p>
    <w:p w:rsidR="005F08C0" w:rsidRPr="005F08C0" w:rsidRDefault="005F08C0" w:rsidP="005F08C0">
      <w:pPr>
        <w:jc w:val="both"/>
        <w:rPr>
          <w:rFonts w:ascii="Times New Roman" w:hAnsi="Times New Roman"/>
          <w:lang w:eastAsia="cs-CZ"/>
        </w:rPr>
      </w:pPr>
      <w:r w:rsidRPr="005F08C0">
        <w:t xml:space="preserve">Pro možný rozvoj systému interního hodnocení kvality a bezpečí je nutné, aby Ministerstvo zdravotnictví </w:t>
      </w:r>
      <w:r w:rsidRPr="005F08C0">
        <w:rPr>
          <w:bCs/>
        </w:rPr>
        <w:t xml:space="preserve">novelizací zákona o zdravotních službách, stanovilo </w:t>
      </w:r>
      <w:r w:rsidRPr="005F08C0">
        <w:t xml:space="preserve">povinné minimální požadavky pro zavedení systému interního hodnocení kvality a bezpečí také pro poskytovatele  ambulantních zdravotních služeb. Pro poskytovatele lůžkové a jednodenní péče bude nutné stanovit </w:t>
      </w:r>
      <w:r w:rsidRPr="005F08C0">
        <w:rPr>
          <w:bCs/>
        </w:rPr>
        <w:t xml:space="preserve">novou povinnost  (v současné době dobrovolný akt) - </w:t>
      </w:r>
      <w:r w:rsidRPr="005F08C0">
        <w:t>předávat data  (anonymizované údaje v rozsahu stanoveném prováděcím právním předpisem)</w:t>
      </w:r>
      <w:r w:rsidRPr="005F08C0">
        <w:rPr>
          <w:rFonts w:ascii="Times New Roman" w:hAnsi="Times New Roman"/>
          <w:lang w:eastAsia="cs-CZ"/>
        </w:rPr>
        <w:t xml:space="preserve"> </w:t>
      </w:r>
      <w:r w:rsidRPr="005F08C0">
        <w:t xml:space="preserve">z interního systému hodnocení kvality a bezpečí poskytovaných zdravotních služeb do Systému hlášení nežádoucích událostí. </w:t>
      </w:r>
    </w:p>
    <w:p w:rsidR="005F08C0" w:rsidRPr="005F08C0" w:rsidRDefault="005F08C0" w:rsidP="005F08C0">
      <w:pPr>
        <w:pStyle w:val="Nadpis1"/>
        <w:keepNext w:val="0"/>
        <w:keepLines w:val="0"/>
        <w:numPr>
          <w:ilvl w:val="0"/>
          <w:numId w:val="4"/>
        </w:numPr>
        <w:spacing w:before="0" w:after="200"/>
        <w:contextualSpacing/>
        <w:jc w:val="center"/>
        <w:rPr>
          <w:color w:val="auto"/>
        </w:rPr>
      </w:pPr>
      <w:bookmarkStart w:id="38" w:name="_Toc384356114"/>
      <w:r w:rsidRPr="005F08C0">
        <w:rPr>
          <w:color w:val="auto"/>
        </w:rPr>
        <w:t>Oblast ekonomiky a řízení organizací v přímé působnosti Ministerstva zdravotnictví</w:t>
      </w:r>
      <w:bookmarkEnd w:id="38"/>
    </w:p>
    <w:p w:rsidR="005F08C0" w:rsidRPr="005F08C0" w:rsidRDefault="005F08C0" w:rsidP="005F08C0">
      <w:pPr>
        <w:pStyle w:val="Nadpis3"/>
        <w:keepNext w:val="0"/>
        <w:keepLines w:val="0"/>
        <w:numPr>
          <w:ilvl w:val="1"/>
          <w:numId w:val="4"/>
        </w:numPr>
        <w:spacing w:before="360" w:after="200"/>
        <w:contextualSpacing/>
        <w:jc w:val="both"/>
        <w:rPr>
          <w:color w:val="auto"/>
        </w:rPr>
      </w:pPr>
      <w:bookmarkStart w:id="39" w:name="_Toc384356115"/>
      <w:r w:rsidRPr="005F08C0">
        <w:rPr>
          <w:color w:val="auto"/>
        </w:rPr>
        <w:t>Systém řízení organizací zřízených Ministerstvem zdravotnictví</w:t>
      </w:r>
      <w:bookmarkEnd w:id="39"/>
      <w:r w:rsidRPr="005F08C0">
        <w:rPr>
          <w:color w:val="auto"/>
        </w:rPr>
        <w:t xml:space="preserve">  </w:t>
      </w:r>
    </w:p>
    <w:p w:rsidR="005F08C0" w:rsidRPr="005F08C0" w:rsidRDefault="005F08C0" w:rsidP="005F08C0">
      <w:pPr>
        <w:jc w:val="both"/>
      </w:pPr>
      <w:r w:rsidRPr="005F08C0">
        <w:t>Téměř polovina výdajů na lůžkovou péči je směřována k poskytovatelům lůžkové péče zřízeným Ministerstvem zdravotnictví. S ohledem na tuto skutečnost navrhujeme pro zvýšení transparentnosti a udržitelnosti této části zdravotního systému následující opatření.</w:t>
      </w:r>
    </w:p>
    <w:p w:rsidR="005F08C0" w:rsidRPr="005F08C0" w:rsidRDefault="005F08C0" w:rsidP="005F08C0">
      <w:pPr>
        <w:jc w:val="both"/>
      </w:pPr>
      <w:r w:rsidRPr="005F08C0">
        <w:t>Poskytovatelům lůžkové péče zřízeným Ministerstvem zdravotnictví bude nařízeno poskytnout zdravotním pojišťovnám souhlas se zveřejněním smluv o poskytování a úhradě hrazených služeb. Toto opatření zajistí transparentnost smluvních vztahů mezi poskytovateli zdravotních služeb a zdravotními pojišťovnami, umožní porovnání a vyhodnocení stanovených podmínek s ostatními poskytovateli zdravotních služeb.</w:t>
      </w:r>
    </w:p>
    <w:p w:rsidR="005F08C0" w:rsidRPr="005F08C0" w:rsidRDefault="005F08C0" w:rsidP="005F08C0">
      <w:pPr>
        <w:jc w:val="both"/>
      </w:pPr>
      <w:r w:rsidRPr="005F08C0">
        <w:t>V oblasti sledování hospodaření poskytovatelů lůžkové péče zřízených Ministerstvem zdravotnictví bude Ministerstvo zdravotnictví průběžně vyhodnocovat platební schopnost jednotlivých organizací, monitorovat jejich úroveň a tempo zadlužování a sledovat jejich finanční stabilitu, což umožní určit případné nestandardní, či nežádoucí chování při nakládání s finančními prostředky.</w:t>
      </w:r>
    </w:p>
    <w:p w:rsidR="005F08C0" w:rsidRPr="005F08C0" w:rsidRDefault="005F08C0" w:rsidP="005F08C0">
      <w:pPr>
        <w:jc w:val="both"/>
      </w:pPr>
      <w:r w:rsidRPr="005F08C0">
        <w:t xml:space="preserve">Dále Ministerstvo zdravotnictví stanoví a bude vyhodnocovat obecné porovnatelné ukazatele vykazované zdravotní péče poskytnuté poskytovateli lůžkové péče zřízenými Ministerstvem zdravotnictví. Toto opatření ve spojení </w:t>
      </w:r>
      <w:r w:rsidRPr="005F08C0">
        <w:lastRenderedPageBreak/>
        <w:t xml:space="preserve">s předchozím návrhem umožní dokonaleji vyhodnocovat hospodárnost nakládání s prostředky veřejného zdravotního pojištění. </w:t>
      </w:r>
    </w:p>
    <w:p w:rsidR="005F08C0" w:rsidRPr="005F08C0" w:rsidRDefault="005F08C0" w:rsidP="005F08C0">
      <w:pPr>
        <w:pStyle w:val="Nadpis3"/>
        <w:keepNext w:val="0"/>
        <w:keepLines w:val="0"/>
        <w:numPr>
          <w:ilvl w:val="1"/>
          <w:numId w:val="4"/>
        </w:numPr>
        <w:spacing w:before="360" w:after="200"/>
        <w:contextualSpacing/>
        <w:jc w:val="both"/>
        <w:rPr>
          <w:color w:val="auto"/>
        </w:rPr>
      </w:pPr>
      <w:bookmarkStart w:id="40" w:name="_Toc384356116"/>
      <w:r w:rsidRPr="005F08C0">
        <w:rPr>
          <w:color w:val="auto"/>
        </w:rPr>
        <w:t>Reporting smluv s dodavateli včetně zveřejňování jednotkových cen nakupovaných služeb</w:t>
      </w:r>
      <w:bookmarkEnd w:id="40"/>
    </w:p>
    <w:p w:rsidR="005F08C0" w:rsidRPr="005F08C0" w:rsidRDefault="005F08C0" w:rsidP="005F08C0">
      <w:pPr>
        <w:jc w:val="both"/>
      </w:pPr>
      <w:r w:rsidRPr="005F08C0">
        <w:t>Za účelem zvýšení transparentnosti vynakládání veřejných prostředků bude poskytovatelům lůžkové péče zřízeným Ministerstvem zdravotnictví uložena povinnost zveřejňovat všechny smlouvy s dodavateli. Zároveň bude uloženo, aby poskytovatelé lůžkové péče zřízení Ministerstvem zdravotnictví zveřejňovali jednotkové ceny nakupovaných služeb. Toto opatření umožní porovnání schopnosti organizací nakupovat služby efektivně a zamezí vyvádění finančních prostředků.</w:t>
      </w:r>
    </w:p>
    <w:p w:rsidR="005F08C0" w:rsidRPr="005F08C0" w:rsidRDefault="005F08C0" w:rsidP="005F08C0">
      <w:pPr>
        <w:pStyle w:val="Nadpis3"/>
        <w:keepNext w:val="0"/>
        <w:keepLines w:val="0"/>
        <w:numPr>
          <w:ilvl w:val="1"/>
          <w:numId w:val="4"/>
        </w:numPr>
        <w:spacing w:before="360" w:after="200"/>
        <w:contextualSpacing/>
        <w:jc w:val="both"/>
        <w:rPr>
          <w:color w:val="auto"/>
        </w:rPr>
      </w:pPr>
      <w:bookmarkStart w:id="41" w:name="_Toc384356117"/>
      <w:r w:rsidRPr="005F08C0">
        <w:rPr>
          <w:color w:val="auto"/>
        </w:rPr>
        <w:t>Omezení outsourcingu</w:t>
      </w:r>
      <w:bookmarkEnd w:id="41"/>
    </w:p>
    <w:p w:rsidR="005F08C0" w:rsidRPr="005F08C0" w:rsidRDefault="005F08C0" w:rsidP="005F08C0">
      <w:pPr>
        <w:jc w:val="both"/>
      </w:pPr>
      <w:r w:rsidRPr="005F08C0">
        <w:t>Outsourcing může být vhodným nástrojem ke snížení nákladů na zajištění činností, které nejsou hlavními činnostmi poskytovatelů zdravotních služeb. Může však také sloužit jako zástěrka pro vyvádění finančních prostředků z nemocnic. Z tohoto důvodu bude Ministerstvo zdravotnictví velmi podrobně analyzovat rozsah outsourcingu ve svých přímo řízených organizacích a v případě, že budou při analýze zjištěny nesrovnalosti, bude následovat důkladná kontrola a sankce.</w:t>
      </w:r>
    </w:p>
    <w:p w:rsidR="005F08C0" w:rsidRPr="005F08C0" w:rsidRDefault="005F08C0" w:rsidP="005F08C0">
      <w:pPr>
        <w:pStyle w:val="Nadpis3"/>
        <w:keepNext w:val="0"/>
        <w:keepLines w:val="0"/>
        <w:numPr>
          <w:ilvl w:val="1"/>
          <w:numId w:val="4"/>
        </w:numPr>
        <w:spacing w:before="360" w:after="200"/>
        <w:contextualSpacing/>
        <w:jc w:val="both"/>
        <w:rPr>
          <w:color w:val="auto"/>
        </w:rPr>
      </w:pPr>
      <w:bookmarkStart w:id="42" w:name="_Toc384356118"/>
      <w:r w:rsidRPr="005F08C0">
        <w:rPr>
          <w:color w:val="auto"/>
        </w:rPr>
        <w:t>Centralizace nákupů</w:t>
      </w:r>
      <w:bookmarkEnd w:id="42"/>
    </w:p>
    <w:p w:rsidR="005F08C0" w:rsidRPr="005F08C0" w:rsidRDefault="005F08C0" w:rsidP="005F08C0">
      <w:pPr>
        <w:jc w:val="both"/>
      </w:pPr>
      <w:r w:rsidRPr="005F08C0">
        <w:t xml:space="preserve">V minulosti již byly ze strany Ministerstva zdravotnictví organizovány centrální nákupy komodit jako elektrická energie a plyn, které byly nakupovány na komoditní burze Kladno. V současné době se připravuje centralizovaný nákup bezpečnostních služeb, osobních automobilů, kancelářských potřeb a kancelářského zařízení. Ministerstvo zdravotnictví bude v maximální míře provádět centralizované nákupy u komodit, u nichž je předpokládána finanční úspora při tomto způsobu nákupu. Centralizované nákupy se budou v budoucnu týkat i některého zdravotnického materiálu a léčivých přípravků. </w:t>
      </w:r>
    </w:p>
    <w:p w:rsidR="0089535F" w:rsidRDefault="0089535F" w:rsidP="0089535F"/>
    <w:sectPr w:rsidR="0089535F" w:rsidSect="00DB597C">
      <w:footerReference w:type="default" r:id="rId10"/>
      <w:pgSz w:w="11907" w:h="16839" w:code="9"/>
      <w:pgMar w:top="720" w:right="720" w:bottom="720" w:left="720" w:header="708" w:footer="708" w:gutter="0"/>
      <w:pgNumType w:start="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3D7" w:rsidRDefault="00A403D7" w:rsidP="00821E99">
      <w:pPr>
        <w:spacing w:after="0" w:line="240" w:lineRule="auto"/>
      </w:pPr>
      <w:r>
        <w:separator/>
      </w:r>
    </w:p>
  </w:endnote>
  <w:endnote w:type="continuationSeparator" w:id="0">
    <w:p w:rsidR="00A403D7" w:rsidRDefault="00A403D7" w:rsidP="00821E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64" w:rsidRDefault="00F73AC7">
    <w:pPr>
      <w:pStyle w:val="Zpat"/>
      <w:jc w:val="center"/>
    </w:pPr>
    <w:r>
      <w:fldChar w:fldCharType="begin"/>
    </w:r>
    <w:r w:rsidR="00213264">
      <w:instrText>PAGE   \* MERGEFORMAT</w:instrText>
    </w:r>
    <w:r>
      <w:fldChar w:fldCharType="separate"/>
    </w:r>
    <w:r w:rsidR="00565AE6">
      <w:rPr>
        <w:noProof/>
      </w:rPr>
      <w:t>15</w:t>
    </w:r>
    <w:r>
      <w:rPr>
        <w:noProof/>
      </w:rPr>
      <w:fldChar w:fldCharType="end"/>
    </w:r>
  </w:p>
  <w:p w:rsidR="00213264" w:rsidRDefault="0021326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3D7" w:rsidRDefault="00A403D7" w:rsidP="00821E99">
      <w:pPr>
        <w:spacing w:after="0" w:line="240" w:lineRule="auto"/>
      </w:pPr>
      <w:r>
        <w:separator/>
      </w:r>
    </w:p>
  </w:footnote>
  <w:footnote w:type="continuationSeparator" w:id="0">
    <w:p w:rsidR="00A403D7" w:rsidRDefault="00A403D7" w:rsidP="00821E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D38"/>
    <w:multiLevelType w:val="multilevel"/>
    <w:tmpl w:val="23C22A96"/>
    <w:lvl w:ilvl="0">
      <w:start w:val="1"/>
      <w:numFmt w:val="decimal"/>
      <w:pStyle w:val="Nadpis1"/>
      <w:lvlText w:val="%1"/>
      <w:lvlJc w:val="left"/>
      <w:pPr>
        <w:ind w:left="432" w:hanging="432"/>
      </w:pPr>
      <w:rPr>
        <w:rFonts w:hint="default"/>
        <w:color w:val="auto"/>
      </w:rPr>
    </w:lvl>
    <w:lvl w:ilvl="1">
      <w:start w:val="1"/>
      <w:numFmt w:val="decimal"/>
      <w:pStyle w:val="Nadpis2"/>
      <w:lvlText w:val="%1.%2"/>
      <w:lvlJc w:val="left"/>
      <w:pPr>
        <w:ind w:left="576" w:hanging="576"/>
      </w:pPr>
      <w:rPr>
        <w:rFonts w:hint="default"/>
        <w:color w:val="auto"/>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D73342A"/>
    <w:multiLevelType w:val="hybridMultilevel"/>
    <w:tmpl w:val="C980B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C0358D7"/>
    <w:multiLevelType w:val="hybridMultilevel"/>
    <w:tmpl w:val="F35490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58D356D3"/>
    <w:multiLevelType w:val="multilevel"/>
    <w:tmpl w:val="DA8226F6"/>
    <w:lvl w:ilvl="0">
      <w:start w:val="1"/>
      <w:numFmt w:val="upperRoman"/>
      <w:lvlText w:val="%1."/>
      <w:lvlJc w:val="left"/>
      <w:pPr>
        <w:ind w:left="360" w:hanging="360"/>
      </w:pPr>
      <w:rPr>
        <w:rFonts w:hint="default"/>
      </w:rPr>
    </w:lvl>
    <w:lvl w:ilvl="1">
      <w:start w:val="1"/>
      <w:numFmt w:val="lowerLetter"/>
      <w:lvlText w:val="%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46D0550"/>
    <w:multiLevelType w:val="hybridMultilevel"/>
    <w:tmpl w:val="F09C4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AB00D18"/>
    <w:multiLevelType w:val="hybridMultilevel"/>
    <w:tmpl w:val="6E8EC282"/>
    <w:lvl w:ilvl="0" w:tplc="55E45BE8">
      <w:start w:val="4"/>
      <w:numFmt w:val="bullet"/>
      <w:lvlText w:val="-"/>
      <w:lvlJc w:val="left"/>
      <w:pPr>
        <w:ind w:left="720" w:hanging="360"/>
      </w:pPr>
      <w:rPr>
        <w:rFonts w:ascii="Calibri" w:eastAsiaTheme="minorHAnsi" w:hAnsi="Calibri" w:cstheme="minorBidi" w:hint="default"/>
        <w:sz w:val="22"/>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startOverride w:val="1"/>
    </w:lvlOverride>
    <w:lvlOverride w:ilvl="1">
      <w:startOverride w:val="7"/>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9D5237"/>
    <w:rsid w:val="0000207E"/>
    <w:rsid w:val="000036B0"/>
    <w:rsid w:val="00020694"/>
    <w:rsid w:val="0002219B"/>
    <w:rsid w:val="00024D7D"/>
    <w:rsid w:val="00031892"/>
    <w:rsid w:val="00052317"/>
    <w:rsid w:val="000607D4"/>
    <w:rsid w:val="0006188A"/>
    <w:rsid w:val="00062A2A"/>
    <w:rsid w:val="00063AE2"/>
    <w:rsid w:val="0008159A"/>
    <w:rsid w:val="000845D9"/>
    <w:rsid w:val="00085953"/>
    <w:rsid w:val="000908CA"/>
    <w:rsid w:val="000943D5"/>
    <w:rsid w:val="00094CFF"/>
    <w:rsid w:val="00095985"/>
    <w:rsid w:val="000A3CFA"/>
    <w:rsid w:val="000B64A9"/>
    <w:rsid w:val="000C2E62"/>
    <w:rsid w:val="000C549B"/>
    <w:rsid w:val="000C7022"/>
    <w:rsid w:val="000D6EE0"/>
    <w:rsid w:val="000E4B0C"/>
    <w:rsid w:val="000E5AC6"/>
    <w:rsid w:val="000F698D"/>
    <w:rsid w:val="00105EE8"/>
    <w:rsid w:val="00120194"/>
    <w:rsid w:val="00127E82"/>
    <w:rsid w:val="00133F17"/>
    <w:rsid w:val="0014646B"/>
    <w:rsid w:val="0015367C"/>
    <w:rsid w:val="001547EF"/>
    <w:rsid w:val="00160453"/>
    <w:rsid w:val="00171A20"/>
    <w:rsid w:val="00171C4C"/>
    <w:rsid w:val="001733B4"/>
    <w:rsid w:val="00180ADE"/>
    <w:rsid w:val="001817B8"/>
    <w:rsid w:val="00184600"/>
    <w:rsid w:val="00194926"/>
    <w:rsid w:val="00197C92"/>
    <w:rsid w:val="001A4B65"/>
    <w:rsid w:val="001B3737"/>
    <w:rsid w:val="001C6993"/>
    <w:rsid w:val="001D203C"/>
    <w:rsid w:val="001D2E5A"/>
    <w:rsid w:val="001E18DA"/>
    <w:rsid w:val="001F19D2"/>
    <w:rsid w:val="001F47BE"/>
    <w:rsid w:val="001F5199"/>
    <w:rsid w:val="00210207"/>
    <w:rsid w:val="00213264"/>
    <w:rsid w:val="00223358"/>
    <w:rsid w:val="0022595D"/>
    <w:rsid w:val="002335E1"/>
    <w:rsid w:val="00235AA3"/>
    <w:rsid w:val="00243F8C"/>
    <w:rsid w:val="0026347E"/>
    <w:rsid w:val="00273824"/>
    <w:rsid w:val="002830FB"/>
    <w:rsid w:val="00284678"/>
    <w:rsid w:val="00290D05"/>
    <w:rsid w:val="00297407"/>
    <w:rsid w:val="002A0247"/>
    <w:rsid w:val="002A0694"/>
    <w:rsid w:val="002B7141"/>
    <w:rsid w:val="002C0B1C"/>
    <w:rsid w:val="002C3482"/>
    <w:rsid w:val="002C591A"/>
    <w:rsid w:val="002C6207"/>
    <w:rsid w:val="002D2AFD"/>
    <w:rsid w:val="002D74B6"/>
    <w:rsid w:val="002E33C9"/>
    <w:rsid w:val="002E51D9"/>
    <w:rsid w:val="002F4920"/>
    <w:rsid w:val="0030328E"/>
    <w:rsid w:val="00303A61"/>
    <w:rsid w:val="00303D12"/>
    <w:rsid w:val="00307333"/>
    <w:rsid w:val="003207C1"/>
    <w:rsid w:val="00320C6D"/>
    <w:rsid w:val="00321D73"/>
    <w:rsid w:val="0033088E"/>
    <w:rsid w:val="00337201"/>
    <w:rsid w:val="003414BB"/>
    <w:rsid w:val="00362F27"/>
    <w:rsid w:val="00372EE1"/>
    <w:rsid w:val="003A3404"/>
    <w:rsid w:val="003A743E"/>
    <w:rsid w:val="003B091A"/>
    <w:rsid w:val="003B2860"/>
    <w:rsid w:val="003B652A"/>
    <w:rsid w:val="003D19F5"/>
    <w:rsid w:val="003D1C59"/>
    <w:rsid w:val="003E5FD0"/>
    <w:rsid w:val="003F69F3"/>
    <w:rsid w:val="00401729"/>
    <w:rsid w:val="004334A1"/>
    <w:rsid w:val="00447BFC"/>
    <w:rsid w:val="00450CB8"/>
    <w:rsid w:val="00453A0E"/>
    <w:rsid w:val="00463959"/>
    <w:rsid w:val="00465856"/>
    <w:rsid w:val="00491C9D"/>
    <w:rsid w:val="0049243B"/>
    <w:rsid w:val="004966FD"/>
    <w:rsid w:val="004A228C"/>
    <w:rsid w:val="004A70CB"/>
    <w:rsid w:val="004A7EDF"/>
    <w:rsid w:val="004B55A4"/>
    <w:rsid w:val="004C108A"/>
    <w:rsid w:val="004D1833"/>
    <w:rsid w:val="004F7CEE"/>
    <w:rsid w:val="00501766"/>
    <w:rsid w:val="0051783B"/>
    <w:rsid w:val="00523B2D"/>
    <w:rsid w:val="00526016"/>
    <w:rsid w:val="00536A84"/>
    <w:rsid w:val="005511B9"/>
    <w:rsid w:val="00562200"/>
    <w:rsid w:val="00565AE6"/>
    <w:rsid w:val="005709A9"/>
    <w:rsid w:val="00571E4D"/>
    <w:rsid w:val="00577352"/>
    <w:rsid w:val="005841DA"/>
    <w:rsid w:val="005853CB"/>
    <w:rsid w:val="0059795A"/>
    <w:rsid w:val="005B2682"/>
    <w:rsid w:val="005B4F6A"/>
    <w:rsid w:val="005B7458"/>
    <w:rsid w:val="005C007E"/>
    <w:rsid w:val="005C3871"/>
    <w:rsid w:val="005C446D"/>
    <w:rsid w:val="005C544D"/>
    <w:rsid w:val="005C6916"/>
    <w:rsid w:val="005E199A"/>
    <w:rsid w:val="005F08C0"/>
    <w:rsid w:val="005F6162"/>
    <w:rsid w:val="005F704A"/>
    <w:rsid w:val="006023BD"/>
    <w:rsid w:val="006051E5"/>
    <w:rsid w:val="006055AA"/>
    <w:rsid w:val="006059C4"/>
    <w:rsid w:val="00607F56"/>
    <w:rsid w:val="00613BAB"/>
    <w:rsid w:val="0061429E"/>
    <w:rsid w:val="006352DB"/>
    <w:rsid w:val="0064762B"/>
    <w:rsid w:val="006541A9"/>
    <w:rsid w:val="006548E0"/>
    <w:rsid w:val="00665C0F"/>
    <w:rsid w:val="00677653"/>
    <w:rsid w:val="00691A9F"/>
    <w:rsid w:val="006A2D30"/>
    <w:rsid w:val="006B6B15"/>
    <w:rsid w:val="006C4BA7"/>
    <w:rsid w:val="006D00B8"/>
    <w:rsid w:val="006E4C5E"/>
    <w:rsid w:val="006E7658"/>
    <w:rsid w:val="006F2385"/>
    <w:rsid w:val="00700D6E"/>
    <w:rsid w:val="00727EA2"/>
    <w:rsid w:val="00734D93"/>
    <w:rsid w:val="0074072C"/>
    <w:rsid w:val="00754073"/>
    <w:rsid w:val="00760519"/>
    <w:rsid w:val="00767C1E"/>
    <w:rsid w:val="00777E03"/>
    <w:rsid w:val="00785742"/>
    <w:rsid w:val="007865EB"/>
    <w:rsid w:val="0079292E"/>
    <w:rsid w:val="007A7191"/>
    <w:rsid w:val="007A75B1"/>
    <w:rsid w:val="007A7999"/>
    <w:rsid w:val="007C2702"/>
    <w:rsid w:val="007F76C8"/>
    <w:rsid w:val="00805D8F"/>
    <w:rsid w:val="0081107A"/>
    <w:rsid w:val="00821E99"/>
    <w:rsid w:val="008248E4"/>
    <w:rsid w:val="008258E4"/>
    <w:rsid w:val="00847B66"/>
    <w:rsid w:val="00860572"/>
    <w:rsid w:val="00861333"/>
    <w:rsid w:val="008629DF"/>
    <w:rsid w:val="0086729F"/>
    <w:rsid w:val="00871C7A"/>
    <w:rsid w:val="008731F4"/>
    <w:rsid w:val="008763C6"/>
    <w:rsid w:val="00886E58"/>
    <w:rsid w:val="008917E0"/>
    <w:rsid w:val="00893822"/>
    <w:rsid w:val="0089535F"/>
    <w:rsid w:val="008A288C"/>
    <w:rsid w:val="008A715E"/>
    <w:rsid w:val="008A79AD"/>
    <w:rsid w:val="008B4714"/>
    <w:rsid w:val="008C4CAC"/>
    <w:rsid w:val="008D350B"/>
    <w:rsid w:val="008D3D6F"/>
    <w:rsid w:val="008F2748"/>
    <w:rsid w:val="00900B7B"/>
    <w:rsid w:val="00904EE1"/>
    <w:rsid w:val="00906099"/>
    <w:rsid w:val="00924191"/>
    <w:rsid w:val="00925742"/>
    <w:rsid w:val="009368CC"/>
    <w:rsid w:val="00937494"/>
    <w:rsid w:val="00941F36"/>
    <w:rsid w:val="00950921"/>
    <w:rsid w:val="00952062"/>
    <w:rsid w:val="009531C3"/>
    <w:rsid w:val="009664EB"/>
    <w:rsid w:val="00983F01"/>
    <w:rsid w:val="009934EA"/>
    <w:rsid w:val="009A097A"/>
    <w:rsid w:val="009A1D40"/>
    <w:rsid w:val="009A7EDB"/>
    <w:rsid w:val="009B3077"/>
    <w:rsid w:val="009B581F"/>
    <w:rsid w:val="009C5A48"/>
    <w:rsid w:val="009C6B0C"/>
    <w:rsid w:val="009D14B3"/>
    <w:rsid w:val="009D3EB9"/>
    <w:rsid w:val="009D5237"/>
    <w:rsid w:val="009E2092"/>
    <w:rsid w:val="009E4E6D"/>
    <w:rsid w:val="009E5C62"/>
    <w:rsid w:val="00A01E2B"/>
    <w:rsid w:val="00A02490"/>
    <w:rsid w:val="00A0399D"/>
    <w:rsid w:val="00A064BC"/>
    <w:rsid w:val="00A17188"/>
    <w:rsid w:val="00A1780C"/>
    <w:rsid w:val="00A403D7"/>
    <w:rsid w:val="00A40C49"/>
    <w:rsid w:val="00A41F00"/>
    <w:rsid w:val="00A50068"/>
    <w:rsid w:val="00A50E89"/>
    <w:rsid w:val="00A5580E"/>
    <w:rsid w:val="00A62521"/>
    <w:rsid w:val="00A706D9"/>
    <w:rsid w:val="00A777EF"/>
    <w:rsid w:val="00A804B6"/>
    <w:rsid w:val="00A85513"/>
    <w:rsid w:val="00AB053E"/>
    <w:rsid w:val="00AC3427"/>
    <w:rsid w:val="00AC42BD"/>
    <w:rsid w:val="00AC6762"/>
    <w:rsid w:val="00AD3F56"/>
    <w:rsid w:val="00AE06A4"/>
    <w:rsid w:val="00AF113C"/>
    <w:rsid w:val="00B01A59"/>
    <w:rsid w:val="00B3121B"/>
    <w:rsid w:val="00B321A4"/>
    <w:rsid w:val="00B326B1"/>
    <w:rsid w:val="00B34D09"/>
    <w:rsid w:val="00B424D2"/>
    <w:rsid w:val="00B44093"/>
    <w:rsid w:val="00B46C37"/>
    <w:rsid w:val="00B46E6A"/>
    <w:rsid w:val="00B57F8E"/>
    <w:rsid w:val="00B73C26"/>
    <w:rsid w:val="00B77BF7"/>
    <w:rsid w:val="00B8204C"/>
    <w:rsid w:val="00B8323F"/>
    <w:rsid w:val="00B9337B"/>
    <w:rsid w:val="00B93CD1"/>
    <w:rsid w:val="00BB11F2"/>
    <w:rsid w:val="00BB2B7B"/>
    <w:rsid w:val="00BC0E99"/>
    <w:rsid w:val="00BC3E8A"/>
    <w:rsid w:val="00BC413D"/>
    <w:rsid w:val="00BC78CA"/>
    <w:rsid w:val="00BD3F82"/>
    <w:rsid w:val="00BE07AE"/>
    <w:rsid w:val="00BF08F1"/>
    <w:rsid w:val="00C05408"/>
    <w:rsid w:val="00C15F58"/>
    <w:rsid w:val="00C20389"/>
    <w:rsid w:val="00C44159"/>
    <w:rsid w:val="00C501CC"/>
    <w:rsid w:val="00C6434F"/>
    <w:rsid w:val="00C6471C"/>
    <w:rsid w:val="00C75998"/>
    <w:rsid w:val="00C80BB5"/>
    <w:rsid w:val="00C920B9"/>
    <w:rsid w:val="00C92DB4"/>
    <w:rsid w:val="00CC573C"/>
    <w:rsid w:val="00CD3427"/>
    <w:rsid w:val="00CD3FC2"/>
    <w:rsid w:val="00D05265"/>
    <w:rsid w:val="00D05FD9"/>
    <w:rsid w:val="00D067F8"/>
    <w:rsid w:val="00D06DC2"/>
    <w:rsid w:val="00D12E62"/>
    <w:rsid w:val="00D137B4"/>
    <w:rsid w:val="00D25138"/>
    <w:rsid w:val="00D26C08"/>
    <w:rsid w:val="00D35163"/>
    <w:rsid w:val="00D40A4A"/>
    <w:rsid w:val="00D509E4"/>
    <w:rsid w:val="00D557B1"/>
    <w:rsid w:val="00D574E1"/>
    <w:rsid w:val="00D75F00"/>
    <w:rsid w:val="00D815FB"/>
    <w:rsid w:val="00D83646"/>
    <w:rsid w:val="00D85A15"/>
    <w:rsid w:val="00DA42E9"/>
    <w:rsid w:val="00DB30F8"/>
    <w:rsid w:val="00DB597C"/>
    <w:rsid w:val="00DC22D1"/>
    <w:rsid w:val="00DC51C1"/>
    <w:rsid w:val="00DE03FC"/>
    <w:rsid w:val="00DE712C"/>
    <w:rsid w:val="00DF160C"/>
    <w:rsid w:val="00DF5257"/>
    <w:rsid w:val="00E0678E"/>
    <w:rsid w:val="00E06F6B"/>
    <w:rsid w:val="00E16765"/>
    <w:rsid w:val="00E20E5A"/>
    <w:rsid w:val="00E2162B"/>
    <w:rsid w:val="00E3637E"/>
    <w:rsid w:val="00E4000E"/>
    <w:rsid w:val="00E5059F"/>
    <w:rsid w:val="00E519D7"/>
    <w:rsid w:val="00E55885"/>
    <w:rsid w:val="00E601E8"/>
    <w:rsid w:val="00E67629"/>
    <w:rsid w:val="00E74A0C"/>
    <w:rsid w:val="00E7799E"/>
    <w:rsid w:val="00E979C2"/>
    <w:rsid w:val="00EA0B6B"/>
    <w:rsid w:val="00ED775B"/>
    <w:rsid w:val="00EE4166"/>
    <w:rsid w:val="00F00779"/>
    <w:rsid w:val="00F06174"/>
    <w:rsid w:val="00F14B0E"/>
    <w:rsid w:val="00F211A3"/>
    <w:rsid w:val="00F40273"/>
    <w:rsid w:val="00F45ABD"/>
    <w:rsid w:val="00F45DFE"/>
    <w:rsid w:val="00F5003F"/>
    <w:rsid w:val="00F54C2B"/>
    <w:rsid w:val="00F61738"/>
    <w:rsid w:val="00F725BC"/>
    <w:rsid w:val="00F73AC7"/>
    <w:rsid w:val="00F73E7C"/>
    <w:rsid w:val="00F7540A"/>
    <w:rsid w:val="00F8561F"/>
    <w:rsid w:val="00FA7F43"/>
    <w:rsid w:val="00FB646D"/>
    <w:rsid w:val="00FC5096"/>
    <w:rsid w:val="00FE0D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A706D9"/>
    <w:pPr>
      <w:spacing w:after="200" w:line="276" w:lineRule="auto"/>
    </w:pPr>
    <w:rPr>
      <w:rFonts w:cs="Calibri"/>
      <w:lang w:eastAsia="en-US"/>
    </w:rPr>
  </w:style>
  <w:style w:type="paragraph" w:styleId="Nadpis1">
    <w:name w:val="heading 1"/>
    <w:basedOn w:val="Normln"/>
    <w:next w:val="Normln"/>
    <w:link w:val="Nadpis1Char"/>
    <w:uiPriority w:val="9"/>
    <w:qFormat/>
    <w:rsid w:val="000E5AC6"/>
    <w:pPr>
      <w:keepNext/>
      <w:keepLines/>
      <w:numPr>
        <w:numId w:val="3"/>
      </w:numPr>
      <w:spacing w:before="480" w:after="0"/>
      <w:outlineLvl w:val="0"/>
    </w:pPr>
    <w:rPr>
      <w:rFonts w:ascii="Cambria" w:eastAsia="Times New Roman" w:hAnsi="Cambria" w:cs="Cambria"/>
      <w:b/>
      <w:bCs/>
      <w:color w:val="365F91"/>
      <w:sz w:val="28"/>
      <w:szCs w:val="28"/>
    </w:rPr>
  </w:style>
  <w:style w:type="paragraph" w:styleId="Nadpis2">
    <w:name w:val="heading 2"/>
    <w:basedOn w:val="Normln"/>
    <w:next w:val="Normln"/>
    <w:link w:val="Nadpis2Char"/>
    <w:uiPriority w:val="9"/>
    <w:qFormat/>
    <w:rsid w:val="000E5AC6"/>
    <w:pPr>
      <w:keepNext/>
      <w:keepLines/>
      <w:numPr>
        <w:ilvl w:val="1"/>
        <w:numId w:val="3"/>
      </w:numPr>
      <w:spacing w:before="200" w:after="0"/>
      <w:outlineLvl w:val="1"/>
    </w:pPr>
    <w:rPr>
      <w:rFonts w:ascii="Cambria" w:eastAsia="Times New Roman" w:hAnsi="Cambria" w:cs="Cambria"/>
      <w:b/>
      <w:bCs/>
      <w:color w:val="4F81BD"/>
      <w:sz w:val="26"/>
      <w:szCs w:val="26"/>
    </w:rPr>
  </w:style>
  <w:style w:type="paragraph" w:styleId="Nadpis3">
    <w:name w:val="heading 3"/>
    <w:basedOn w:val="Normln"/>
    <w:next w:val="Normln"/>
    <w:link w:val="Nadpis3Char"/>
    <w:uiPriority w:val="9"/>
    <w:unhideWhenUsed/>
    <w:qFormat/>
    <w:locked/>
    <w:rsid w:val="006F2385"/>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locked/>
    <w:rsid w:val="000943D5"/>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0943D5"/>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0943D5"/>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locked/>
    <w:rsid w:val="000943D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locked/>
    <w:rsid w:val="000943D5"/>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locked/>
    <w:rsid w:val="000943D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0E5AC6"/>
    <w:rPr>
      <w:rFonts w:ascii="Cambria" w:eastAsia="Times New Roman" w:hAnsi="Cambria" w:cs="Cambria"/>
      <w:b/>
      <w:bCs/>
      <w:color w:val="365F91"/>
      <w:sz w:val="28"/>
      <w:szCs w:val="28"/>
      <w:lang w:eastAsia="en-US"/>
    </w:rPr>
  </w:style>
  <w:style w:type="character" w:customStyle="1" w:styleId="Nadpis2Char">
    <w:name w:val="Nadpis 2 Char"/>
    <w:basedOn w:val="Standardnpsmoodstavce"/>
    <w:link w:val="Nadpis2"/>
    <w:uiPriority w:val="9"/>
    <w:locked/>
    <w:rsid w:val="000E5AC6"/>
    <w:rPr>
      <w:rFonts w:ascii="Cambria" w:eastAsia="Times New Roman" w:hAnsi="Cambria" w:cs="Cambria"/>
      <w:b/>
      <w:bCs/>
      <w:color w:val="4F81BD"/>
      <w:sz w:val="26"/>
      <w:szCs w:val="26"/>
      <w:lang w:eastAsia="en-US"/>
    </w:rPr>
  </w:style>
  <w:style w:type="character" w:customStyle="1" w:styleId="Nadpis3Char">
    <w:name w:val="Nadpis 3 Char"/>
    <w:basedOn w:val="Standardnpsmoodstavce"/>
    <w:link w:val="Nadpis3"/>
    <w:uiPriority w:val="9"/>
    <w:rsid w:val="006F2385"/>
    <w:rPr>
      <w:rFonts w:asciiTheme="majorHAnsi" w:eastAsiaTheme="majorEastAsia" w:hAnsiTheme="majorHAnsi" w:cstheme="majorBidi"/>
      <w:b/>
      <w:bCs/>
      <w:color w:val="4F81BD" w:themeColor="accent1"/>
      <w:lang w:eastAsia="en-US"/>
    </w:rPr>
  </w:style>
  <w:style w:type="paragraph" w:styleId="Bezmezer">
    <w:name w:val="No Spacing"/>
    <w:link w:val="BezmezerChar"/>
    <w:uiPriority w:val="99"/>
    <w:qFormat/>
    <w:rsid w:val="009D5237"/>
    <w:rPr>
      <w:rFonts w:eastAsia="Times New Roman" w:cs="Calibri"/>
    </w:rPr>
  </w:style>
  <w:style w:type="character" w:customStyle="1" w:styleId="BezmezerChar">
    <w:name w:val="Bez mezer Char"/>
    <w:basedOn w:val="Standardnpsmoodstavce"/>
    <w:link w:val="Bezmezer"/>
    <w:uiPriority w:val="99"/>
    <w:locked/>
    <w:rsid w:val="009D5237"/>
    <w:rPr>
      <w:rFonts w:eastAsia="Times New Roman" w:cs="Calibri"/>
      <w:sz w:val="22"/>
      <w:szCs w:val="22"/>
      <w:lang w:val="cs-CZ" w:eastAsia="cs-CZ" w:bidi="ar-SA"/>
    </w:rPr>
  </w:style>
  <w:style w:type="paragraph" w:styleId="Textbubliny">
    <w:name w:val="Balloon Text"/>
    <w:basedOn w:val="Normln"/>
    <w:link w:val="TextbublinyChar"/>
    <w:uiPriority w:val="99"/>
    <w:semiHidden/>
    <w:rsid w:val="009D52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D5237"/>
    <w:rPr>
      <w:rFonts w:ascii="Tahoma" w:hAnsi="Tahoma" w:cs="Tahoma"/>
      <w:sz w:val="16"/>
      <w:szCs w:val="16"/>
    </w:rPr>
  </w:style>
  <w:style w:type="paragraph" w:styleId="Nzev">
    <w:name w:val="Title"/>
    <w:basedOn w:val="Normln"/>
    <w:next w:val="Normln"/>
    <w:link w:val="NzevChar"/>
    <w:uiPriority w:val="99"/>
    <w:qFormat/>
    <w:rsid w:val="000E5AC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NzevChar">
    <w:name w:val="Název Char"/>
    <w:basedOn w:val="Standardnpsmoodstavce"/>
    <w:link w:val="Nzev"/>
    <w:uiPriority w:val="99"/>
    <w:locked/>
    <w:rsid w:val="000E5AC6"/>
    <w:rPr>
      <w:rFonts w:ascii="Cambria" w:hAnsi="Cambria" w:cs="Cambria"/>
      <w:color w:val="17365D"/>
      <w:spacing w:val="5"/>
      <w:kern w:val="28"/>
      <w:sz w:val="52"/>
      <w:szCs w:val="52"/>
    </w:rPr>
  </w:style>
  <w:style w:type="paragraph" w:styleId="Nadpisobsahu">
    <w:name w:val="TOC Heading"/>
    <w:basedOn w:val="Nadpis1"/>
    <w:next w:val="Normln"/>
    <w:uiPriority w:val="39"/>
    <w:qFormat/>
    <w:rsid w:val="001E18DA"/>
    <w:pPr>
      <w:outlineLvl w:val="9"/>
    </w:pPr>
    <w:rPr>
      <w:lang w:eastAsia="cs-CZ"/>
    </w:rPr>
  </w:style>
  <w:style w:type="paragraph" w:styleId="Obsah1">
    <w:name w:val="toc 1"/>
    <w:basedOn w:val="Normln"/>
    <w:next w:val="Normln"/>
    <w:autoRedefine/>
    <w:uiPriority w:val="39"/>
    <w:qFormat/>
    <w:rsid w:val="00120194"/>
    <w:pPr>
      <w:tabs>
        <w:tab w:val="left" w:pos="426"/>
        <w:tab w:val="right" w:leader="dot" w:pos="10457"/>
      </w:tabs>
      <w:spacing w:after="100"/>
    </w:pPr>
  </w:style>
  <w:style w:type="paragraph" w:styleId="Obsah2">
    <w:name w:val="toc 2"/>
    <w:basedOn w:val="Normln"/>
    <w:next w:val="Normln"/>
    <w:autoRedefine/>
    <w:uiPriority w:val="39"/>
    <w:qFormat/>
    <w:rsid w:val="001E18DA"/>
    <w:pPr>
      <w:spacing w:after="100"/>
      <w:ind w:left="220"/>
    </w:pPr>
  </w:style>
  <w:style w:type="character" w:styleId="Hypertextovodkaz">
    <w:name w:val="Hyperlink"/>
    <w:basedOn w:val="Standardnpsmoodstavce"/>
    <w:uiPriority w:val="99"/>
    <w:rsid w:val="001E18DA"/>
    <w:rPr>
      <w:rFonts w:cs="Times New Roman"/>
      <w:color w:val="0000FF"/>
      <w:u w:val="single"/>
    </w:rPr>
  </w:style>
  <w:style w:type="paragraph" w:styleId="Odstavecseseznamem">
    <w:name w:val="List Paragraph"/>
    <w:basedOn w:val="Normln"/>
    <w:uiPriority w:val="34"/>
    <w:qFormat/>
    <w:rsid w:val="00A50E89"/>
    <w:pPr>
      <w:ind w:left="720"/>
    </w:pPr>
  </w:style>
  <w:style w:type="paragraph" w:styleId="Zhlav">
    <w:name w:val="header"/>
    <w:basedOn w:val="Normln"/>
    <w:link w:val="ZhlavChar"/>
    <w:uiPriority w:val="99"/>
    <w:rsid w:val="00821E99"/>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21E99"/>
    <w:rPr>
      <w:rFonts w:cs="Times New Roman"/>
    </w:rPr>
  </w:style>
  <w:style w:type="paragraph" w:styleId="Zpat">
    <w:name w:val="footer"/>
    <w:basedOn w:val="Normln"/>
    <w:link w:val="ZpatChar"/>
    <w:uiPriority w:val="99"/>
    <w:rsid w:val="00821E9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821E99"/>
    <w:rPr>
      <w:rFonts w:cs="Times New Roman"/>
    </w:rPr>
  </w:style>
  <w:style w:type="paragraph" w:styleId="Normlnweb">
    <w:name w:val="Normal (Web)"/>
    <w:basedOn w:val="Normln"/>
    <w:uiPriority w:val="99"/>
    <w:rsid w:val="009A1D4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uiPriority w:val="99"/>
    <w:rsid w:val="009A1D40"/>
  </w:style>
  <w:style w:type="character" w:styleId="Odkaznakoment">
    <w:name w:val="annotation reference"/>
    <w:basedOn w:val="Standardnpsmoodstavce"/>
    <w:uiPriority w:val="99"/>
    <w:semiHidden/>
    <w:rsid w:val="008D3D6F"/>
    <w:rPr>
      <w:rFonts w:cs="Times New Roman"/>
      <w:sz w:val="16"/>
      <w:szCs w:val="16"/>
    </w:rPr>
  </w:style>
  <w:style w:type="paragraph" w:styleId="Textkomente">
    <w:name w:val="annotation text"/>
    <w:basedOn w:val="Normln"/>
    <w:link w:val="TextkomenteChar"/>
    <w:uiPriority w:val="99"/>
    <w:semiHidden/>
    <w:rsid w:val="008D3D6F"/>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8D3D6F"/>
    <w:rPr>
      <w:rFonts w:cs="Times New Roman"/>
      <w:sz w:val="20"/>
      <w:szCs w:val="20"/>
    </w:rPr>
  </w:style>
  <w:style w:type="paragraph" w:styleId="Pedmtkomente">
    <w:name w:val="annotation subject"/>
    <w:basedOn w:val="Textkomente"/>
    <w:next w:val="Textkomente"/>
    <w:link w:val="PedmtkomenteChar"/>
    <w:uiPriority w:val="99"/>
    <w:semiHidden/>
    <w:rsid w:val="008D3D6F"/>
    <w:rPr>
      <w:b/>
      <w:bCs/>
    </w:rPr>
  </w:style>
  <w:style w:type="character" w:customStyle="1" w:styleId="PedmtkomenteChar">
    <w:name w:val="Předmět komentáře Char"/>
    <w:basedOn w:val="TextkomenteChar"/>
    <w:link w:val="Pedmtkomente"/>
    <w:uiPriority w:val="99"/>
    <w:semiHidden/>
    <w:locked/>
    <w:rsid w:val="008D3D6F"/>
    <w:rPr>
      <w:rFonts w:cs="Times New Roman"/>
      <w:b/>
      <w:bCs/>
      <w:sz w:val="20"/>
      <w:szCs w:val="20"/>
    </w:rPr>
  </w:style>
  <w:style w:type="paragraph" w:styleId="Textvysvtlivek">
    <w:name w:val="endnote text"/>
    <w:basedOn w:val="Normln"/>
    <w:link w:val="TextvysvtlivekChar"/>
    <w:uiPriority w:val="99"/>
    <w:semiHidden/>
    <w:rsid w:val="00BB2B7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locked/>
    <w:rsid w:val="00BB2B7B"/>
    <w:rPr>
      <w:rFonts w:cs="Times New Roman"/>
      <w:sz w:val="20"/>
      <w:szCs w:val="20"/>
    </w:rPr>
  </w:style>
  <w:style w:type="character" w:styleId="Odkaznavysvtlivky">
    <w:name w:val="endnote reference"/>
    <w:basedOn w:val="Standardnpsmoodstavce"/>
    <w:uiPriority w:val="99"/>
    <w:semiHidden/>
    <w:rsid w:val="00BB2B7B"/>
    <w:rPr>
      <w:rFonts w:cs="Times New Roman"/>
      <w:vertAlign w:val="superscript"/>
    </w:rPr>
  </w:style>
  <w:style w:type="table" w:styleId="Stednmka3zvraznn1">
    <w:name w:val="Medium Grid 3 Accent 1"/>
    <w:basedOn w:val="Normlntabulka"/>
    <w:uiPriority w:val="99"/>
    <w:rsid w:val="00A0399D"/>
    <w:rPr>
      <w:rFonts w:cs="Calibri"/>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Calibri"/>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Calibr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Calibri"/>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Calibri"/>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Calibri"/>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Calibri"/>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Obsah3">
    <w:name w:val="toc 3"/>
    <w:basedOn w:val="Normln"/>
    <w:next w:val="Normln"/>
    <w:autoRedefine/>
    <w:uiPriority w:val="39"/>
    <w:qFormat/>
    <w:locked/>
    <w:rsid w:val="000C7022"/>
    <w:pPr>
      <w:spacing w:after="100"/>
      <w:ind w:left="440"/>
    </w:pPr>
  </w:style>
  <w:style w:type="paragraph" w:styleId="Prosttext">
    <w:name w:val="Plain Text"/>
    <w:basedOn w:val="Normln"/>
    <w:link w:val="ProsttextChar"/>
    <w:uiPriority w:val="99"/>
    <w:unhideWhenUsed/>
    <w:rsid w:val="002F4920"/>
    <w:pPr>
      <w:spacing w:after="0" w:line="240" w:lineRule="auto"/>
    </w:pPr>
    <w:rPr>
      <w:rFonts w:eastAsiaTheme="minorHAnsi" w:cs="Times New Roman"/>
    </w:rPr>
  </w:style>
  <w:style w:type="character" w:customStyle="1" w:styleId="ProsttextChar">
    <w:name w:val="Prostý text Char"/>
    <w:basedOn w:val="Standardnpsmoodstavce"/>
    <w:link w:val="Prosttext"/>
    <w:uiPriority w:val="99"/>
    <w:rsid w:val="002F4920"/>
    <w:rPr>
      <w:rFonts w:eastAsiaTheme="minorHAnsi"/>
      <w:lang w:eastAsia="en-US"/>
    </w:rPr>
  </w:style>
  <w:style w:type="table" w:styleId="Svtlstnovn">
    <w:name w:val="Light Shading"/>
    <w:basedOn w:val="Normlntabulka"/>
    <w:uiPriority w:val="60"/>
    <w:rsid w:val="002F4920"/>
    <w:rPr>
      <w:rFonts w:asciiTheme="minorHAnsi" w:eastAsiaTheme="minorHAnsi" w:hAnsiTheme="minorHAnsi" w:cstheme="minorBid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adpis4Char">
    <w:name w:val="Nadpis 4 Char"/>
    <w:basedOn w:val="Standardnpsmoodstavce"/>
    <w:link w:val="Nadpis4"/>
    <w:semiHidden/>
    <w:rsid w:val="000943D5"/>
    <w:rPr>
      <w:rFonts w:asciiTheme="majorHAnsi" w:eastAsiaTheme="majorEastAsia" w:hAnsiTheme="majorHAnsi" w:cstheme="majorBidi"/>
      <w:b/>
      <w:bCs/>
      <w:i/>
      <w:iCs/>
      <w:color w:val="4F81BD" w:themeColor="accent1"/>
      <w:lang w:eastAsia="en-US"/>
    </w:rPr>
  </w:style>
  <w:style w:type="character" w:customStyle="1" w:styleId="Nadpis5Char">
    <w:name w:val="Nadpis 5 Char"/>
    <w:basedOn w:val="Standardnpsmoodstavce"/>
    <w:link w:val="Nadpis5"/>
    <w:semiHidden/>
    <w:rsid w:val="000943D5"/>
    <w:rPr>
      <w:rFonts w:asciiTheme="majorHAnsi" w:eastAsiaTheme="majorEastAsia" w:hAnsiTheme="majorHAnsi" w:cstheme="majorBidi"/>
      <w:color w:val="243F60" w:themeColor="accent1" w:themeShade="7F"/>
      <w:lang w:eastAsia="en-US"/>
    </w:rPr>
  </w:style>
  <w:style w:type="character" w:customStyle="1" w:styleId="Nadpis6Char">
    <w:name w:val="Nadpis 6 Char"/>
    <w:basedOn w:val="Standardnpsmoodstavce"/>
    <w:link w:val="Nadpis6"/>
    <w:semiHidden/>
    <w:rsid w:val="000943D5"/>
    <w:rPr>
      <w:rFonts w:asciiTheme="majorHAnsi" w:eastAsiaTheme="majorEastAsia" w:hAnsiTheme="majorHAnsi" w:cstheme="majorBidi"/>
      <w:i/>
      <w:iCs/>
      <w:color w:val="243F60" w:themeColor="accent1" w:themeShade="7F"/>
      <w:lang w:eastAsia="en-US"/>
    </w:rPr>
  </w:style>
  <w:style w:type="character" w:customStyle="1" w:styleId="Nadpis7Char">
    <w:name w:val="Nadpis 7 Char"/>
    <w:basedOn w:val="Standardnpsmoodstavce"/>
    <w:link w:val="Nadpis7"/>
    <w:semiHidden/>
    <w:rsid w:val="000943D5"/>
    <w:rPr>
      <w:rFonts w:asciiTheme="majorHAnsi" w:eastAsiaTheme="majorEastAsia" w:hAnsiTheme="majorHAnsi" w:cstheme="majorBidi"/>
      <w:i/>
      <w:iCs/>
      <w:color w:val="404040" w:themeColor="text1" w:themeTint="BF"/>
      <w:lang w:eastAsia="en-US"/>
    </w:rPr>
  </w:style>
  <w:style w:type="character" w:customStyle="1" w:styleId="Nadpis8Char">
    <w:name w:val="Nadpis 8 Char"/>
    <w:basedOn w:val="Standardnpsmoodstavce"/>
    <w:link w:val="Nadpis8"/>
    <w:semiHidden/>
    <w:rsid w:val="000943D5"/>
    <w:rPr>
      <w:rFonts w:asciiTheme="majorHAnsi" w:eastAsiaTheme="majorEastAsia" w:hAnsiTheme="majorHAnsi" w:cstheme="majorBidi"/>
      <w:color w:val="404040" w:themeColor="text1" w:themeTint="BF"/>
      <w:sz w:val="20"/>
      <w:szCs w:val="20"/>
      <w:lang w:eastAsia="en-US"/>
    </w:rPr>
  </w:style>
  <w:style w:type="character" w:customStyle="1" w:styleId="Nadpis9Char">
    <w:name w:val="Nadpis 9 Char"/>
    <w:basedOn w:val="Standardnpsmoodstavce"/>
    <w:link w:val="Nadpis9"/>
    <w:semiHidden/>
    <w:rsid w:val="000943D5"/>
    <w:rPr>
      <w:rFonts w:asciiTheme="majorHAnsi" w:eastAsiaTheme="majorEastAsia" w:hAnsiTheme="majorHAnsi" w:cstheme="majorBidi"/>
      <w:i/>
      <w:iCs/>
      <w:color w:val="404040" w:themeColor="text1" w:themeTint="BF"/>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A706D9"/>
    <w:pPr>
      <w:spacing w:after="200" w:line="276" w:lineRule="auto"/>
    </w:pPr>
    <w:rPr>
      <w:rFonts w:cs="Calibri"/>
      <w:lang w:eastAsia="en-US"/>
    </w:rPr>
  </w:style>
  <w:style w:type="paragraph" w:styleId="Nadpis1">
    <w:name w:val="heading 1"/>
    <w:basedOn w:val="Normln"/>
    <w:next w:val="Normln"/>
    <w:link w:val="Nadpis1Char"/>
    <w:uiPriority w:val="9"/>
    <w:qFormat/>
    <w:rsid w:val="000E5AC6"/>
    <w:pPr>
      <w:keepNext/>
      <w:keepLines/>
      <w:numPr>
        <w:numId w:val="3"/>
      </w:numPr>
      <w:spacing w:before="480" w:after="0"/>
      <w:outlineLvl w:val="0"/>
    </w:pPr>
    <w:rPr>
      <w:rFonts w:ascii="Cambria" w:eastAsia="Times New Roman" w:hAnsi="Cambria" w:cs="Cambria"/>
      <w:b/>
      <w:bCs/>
      <w:color w:val="365F91"/>
      <w:sz w:val="28"/>
      <w:szCs w:val="28"/>
    </w:rPr>
  </w:style>
  <w:style w:type="paragraph" w:styleId="Nadpis2">
    <w:name w:val="heading 2"/>
    <w:basedOn w:val="Normln"/>
    <w:next w:val="Normln"/>
    <w:link w:val="Nadpis2Char"/>
    <w:uiPriority w:val="9"/>
    <w:qFormat/>
    <w:rsid w:val="000E5AC6"/>
    <w:pPr>
      <w:keepNext/>
      <w:keepLines/>
      <w:numPr>
        <w:ilvl w:val="1"/>
        <w:numId w:val="3"/>
      </w:numPr>
      <w:spacing w:before="200" w:after="0"/>
      <w:outlineLvl w:val="1"/>
    </w:pPr>
    <w:rPr>
      <w:rFonts w:ascii="Cambria" w:eastAsia="Times New Roman" w:hAnsi="Cambria" w:cs="Cambria"/>
      <w:b/>
      <w:bCs/>
      <w:color w:val="4F81BD"/>
      <w:sz w:val="26"/>
      <w:szCs w:val="26"/>
    </w:rPr>
  </w:style>
  <w:style w:type="paragraph" w:styleId="Nadpis3">
    <w:name w:val="heading 3"/>
    <w:basedOn w:val="Normln"/>
    <w:next w:val="Normln"/>
    <w:link w:val="Nadpis3Char"/>
    <w:uiPriority w:val="9"/>
    <w:unhideWhenUsed/>
    <w:qFormat/>
    <w:locked/>
    <w:rsid w:val="006F2385"/>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locked/>
    <w:rsid w:val="000943D5"/>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0943D5"/>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0943D5"/>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locked/>
    <w:rsid w:val="000943D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locked/>
    <w:rsid w:val="000943D5"/>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locked/>
    <w:rsid w:val="000943D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0E5AC6"/>
    <w:rPr>
      <w:rFonts w:ascii="Cambria" w:eastAsia="Times New Roman" w:hAnsi="Cambria" w:cs="Cambria"/>
      <w:b/>
      <w:bCs/>
      <w:color w:val="365F91"/>
      <w:sz w:val="28"/>
      <w:szCs w:val="28"/>
      <w:lang w:eastAsia="en-US"/>
    </w:rPr>
  </w:style>
  <w:style w:type="character" w:customStyle="1" w:styleId="Nadpis2Char">
    <w:name w:val="Nadpis 2 Char"/>
    <w:basedOn w:val="Standardnpsmoodstavce"/>
    <w:link w:val="Nadpis2"/>
    <w:uiPriority w:val="9"/>
    <w:locked/>
    <w:rsid w:val="000E5AC6"/>
    <w:rPr>
      <w:rFonts w:ascii="Cambria" w:eastAsia="Times New Roman" w:hAnsi="Cambria" w:cs="Cambria"/>
      <w:b/>
      <w:bCs/>
      <w:color w:val="4F81BD"/>
      <w:sz w:val="26"/>
      <w:szCs w:val="26"/>
      <w:lang w:eastAsia="en-US"/>
    </w:rPr>
  </w:style>
  <w:style w:type="character" w:customStyle="1" w:styleId="Nadpis3Char">
    <w:name w:val="Nadpis 3 Char"/>
    <w:basedOn w:val="Standardnpsmoodstavce"/>
    <w:link w:val="Nadpis3"/>
    <w:uiPriority w:val="9"/>
    <w:rsid w:val="006F2385"/>
    <w:rPr>
      <w:rFonts w:asciiTheme="majorHAnsi" w:eastAsiaTheme="majorEastAsia" w:hAnsiTheme="majorHAnsi" w:cstheme="majorBidi"/>
      <w:b/>
      <w:bCs/>
      <w:color w:val="4F81BD" w:themeColor="accent1"/>
      <w:lang w:eastAsia="en-US"/>
    </w:rPr>
  </w:style>
  <w:style w:type="paragraph" w:styleId="Bezmezer">
    <w:name w:val="No Spacing"/>
    <w:link w:val="BezmezerChar"/>
    <w:uiPriority w:val="99"/>
    <w:qFormat/>
    <w:rsid w:val="009D5237"/>
    <w:rPr>
      <w:rFonts w:eastAsia="Times New Roman" w:cs="Calibri"/>
    </w:rPr>
  </w:style>
  <w:style w:type="character" w:customStyle="1" w:styleId="BezmezerChar">
    <w:name w:val="Bez mezer Char"/>
    <w:basedOn w:val="Standardnpsmoodstavce"/>
    <w:link w:val="Bezmezer"/>
    <w:uiPriority w:val="99"/>
    <w:locked/>
    <w:rsid w:val="009D5237"/>
    <w:rPr>
      <w:rFonts w:eastAsia="Times New Roman" w:cs="Calibri"/>
      <w:sz w:val="22"/>
      <w:szCs w:val="22"/>
      <w:lang w:val="cs-CZ" w:eastAsia="cs-CZ" w:bidi="ar-SA"/>
    </w:rPr>
  </w:style>
  <w:style w:type="paragraph" w:styleId="Textbubliny">
    <w:name w:val="Balloon Text"/>
    <w:basedOn w:val="Normln"/>
    <w:link w:val="TextbublinyChar"/>
    <w:uiPriority w:val="99"/>
    <w:semiHidden/>
    <w:rsid w:val="009D52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D5237"/>
    <w:rPr>
      <w:rFonts w:ascii="Tahoma" w:hAnsi="Tahoma" w:cs="Tahoma"/>
      <w:sz w:val="16"/>
      <w:szCs w:val="16"/>
    </w:rPr>
  </w:style>
  <w:style w:type="paragraph" w:styleId="Nzev">
    <w:name w:val="Title"/>
    <w:basedOn w:val="Normln"/>
    <w:next w:val="Normln"/>
    <w:link w:val="NzevChar"/>
    <w:uiPriority w:val="99"/>
    <w:qFormat/>
    <w:rsid w:val="000E5AC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NzevChar">
    <w:name w:val="Název Char"/>
    <w:basedOn w:val="Standardnpsmoodstavce"/>
    <w:link w:val="Nzev"/>
    <w:uiPriority w:val="99"/>
    <w:locked/>
    <w:rsid w:val="000E5AC6"/>
    <w:rPr>
      <w:rFonts w:ascii="Cambria" w:hAnsi="Cambria" w:cs="Cambria"/>
      <w:color w:val="17365D"/>
      <w:spacing w:val="5"/>
      <w:kern w:val="28"/>
      <w:sz w:val="52"/>
      <w:szCs w:val="52"/>
    </w:rPr>
  </w:style>
  <w:style w:type="paragraph" w:styleId="Nadpisobsahu">
    <w:name w:val="TOC Heading"/>
    <w:basedOn w:val="Nadpis1"/>
    <w:next w:val="Normln"/>
    <w:uiPriority w:val="39"/>
    <w:qFormat/>
    <w:rsid w:val="001E18DA"/>
    <w:pPr>
      <w:outlineLvl w:val="9"/>
    </w:pPr>
    <w:rPr>
      <w:lang w:eastAsia="cs-CZ"/>
    </w:rPr>
  </w:style>
  <w:style w:type="paragraph" w:styleId="Obsah1">
    <w:name w:val="toc 1"/>
    <w:basedOn w:val="Normln"/>
    <w:next w:val="Normln"/>
    <w:autoRedefine/>
    <w:uiPriority w:val="39"/>
    <w:qFormat/>
    <w:rsid w:val="00120194"/>
    <w:pPr>
      <w:tabs>
        <w:tab w:val="left" w:pos="426"/>
        <w:tab w:val="right" w:leader="dot" w:pos="10457"/>
      </w:tabs>
      <w:spacing w:after="100"/>
    </w:pPr>
  </w:style>
  <w:style w:type="paragraph" w:styleId="Obsah2">
    <w:name w:val="toc 2"/>
    <w:basedOn w:val="Normln"/>
    <w:next w:val="Normln"/>
    <w:autoRedefine/>
    <w:uiPriority w:val="39"/>
    <w:qFormat/>
    <w:rsid w:val="001E18DA"/>
    <w:pPr>
      <w:spacing w:after="100"/>
      <w:ind w:left="220"/>
    </w:pPr>
  </w:style>
  <w:style w:type="character" w:styleId="Hypertextovodkaz">
    <w:name w:val="Hyperlink"/>
    <w:basedOn w:val="Standardnpsmoodstavce"/>
    <w:uiPriority w:val="99"/>
    <w:rsid w:val="001E18DA"/>
    <w:rPr>
      <w:rFonts w:cs="Times New Roman"/>
      <w:color w:val="0000FF"/>
      <w:u w:val="single"/>
    </w:rPr>
  </w:style>
  <w:style w:type="paragraph" w:styleId="Odstavecseseznamem">
    <w:name w:val="List Paragraph"/>
    <w:basedOn w:val="Normln"/>
    <w:uiPriority w:val="34"/>
    <w:qFormat/>
    <w:rsid w:val="00A50E89"/>
    <w:pPr>
      <w:ind w:left="720"/>
    </w:pPr>
  </w:style>
  <w:style w:type="paragraph" w:styleId="Zhlav">
    <w:name w:val="header"/>
    <w:basedOn w:val="Normln"/>
    <w:link w:val="ZhlavChar"/>
    <w:uiPriority w:val="99"/>
    <w:rsid w:val="00821E99"/>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21E99"/>
    <w:rPr>
      <w:rFonts w:cs="Times New Roman"/>
    </w:rPr>
  </w:style>
  <w:style w:type="paragraph" w:styleId="Zpat">
    <w:name w:val="footer"/>
    <w:basedOn w:val="Normln"/>
    <w:link w:val="ZpatChar"/>
    <w:uiPriority w:val="99"/>
    <w:rsid w:val="00821E9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821E99"/>
    <w:rPr>
      <w:rFonts w:cs="Times New Roman"/>
    </w:rPr>
  </w:style>
  <w:style w:type="paragraph" w:styleId="Normlnweb">
    <w:name w:val="Normal (Web)"/>
    <w:basedOn w:val="Normln"/>
    <w:uiPriority w:val="99"/>
    <w:rsid w:val="009A1D4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uiPriority w:val="99"/>
    <w:rsid w:val="009A1D40"/>
  </w:style>
  <w:style w:type="character" w:styleId="Odkaznakoment">
    <w:name w:val="annotation reference"/>
    <w:basedOn w:val="Standardnpsmoodstavce"/>
    <w:uiPriority w:val="99"/>
    <w:semiHidden/>
    <w:rsid w:val="008D3D6F"/>
    <w:rPr>
      <w:rFonts w:cs="Times New Roman"/>
      <w:sz w:val="16"/>
      <w:szCs w:val="16"/>
    </w:rPr>
  </w:style>
  <w:style w:type="paragraph" w:styleId="Textkomente">
    <w:name w:val="annotation text"/>
    <w:basedOn w:val="Normln"/>
    <w:link w:val="TextkomenteChar"/>
    <w:uiPriority w:val="99"/>
    <w:semiHidden/>
    <w:rsid w:val="008D3D6F"/>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8D3D6F"/>
    <w:rPr>
      <w:rFonts w:cs="Times New Roman"/>
      <w:sz w:val="20"/>
      <w:szCs w:val="20"/>
    </w:rPr>
  </w:style>
  <w:style w:type="paragraph" w:styleId="Pedmtkomente">
    <w:name w:val="annotation subject"/>
    <w:basedOn w:val="Textkomente"/>
    <w:next w:val="Textkomente"/>
    <w:link w:val="PedmtkomenteChar"/>
    <w:uiPriority w:val="99"/>
    <w:semiHidden/>
    <w:rsid w:val="008D3D6F"/>
    <w:rPr>
      <w:b/>
      <w:bCs/>
    </w:rPr>
  </w:style>
  <w:style w:type="character" w:customStyle="1" w:styleId="PedmtkomenteChar">
    <w:name w:val="Předmět komentáře Char"/>
    <w:basedOn w:val="TextkomenteChar"/>
    <w:link w:val="Pedmtkomente"/>
    <w:uiPriority w:val="99"/>
    <w:semiHidden/>
    <w:locked/>
    <w:rsid w:val="008D3D6F"/>
    <w:rPr>
      <w:rFonts w:cs="Times New Roman"/>
      <w:b/>
      <w:bCs/>
      <w:sz w:val="20"/>
      <w:szCs w:val="20"/>
    </w:rPr>
  </w:style>
  <w:style w:type="paragraph" w:styleId="Textvysvtlivek">
    <w:name w:val="endnote text"/>
    <w:basedOn w:val="Normln"/>
    <w:link w:val="TextvysvtlivekChar"/>
    <w:uiPriority w:val="99"/>
    <w:semiHidden/>
    <w:rsid w:val="00BB2B7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locked/>
    <w:rsid w:val="00BB2B7B"/>
    <w:rPr>
      <w:rFonts w:cs="Times New Roman"/>
      <w:sz w:val="20"/>
      <w:szCs w:val="20"/>
    </w:rPr>
  </w:style>
  <w:style w:type="character" w:styleId="Odkaznavysvtlivky">
    <w:name w:val="endnote reference"/>
    <w:basedOn w:val="Standardnpsmoodstavce"/>
    <w:uiPriority w:val="99"/>
    <w:semiHidden/>
    <w:rsid w:val="00BB2B7B"/>
    <w:rPr>
      <w:rFonts w:cs="Times New Roman"/>
      <w:vertAlign w:val="superscript"/>
    </w:rPr>
  </w:style>
  <w:style w:type="table" w:styleId="Stednmka3zvraznn1">
    <w:name w:val="Medium Grid 3 Accent 1"/>
    <w:basedOn w:val="Normlntabulka"/>
    <w:uiPriority w:val="99"/>
    <w:rsid w:val="00A0399D"/>
    <w:rPr>
      <w:rFonts w:cs="Calibri"/>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Calibri"/>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Calibr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Calibri"/>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Calibri"/>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Calibri"/>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Calibri"/>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Obsah3">
    <w:name w:val="toc 3"/>
    <w:basedOn w:val="Normln"/>
    <w:next w:val="Normln"/>
    <w:autoRedefine/>
    <w:uiPriority w:val="39"/>
    <w:qFormat/>
    <w:locked/>
    <w:rsid w:val="000C7022"/>
    <w:pPr>
      <w:spacing w:after="100"/>
      <w:ind w:left="440"/>
    </w:pPr>
  </w:style>
  <w:style w:type="paragraph" w:styleId="Prosttext">
    <w:name w:val="Plain Text"/>
    <w:basedOn w:val="Normln"/>
    <w:link w:val="ProsttextChar"/>
    <w:uiPriority w:val="99"/>
    <w:unhideWhenUsed/>
    <w:rsid w:val="002F4920"/>
    <w:pPr>
      <w:spacing w:after="0" w:line="240" w:lineRule="auto"/>
    </w:pPr>
    <w:rPr>
      <w:rFonts w:eastAsiaTheme="minorHAnsi" w:cs="Times New Roman"/>
    </w:rPr>
  </w:style>
  <w:style w:type="character" w:customStyle="1" w:styleId="ProsttextChar">
    <w:name w:val="Prostý text Char"/>
    <w:basedOn w:val="Standardnpsmoodstavce"/>
    <w:link w:val="Prosttext"/>
    <w:uiPriority w:val="99"/>
    <w:rsid w:val="002F4920"/>
    <w:rPr>
      <w:rFonts w:eastAsiaTheme="minorHAnsi"/>
      <w:lang w:eastAsia="en-US"/>
    </w:rPr>
  </w:style>
  <w:style w:type="table" w:styleId="Svtlstnovn">
    <w:name w:val="Light Shading"/>
    <w:basedOn w:val="Normlntabulka"/>
    <w:uiPriority w:val="60"/>
    <w:rsid w:val="002F4920"/>
    <w:rPr>
      <w:rFonts w:asciiTheme="minorHAnsi" w:eastAsiaTheme="minorHAnsi" w:hAnsiTheme="minorHAnsi" w:cstheme="minorBid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adpis4Char">
    <w:name w:val="Nadpis 4 Char"/>
    <w:basedOn w:val="Standardnpsmoodstavce"/>
    <w:link w:val="Nadpis4"/>
    <w:semiHidden/>
    <w:rsid w:val="000943D5"/>
    <w:rPr>
      <w:rFonts w:asciiTheme="majorHAnsi" w:eastAsiaTheme="majorEastAsia" w:hAnsiTheme="majorHAnsi" w:cstheme="majorBidi"/>
      <w:b/>
      <w:bCs/>
      <w:i/>
      <w:iCs/>
      <w:color w:val="4F81BD" w:themeColor="accent1"/>
      <w:lang w:eastAsia="en-US"/>
    </w:rPr>
  </w:style>
  <w:style w:type="character" w:customStyle="1" w:styleId="Nadpis5Char">
    <w:name w:val="Nadpis 5 Char"/>
    <w:basedOn w:val="Standardnpsmoodstavce"/>
    <w:link w:val="Nadpis5"/>
    <w:semiHidden/>
    <w:rsid w:val="000943D5"/>
    <w:rPr>
      <w:rFonts w:asciiTheme="majorHAnsi" w:eastAsiaTheme="majorEastAsia" w:hAnsiTheme="majorHAnsi" w:cstheme="majorBidi"/>
      <w:color w:val="243F60" w:themeColor="accent1" w:themeShade="7F"/>
      <w:lang w:eastAsia="en-US"/>
    </w:rPr>
  </w:style>
  <w:style w:type="character" w:customStyle="1" w:styleId="Nadpis6Char">
    <w:name w:val="Nadpis 6 Char"/>
    <w:basedOn w:val="Standardnpsmoodstavce"/>
    <w:link w:val="Nadpis6"/>
    <w:semiHidden/>
    <w:rsid w:val="000943D5"/>
    <w:rPr>
      <w:rFonts w:asciiTheme="majorHAnsi" w:eastAsiaTheme="majorEastAsia" w:hAnsiTheme="majorHAnsi" w:cstheme="majorBidi"/>
      <w:i/>
      <w:iCs/>
      <w:color w:val="243F60" w:themeColor="accent1" w:themeShade="7F"/>
      <w:lang w:eastAsia="en-US"/>
    </w:rPr>
  </w:style>
  <w:style w:type="character" w:customStyle="1" w:styleId="Nadpis7Char">
    <w:name w:val="Nadpis 7 Char"/>
    <w:basedOn w:val="Standardnpsmoodstavce"/>
    <w:link w:val="Nadpis7"/>
    <w:semiHidden/>
    <w:rsid w:val="000943D5"/>
    <w:rPr>
      <w:rFonts w:asciiTheme="majorHAnsi" w:eastAsiaTheme="majorEastAsia" w:hAnsiTheme="majorHAnsi" w:cstheme="majorBidi"/>
      <w:i/>
      <w:iCs/>
      <w:color w:val="404040" w:themeColor="text1" w:themeTint="BF"/>
      <w:lang w:eastAsia="en-US"/>
    </w:rPr>
  </w:style>
  <w:style w:type="character" w:customStyle="1" w:styleId="Nadpis8Char">
    <w:name w:val="Nadpis 8 Char"/>
    <w:basedOn w:val="Standardnpsmoodstavce"/>
    <w:link w:val="Nadpis8"/>
    <w:semiHidden/>
    <w:rsid w:val="000943D5"/>
    <w:rPr>
      <w:rFonts w:asciiTheme="majorHAnsi" w:eastAsiaTheme="majorEastAsia" w:hAnsiTheme="majorHAnsi" w:cstheme="majorBidi"/>
      <w:color w:val="404040" w:themeColor="text1" w:themeTint="BF"/>
      <w:sz w:val="20"/>
      <w:szCs w:val="20"/>
      <w:lang w:eastAsia="en-US"/>
    </w:rPr>
  </w:style>
  <w:style w:type="character" w:customStyle="1" w:styleId="Nadpis9Char">
    <w:name w:val="Nadpis 9 Char"/>
    <w:basedOn w:val="Standardnpsmoodstavce"/>
    <w:link w:val="Nadpis9"/>
    <w:semiHidden/>
    <w:rsid w:val="000943D5"/>
    <w:rPr>
      <w:rFonts w:asciiTheme="majorHAnsi" w:eastAsiaTheme="majorEastAsia" w:hAnsiTheme="majorHAnsi" w:cstheme="majorBidi"/>
      <w:i/>
      <w:iCs/>
      <w:color w:val="404040" w:themeColor="text1" w:themeTint="BF"/>
      <w:sz w:val="20"/>
      <w:szCs w:val="20"/>
      <w:lang w:eastAsia="en-US"/>
    </w:rPr>
  </w:style>
</w:styles>
</file>

<file path=word/webSettings.xml><?xml version="1.0" encoding="utf-8"?>
<w:webSettings xmlns:r="http://schemas.openxmlformats.org/officeDocument/2006/relationships" xmlns:w="http://schemas.openxmlformats.org/wordprocessingml/2006/main">
  <w:divs>
    <w:div w:id="102893887">
      <w:bodyDiv w:val="1"/>
      <w:marLeft w:val="0"/>
      <w:marRight w:val="0"/>
      <w:marTop w:val="0"/>
      <w:marBottom w:val="0"/>
      <w:divBdr>
        <w:top w:val="none" w:sz="0" w:space="0" w:color="auto"/>
        <w:left w:val="none" w:sz="0" w:space="0" w:color="auto"/>
        <w:bottom w:val="none" w:sz="0" w:space="0" w:color="auto"/>
        <w:right w:val="none" w:sz="0" w:space="0" w:color="auto"/>
      </w:divBdr>
    </w:div>
    <w:div w:id="106199343">
      <w:bodyDiv w:val="1"/>
      <w:marLeft w:val="0"/>
      <w:marRight w:val="0"/>
      <w:marTop w:val="0"/>
      <w:marBottom w:val="0"/>
      <w:divBdr>
        <w:top w:val="none" w:sz="0" w:space="0" w:color="auto"/>
        <w:left w:val="none" w:sz="0" w:space="0" w:color="auto"/>
        <w:bottom w:val="none" w:sz="0" w:space="0" w:color="auto"/>
        <w:right w:val="none" w:sz="0" w:space="0" w:color="auto"/>
      </w:divBdr>
    </w:div>
    <w:div w:id="125662595">
      <w:bodyDiv w:val="1"/>
      <w:marLeft w:val="0"/>
      <w:marRight w:val="0"/>
      <w:marTop w:val="0"/>
      <w:marBottom w:val="0"/>
      <w:divBdr>
        <w:top w:val="none" w:sz="0" w:space="0" w:color="auto"/>
        <w:left w:val="none" w:sz="0" w:space="0" w:color="auto"/>
        <w:bottom w:val="none" w:sz="0" w:space="0" w:color="auto"/>
        <w:right w:val="none" w:sz="0" w:space="0" w:color="auto"/>
      </w:divBdr>
    </w:div>
    <w:div w:id="140588105">
      <w:bodyDiv w:val="1"/>
      <w:marLeft w:val="0"/>
      <w:marRight w:val="0"/>
      <w:marTop w:val="0"/>
      <w:marBottom w:val="0"/>
      <w:divBdr>
        <w:top w:val="none" w:sz="0" w:space="0" w:color="auto"/>
        <w:left w:val="none" w:sz="0" w:space="0" w:color="auto"/>
        <w:bottom w:val="none" w:sz="0" w:space="0" w:color="auto"/>
        <w:right w:val="none" w:sz="0" w:space="0" w:color="auto"/>
      </w:divBdr>
    </w:div>
    <w:div w:id="155075103">
      <w:bodyDiv w:val="1"/>
      <w:marLeft w:val="0"/>
      <w:marRight w:val="0"/>
      <w:marTop w:val="0"/>
      <w:marBottom w:val="0"/>
      <w:divBdr>
        <w:top w:val="none" w:sz="0" w:space="0" w:color="auto"/>
        <w:left w:val="none" w:sz="0" w:space="0" w:color="auto"/>
        <w:bottom w:val="none" w:sz="0" w:space="0" w:color="auto"/>
        <w:right w:val="none" w:sz="0" w:space="0" w:color="auto"/>
      </w:divBdr>
    </w:div>
    <w:div w:id="234317736">
      <w:bodyDiv w:val="1"/>
      <w:marLeft w:val="0"/>
      <w:marRight w:val="0"/>
      <w:marTop w:val="0"/>
      <w:marBottom w:val="0"/>
      <w:divBdr>
        <w:top w:val="none" w:sz="0" w:space="0" w:color="auto"/>
        <w:left w:val="none" w:sz="0" w:space="0" w:color="auto"/>
        <w:bottom w:val="none" w:sz="0" w:space="0" w:color="auto"/>
        <w:right w:val="none" w:sz="0" w:space="0" w:color="auto"/>
      </w:divBdr>
    </w:div>
    <w:div w:id="308293488">
      <w:bodyDiv w:val="1"/>
      <w:marLeft w:val="0"/>
      <w:marRight w:val="0"/>
      <w:marTop w:val="0"/>
      <w:marBottom w:val="0"/>
      <w:divBdr>
        <w:top w:val="none" w:sz="0" w:space="0" w:color="auto"/>
        <w:left w:val="none" w:sz="0" w:space="0" w:color="auto"/>
        <w:bottom w:val="none" w:sz="0" w:space="0" w:color="auto"/>
        <w:right w:val="none" w:sz="0" w:space="0" w:color="auto"/>
      </w:divBdr>
    </w:div>
    <w:div w:id="454105704">
      <w:bodyDiv w:val="1"/>
      <w:marLeft w:val="0"/>
      <w:marRight w:val="0"/>
      <w:marTop w:val="0"/>
      <w:marBottom w:val="0"/>
      <w:divBdr>
        <w:top w:val="none" w:sz="0" w:space="0" w:color="auto"/>
        <w:left w:val="none" w:sz="0" w:space="0" w:color="auto"/>
        <w:bottom w:val="none" w:sz="0" w:space="0" w:color="auto"/>
        <w:right w:val="none" w:sz="0" w:space="0" w:color="auto"/>
      </w:divBdr>
    </w:div>
    <w:div w:id="535971785">
      <w:bodyDiv w:val="1"/>
      <w:marLeft w:val="0"/>
      <w:marRight w:val="0"/>
      <w:marTop w:val="0"/>
      <w:marBottom w:val="0"/>
      <w:divBdr>
        <w:top w:val="none" w:sz="0" w:space="0" w:color="auto"/>
        <w:left w:val="none" w:sz="0" w:space="0" w:color="auto"/>
        <w:bottom w:val="none" w:sz="0" w:space="0" w:color="auto"/>
        <w:right w:val="none" w:sz="0" w:space="0" w:color="auto"/>
      </w:divBdr>
    </w:div>
    <w:div w:id="538587063">
      <w:bodyDiv w:val="1"/>
      <w:marLeft w:val="0"/>
      <w:marRight w:val="0"/>
      <w:marTop w:val="0"/>
      <w:marBottom w:val="0"/>
      <w:divBdr>
        <w:top w:val="none" w:sz="0" w:space="0" w:color="auto"/>
        <w:left w:val="none" w:sz="0" w:space="0" w:color="auto"/>
        <w:bottom w:val="none" w:sz="0" w:space="0" w:color="auto"/>
        <w:right w:val="none" w:sz="0" w:space="0" w:color="auto"/>
      </w:divBdr>
    </w:div>
    <w:div w:id="568614156">
      <w:bodyDiv w:val="1"/>
      <w:marLeft w:val="0"/>
      <w:marRight w:val="0"/>
      <w:marTop w:val="0"/>
      <w:marBottom w:val="0"/>
      <w:divBdr>
        <w:top w:val="none" w:sz="0" w:space="0" w:color="auto"/>
        <w:left w:val="none" w:sz="0" w:space="0" w:color="auto"/>
        <w:bottom w:val="none" w:sz="0" w:space="0" w:color="auto"/>
        <w:right w:val="none" w:sz="0" w:space="0" w:color="auto"/>
      </w:divBdr>
    </w:div>
    <w:div w:id="597911499">
      <w:bodyDiv w:val="1"/>
      <w:marLeft w:val="0"/>
      <w:marRight w:val="0"/>
      <w:marTop w:val="0"/>
      <w:marBottom w:val="0"/>
      <w:divBdr>
        <w:top w:val="none" w:sz="0" w:space="0" w:color="auto"/>
        <w:left w:val="none" w:sz="0" w:space="0" w:color="auto"/>
        <w:bottom w:val="none" w:sz="0" w:space="0" w:color="auto"/>
        <w:right w:val="none" w:sz="0" w:space="0" w:color="auto"/>
      </w:divBdr>
    </w:div>
    <w:div w:id="671298162">
      <w:bodyDiv w:val="1"/>
      <w:marLeft w:val="0"/>
      <w:marRight w:val="0"/>
      <w:marTop w:val="0"/>
      <w:marBottom w:val="0"/>
      <w:divBdr>
        <w:top w:val="none" w:sz="0" w:space="0" w:color="auto"/>
        <w:left w:val="none" w:sz="0" w:space="0" w:color="auto"/>
        <w:bottom w:val="none" w:sz="0" w:space="0" w:color="auto"/>
        <w:right w:val="none" w:sz="0" w:space="0" w:color="auto"/>
      </w:divBdr>
    </w:div>
    <w:div w:id="823467597">
      <w:bodyDiv w:val="1"/>
      <w:marLeft w:val="0"/>
      <w:marRight w:val="0"/>
      <w:marTop w:val="0"/>
      <w:marBottom w:val="0"/>
      <w:divBdr>
        <w:top w:val="none" w:sz="0" w:space="0" w:color="auto"/>
        <w:left w:val="none" w:sz="0" w:space="0" w:color="auto"/>
        <w:bottom w:val="none" w:sz="0" w:space="0" w:color="auto"/>
        <w:right w:val="none" w:sz="0" w:space="0" w:color="auto"/>
      </w:divBdr>
    </w:div>
    <w:div w:id="829060108">
      <w:bodyDiv w:val="1"/>
      <w:marLeft w:val="0"/>
      <w:marRight w:val="0"/>
      <w:marTop w:val="0"/>
      <w:marBottom w:val="0"/>
      <w:divBdr>
        <w:top w:val="none" w:sz="0" w:space="0" w:color="auto"/>
        <w:left w:val="none" w:sz="0" w:space="0" w:color="auto"/>
        <w:bottom w:val="none" w:sz="0" w:space="0" w:color="auto"/>
        <w:right w:val="none" w:sz="0" w:space="0" w:color="auto"/>
      </w:divBdr>
    </w:div>
    <w:div w:id="865144354">
      <w:bodyDiv w:val="1"/>
      <w:marLeft w:val="0"/>
      <w:marRight w:val="0"/>
      <w:marTop w:val="0"/>
      <w:marBottom w:val="0"/>
      <w:divBdr>
        <w:top w:val="none" w:sz="0" w:space="0" w:color="auto"/>
        <w:left w:val="none" w:sz="0" w:space="0" w:color="auto"/>
        <w:bottom w:val="none" w:sz="0" w:space="0" w:color="auto"/>
        <w:right w:val="none" w:sz="0" w:space="0" w:color="auto"/>
      </w:divBdr>
    </w:div>
    <w:div w:id="906958969">
      <w:bodyDiv w:val="1"/>
      <w:marLeft w:val="0"/>
      <w:marRight w:val="0"/>
      <w:marTop w:val="0"/>
      <w:marBottom w:val="0"/>
      <w:divBdr>
        <w:top w:val="none" w:sz="0" w:space="0" w:color="auto"/>
        <w:left w:val="none" w:sz="0" w:space="0" w:color="auto"/>
        <w:bottom w:val="none" w:sz="0" w:space="0" w:color="auto"/>
        <w:right w:val="none" w:sz="0" w:space="0" w:color="auto"/>
      </w:divBdr>
    </w:div>
    <w:div w:id="991565451">
      <w:bodyDiv w:val="1"/>
      <w:marLeft w:val="0"/>
      <w:marRight w:val="0"/>
      <w:marTop w:val="0"/>
      <w:marBottom w:val="0"/>
      <w:divBdr>
        <w:top w:val="none" w:sz="0" w:space="0" w:color="auto"/>
        <w:left w:val="none" w:sz="0" w:space="0" w:color="auto"/>
        <w:bottom w:val="none" w:sz="0" w:space="0" w:color="auto"/>
        <w:right w:val="none" w:sz="0" w:space="0" w:color="auto"/>
      </w:divBdr>
    </w:div>
    <w:div w:id="1033772664">
      <w:bodyDiv w:val="1"/>
      <w:marLeft w:val="0"/>
      <w:marRight w:val="0"/>
      <w:marTop w:val="0"/>
      <w:marBottom w:val="0"/>
      <w:divBdr>
        <w:top w:val="none" w:sz="0" w:space="0" w:color="auto"/>
        <w:left w:val="none" w:sz="0" w:space="0" w:color="auto"/>
        <w:bottom w:val="none" w:sz="0" w:space="0" w:color="auto"/>
        <w:right w:val="none" w:sz="0" w:space="0" w:color="auto"/>
      </w:divBdr>
    </w:div>
    <w:div w:id="1146093963">
      <w:bodyDiv w:val="1"/>
      <w:marLeft w:val="0"/>
      <w:marRight w:val="0"/>
      <w:marTop w:val="0"/>
      <w:marBottom w:val="0"/>
      <w:divBdr>
        <w:top w:val="none" w:sz="0" w:space="0" w:color="auto"/>
        <w:left w:val="none" w:sz="0" w:space="0" w:color="auto"/>
        <w:bottom w:val="none" w:sz="0" w:space="0" w:color="auto"/>
        <w:right w:val="none" w:sz="0" w:space="0" w:color="auto"/>
      </w:divBdr>
    </w:div>
    <w:div w:id="1219590624">
      <w:bodyDiv w:val="1"/>
      <w:marLeft w:val="0"/>
      <w:marRight w:val="0"/>
      <w:marTop w:val="0"/>
      <w:marBottom w:val="0"/>
      <w:divBdr>
        <w:top w:val="none" w:sz="0" w:space="0" w:color="auto"/>
        <w:left w:val="none" w:sz="0" w:space="0" w:color="auto"/>
        <w:bottom w:val="none" w:sz="0" w:space="0" w:color="auto"/>
        <w:right w:val="none" w:sz="0" w:space="0" w:color="auto"/>
      </w:divBdr>
    </w:div>
    <w:div w:id="1244679025">
      <w:bodyDiv w:val="1"/>
      <w:marLeft w:val="0"/>
      <w:marRight w:val="0"/>
      <w:marTop w:val="0"/>
      <w:marBottom w:val="0"/>
      <w:divBdr>
        <w:top w:val="none" w:sz="0" w:space="0" w:color="auto"/>
        <w:left w:val="none" w:sz="0" w:space="0" w:color="auto"/>
        <w:bottom w:val="none" w:sz="0" w:space="0" w:color="auto"/>
        <w:right w:val="none" w:sz="0" w:space="0" w:color="auto"/>
      </w:divBdr>
    </w:div>
    <w:div w:id="1251811496">
      <w:bodyDiv w:val="1"/>
      <w:marLeft w:val="0"/>
      <w:marRight w:val="0"/>
      <w:marTop w:val="0"/>
      <w:marBottom w:val="0"/>
      <w:divBdr>
        <w:top w:val="none" w:sz="0" w:space="0" w:color="auto"/>
        <w:left w:val="none" w:sz="0" w:space="0" w:color="auto"/>
        <w:bottom w:val="none" w:sz="0" w:space="0" w:color="auto"/>
        <w:right w:val="none" w:sz="0" w:space="0" w:color="auto"/>
      </w:divBdr>
    </w:div>
    <w:div w:id="1394088312">
      <w:bodyDiv w:val="1"/>
      <w:marLeft w:val="0"/>
      <w:marRight w:val="0"/>
      <w:marTop w:val="0"/>
      <w:marBottom w:val="0"/>
      <w:divBdr>
        <w:top w:val="none" w:sz="0" w:space="0" w:color="auto"/>
        <w:left w:val="none" w:sz="0" w:space="0" w:color="auto"/>
        <w:bottom w:val="none" w:sz="0" w:space="0" w:color="auto"/>
        <w:right w:val="none" w:sz="0" w:space="0" w:color="auto"/>
      </w:divBdr>
    </w:div>
    <w:div w:id="1450391888">
      <w:bodyDiv w:val="1"/>
      <w:marLeft w:val="0"/>
      <w:marRight w:val="0"/>
      <w:marTop w:val="0"/>
      <w:marBottom w:val="0"/>
      <w:divBdr>
        <w:top w:val="none" w:sz="0" w:space="0" w:color="auto"/>
        <w:left w:val="none" w:sz="0" w:space="0" w:color="auto"/>
        <w:bottom w:val="none" w:sz="0" w:space="0" w:color="auto"/>
        <w:right w:val="none" w:sz="0" w:space="0" w:color="auto"/>
      </w:divBdr>
    </w:div>
    <w:div w:id="1470325203">
      <w:bodyDiv w:val="1"/>
      <w:marLeft w:val="0"/>
      <w:marRight w:val="0"/>
      <w:marTop w:val="0"/>
      <w:marBottom w:val="0"/>
      <w:divBdr>
        <w:top w:val="none" w:sz="0" w:space="0" w:color="auto"/>
        <w:left w:val="none" w:sz="0" w:space="0" w:color="auto"/>
        <w:bottom w:val="none" w:sz="0" w:space="0" w:color="auto"/>
        <w:right w:val="none" w:sz="0" w:space="0" w:color="auto"/>
      </w:divBdr>
    </w:div>
    <w:div w:id="1490975310">
      <w:bodyDiv w:val="1"/>
      <w:marLeft w:val="0"/>
      <w:marRight w:val="0"/>
      <w:marTop w:val="0"/>
      <w:marBottom w:val="0"/>
      <w:divBdr>
        <w:top w:val="none" w:sz="0" w:space="0" w:color="auto"/>
        <w:left w:val="none" w:sz="0" w:space="0" w:color="auto"/>
        <w:bottom w:val="none" w:sz="0" w:space="0" w:color="auto"/>
        <w:right w:val="none" w:sz="0" w:space="0" w:color="auto"/>
      </w:divBdr>
    </w:div>
    <w:div w:id="1494301835">
      <w:bodyDiv w:val="1"/>
      <w:marLeft w:val="0"/>
      <w:marRight w:val="0"/>
      <w:marTop w:val="0"/>
      <w:marBottom w:val="0"/>
      <w:divBdr>
        <w:top w:val="none" w:sz="0" w:space="0" w:color="auto"/>
        <w:left w:val="none" w:sz="0" w:space="0" w:color="auto"/>
        <w:bottom w:val="none" w:sz="0" w:space="0" w:color="auto"/>
        <w:right w:val="none" w:sz="0" w:space="0" w:color="auto"/>
      </w:divBdr>
    </w:div>
    <w:div w:id="1513645023">
      <w:bodyDiv w:val="1"/>
      <w:marLeft w:val="0"/>
      <w:marRight w:val="0"/>
      <w:marTop w:val="0"/>
      <w:marBottom w:val="0"/>
      <w:divBdr>
        <w:top w:val="none" w:sz="0" w:space="0" w:color="auto"/>
        <w:left w:val="none" w:sz="0" w:space="0" w:color="auto"/>
        <w:bottom w:val="none" w:sz="0" w:space="0" w:color="auto"/>
        <w:right w:val="none" w:sz="0" w:space="0" w:color="auto"/>
      </w:divBdr>
    </w:div>
    <w:div w:id="1516118988">
      <w:bodyDiv w:val="1"/>
      <w:marLeft w:val="0"/>
      <w:marRight w:val="0"/>
      <w:marTop w:val="0"/>
      <w:marBottom w:val="0"/>
      <w:divBdr>
        <w:top w:val="none" w:sz="0" w:space="0" w:color="auto"/>
        <w:left w:val="none" w:sz="0" w:space="0" w:color="auto"/>
        <w:bottom w:val="none" w:sz="0" w:space="0" w:color="auto"/>
        <w:right w:val="none" w:sz="0" w:space="0" w:color="auto"/>
      </w:divBdr>
    </w:div>
    <w:div w:id="1517114838">
      <w:bodyDiv w:val="1"/>
      <w:marLeft w:val="0"/>
      <w:marRight w:val="0"/>
      <w:marTop w:val="0"/>
      <w:marBottom w:val="0"/>
      <w:divBdr>
        <w:top w:val="none" w:sz="0" w:space="0" w:color="auto"/>
        <w:left w:val="none" w:sz="0" w:space="0" w:color="auto"/>
        <w:bottom w:val="none" w:sz="0" w:space="0" w:color="auto"/>
        <w:right w:val="none" w:sz="0" w:space="0" w:color="auto"/>
      </w:divBdr>
    </w:div>
    <w:div w:id="1581908568">
      <w:bodyDiv w:val="1"/>
      <w:marLeft w:val="0"/>
      <w:marRight w:val="0"/>
      <w:marTop w:val="0"/>
      <w:marBottom w:val="0"/>
      <w:divBdr>
        <w:top w:val="none" w:sz="0" w:space="0" w:color="auto"/>
        <w:left w:val="none" w:sz="0" w:space="0" w:color="auto"/>
        <w:bottom w:val="none" w:sz="0" w:space="0" w:color="auto"/>
        <w:right w:val="none" w:sz="0" w:space="0" w:color="auto"/>
      </w:divBdr>
    </w:div>
    <w:div w:id="1667778306">
      <w:bodyDiv w:val="1"/>
      <w:marLeft w:val="0"/>
      <w:marRight w:val="0"/>
      <w:marTop w:val="0"/>
      <w:marBottom w:val="0"/>
      <w:divBdr>
        <w:top w:val="none" w:sz="0" w:space="0" w:color="auto"/>
        <w:left w:val="none" w:sz="0" w:space="0" w:color="auto"/>
        <w:bottom w:val="none" w:sz="0" w:space="0" w:color="auto"/>
        <w:right w:val="none" w:sz="0" w:space="0" w:color="auto"/>
      </w:divBdr>
    </w:div>
    <w:div w:id="1687754935">
      <w:marLeft w:val="0"/>
      <w:marRight w:val="0"/>
      <w:marTop w:val="0"/>
      <w:marBottom w:val="0"/>
      <w:divBdr>
        <w:top w:val="none" w:sz="0" w:space="0" w:color="auto"/>
        <w:left w:val="none" w:sz="0" w:space="0" w:color="auto"/>
        <w:bottom w:val="none" w:sz="0" w:space="0" w:color="auto"/>
        <w:right w:val="none" w:sz="0" w:space="0" w:color="auto"/>
      </w:divBdr>
    </w:div>
    <w:div w:id="1687754936">
      <w:marLeft w:val="0"/>
      <w:marRight w:val="0"/>
      <w:marTop w:val="0"/>
      <w:marBottom w:val="0"/>
      <w:divBdr>
        <w:top w:val="none" w:sz="0" w:space="0" w:color="auto"/>
        <w:left w:val="none" w:sz="0" w:space="0" w:color="auto"/>
        <w:bottom w:val="none" w:sz="0" w:space="0" w:color="auto"/>
        <w:right w:val="none" w:sz="0" w:space="0" w:color="auto"/>
      </w:divBdr>
    </w:div>
    <w:div w:id="1687754937">
      <w:marLeft w:val="0"/>
      <w:marRight w:val="0"/>
      <w:marTop w:val="0"/>
      <w:marBottom w:val="0"/>
      <w:divBdr>
        <w:top w:val="none" w:sz="0" w:space="0" w:color="auto"/>
        <w:left w:val="none" w:sz="0" w:space="0" w:color="auto"/>
        <w:bottom w:val="none" w:sz="0" w:space="0" w:color="auto"/>
        <w:right w:val="none" w:sz="0" w:space="0" w:color="auto"/>
      </w:divBdr>
    </w:div>
    <w:div w:id="1687754938">
      <w:marLeft w:val="0"/>
      <w:marRight w:val="0"/>
      <w:marTop w:val="0"/>
      <w:marBottom w:val="0"/>
      <w:divBdr>
        <w:top w:val="none" w:sz="0" w:space="0" w:color="auto"/>
        <w:left w:val="none" w:sz="0" w:space="0" w:color="auto"/>
        <w:bottom w:val="none" w:sz="0" w:space="0" w:color="auto"/>
        <w:right w:val="none" w:sz="0" w:space="0" w:color="auto"/>
      </w:divBdr>
    </w:div>
    <w:div w:id="1687754939">
      <w:marLeft w:val="0"/>
      <w:marRight w:val="0"/>
      <w:marTop w:val="0"/>
      <w:marBottom w:val="0"/>
      <w:divBdr>
        <w:top w:val="none" w:sz="0" w:space="0" w:color="auto"/>
        <w:left w:val="none" w:sz="0" w:space="0" w:color="auto"/>
        <w:bottom w:val="none" w:sz="0" w:space="0" w:color="auto"/>
        <w:right w:val="none" w:sz="0" w:space="0" w:color="auto"/>
      </w:divBdr>
    </w:div>
    <w:div w:id="1687754940">
      <w:marLeft w:val="0"/>
      <w:marRight w:val="0"/>
      <w:marTop w:val="0"/>
      <w:marBottom w:val="0"/>
      <w:divBdr>
        <w:top w:val="none" w:sz="0" w:space="0" w:color="auto"/>
        <w:left w:val="none" w:sz="0" w:space="0" w:color="auto"/>
        <w:bottom w:val="none" w:sz="0" w:space="0" w:color="auto"/>
        <w:right w:val="none" w:sz="0" w:space="0" w:color="auto"/>
      </w:divBdr>
    </w:div>
    <w:div w:id="1687754941">
      <w:marLeft w:val="0"/>
      <w:marRight w:val="0"/>
      <w:marTop w:val="0"/>
      <w:marBottom w:val="0"/>
      <w:divBdr>
        <w:top w:val="none" w:sz="0" w:space="0" w:color="auto"/>
        <w:left w:val="none" w:sz="0" w:space="0" w:color="auto"/>
        <w:bottom w:val="none" w:sz="0" w:space="0" w:color="auto"/>
        <w:right w:val="none" w:sz="0" w:space="0" w:color="auto"/>
      </w:divBdr>
    </w:div>
    <w:div w:id="1687754942">
      <w:marLeft w:val="0"/>
      <w:marRight w:val="0"/>
      <w:marTop w:val="0"/>
      <w:marBottom w:val="0"/>
      <w:divBdr>
        <w:top w:val="none" w:sz="0" w:space="0" w:color="auto"/>
        <w:left w:val="none" w:sz="0" w:space="0" w:color="auto"/>
        <w:bottom w:val="none" w:sz="0" w:space="0" w:color="auto"/>
        <w:right w:val="none" w:sz="0" w:space="0" w:color="auto"/>
      </w:divBdr>
    </w:div>
    <w:div w:id="1687754943">
      <w:marLeft w:val="0"/>
      <w:marRight w:val="0"/>
      <w:marTop w:val="0"/>
      <w:marBottom w:val="0"/>
      <w:divBdr>
        <w:top w:val="none" w:sz="0" w:space="0" w:color="auto"/>
        <w:left w:val="none" w:sz="0" w:space="0" w:color="auto"/>
        <w:bottom w:val="none" w:sz="0" w:space="0" w:color="auto"/>
        <w:right w:val="none" w:sz="0" w:space="0" w:color="auto"/>
      </w:divBdr>
    </w:div>
    <w:div w:id="1687754944">
      <w:marLeft w:val="0"/>
      <w:marRight w:val="0"/>
      <w:marTop w:val="0"/>
      <w:marBottom w:val="0"/>
      <w:divBdr>
        <w:top w:val="none" w:sz="0" w:space="0" w:color="auto"/>
        <w:left w:val="none" w:sz="0" w:space="0" w:color="auto"/>
        <w:bottom w:val="none" w:sz="0" w:space="0" w:color="auto"/>
        <w:right w:val="none" w:sz="0" w:space="0" w:color="auto"/>
      </w:divBdr>
    </w:div>
    <w:div w:id="1687754945">
      <w:marLeft w:val="0"/>
      <w:marRight w:val="0"/>
      <w:marTop w:val="0"/>
      <w:marBottom w:val="0"/>
      <w:divBdr>
        <w:top w:val="none" w:sz="0" w:space="0" w:color="auto"/>
        <w:left w:val="none" w:sz="0" w:space="0" w:color="auto"/>
        <w:bottom w:val="none" w:sz="0" w:space="0" w:color="auto"/>
        <w:right w:val="none" w:sz="0" w:space="0" w:color="auto"/>
      </w:divBdr>
    </w:div>
    <w:div w:id="1687754946">
      <w:marLeft w:val="0"/>
      <w:marRight w:val="0"/>
      <w:marTop w:val="0"/>
      <w:marBottom w:val="0"/>
      <w:divBdr>
        <w:top w:val="none" w:sz="0" w:space="0" w:color="auto"/>
        <w:left w:val="none" w:sz="0" w:space="0" w:color="auto"/>
        <w:bottom w:val="none" w:sz="0" w:space="0" w:color="auto"/>
        <w:right w:val="none" w:sz="0" w:space="0" w:color="auto"/>
      </w:divBdr>
    </w:div>
    <w:div w:id="1695810640">
      <w:bodyDiv w:val="1"/>
      <w:marLeft w:val="0"/>
      <w:marRight w:val="0"/>
      <w:marTop w:val="0"/>
      <w:marBottom w:val="0"/>
      <w:divBdr>
        <w:top w:val="none" w:sz="0" w:space="0" w:color="auto"/>
        <w:left w:val="none" w:sz="0" w:space="0" w:color="auto"/>
        <w:bottom w:val="none" w:sz="0" w:space="0" w:color="auto"/>
        <w:right w:val="none" w:sz="0" w:space="0" w:color="auto"/>
      </w:divBdr>
    </w:div>
    <w:div w:id="1746294421">
      <w:bodyDiv w:val="1"/>
      <w:marLeft w:val="0"/>
      <w:marRight w:val="0"/>
      <w:marTop w:val="0"/>
      <w:marBottom w:val="0"/>
      <w:divBdr>
        <w:top w:val="none" w:sz="0" w:space="0" w:color="auto"/>
        <w:left w:val="none" w:sz="0" w:space="0" w:color="auto"/>
        <w:bottom w:val="none" w:sz="0" w:space="0" w:color="auto"/>
        <w:right w:val="none" w:sz="0" w:space="0" w:color="auto"/>
      </w:divBdr>
    </w:div>
    <w:div w:id="1758940650">
      <w:bodyDiv w:val="1"/>
      <w:marLeft w:val="0"/>
      <w:marRight w:val="0"/>
      <w:marTop w:val="0"/>
      <w:marBottom w:val="0"/>
      <w:divBdr>
        <w:top w:val="none" w:sz="0" w:space="0" w:color="auto"/>
        <w:left w:val="none" w:sz="0" w:space="0" w:color="auto"/>
        <w:bottom w:val="none" w:sz="0" w:space="0" w:color="auto"/>
        <w:right w:val="none" w:sz="0" w:space="0" w:color="auto"/>
      </w:divBdr>
    </w:div>
    <w:div w:id="1998220025">
      <w:bodyDiv w:val="1"/>
      <w:marLeft w:val="0"/>
      <w:marRight w:val="0"/>
      <w:marTop w:val="0"/>
      <w:marBottom w:val="0"/>
      <w:divBdr>
        <w:top w:val="none" w:sz="0" w:space="0" w:color="auto"/>
        <w:left w:val="none" w:sz="0" w:space="0" w:color="auto"/>
        <w:bottom w:val="none" w:sz="0" w:space="0" w:color="auto"/>
        <w:right w:val="none" w:sz="0" w:space="0" w:color="auto"/>
      </w:divBdr>
    </w:div>
    <w:div w:id="2036618435">
      <w:bodyDiv w:val="1"/>
      <w:marLeft w:val="0"/>
      <w:marRight w:val="0"/>
      <w:marTop w:val="0"/>
      <w:marBottom w:val="0"/>
      <w:divBdr>
        <w:top w:val="none" w:sz="0" w:space="0" w:color="auto"/>
        <w:left w:val="none" w:sz="0" w:space="0" w:color="auto"/>
        <w:bottom w:val="none" w:sz="0" w:space="0" w:color="auto"/>
        <w:right w:val="none" w:sz="0" w:space="0" w:color="auto"/>
      </w:divBdr>
    </w:div>
    <w:div w:id="209154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9D569-9F3A-4E5B-8653-204BA86B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6371</Words>
  <Characters>37591</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Situace v českém lázeňství</vt:lpstr>
    </vt:vector>
  </TitlesOfParts>
  <Company>MZČR</Company>
  <LinksUpToDate>false</LinksUpToDate>
  <CharactersWithSpaces>43875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Situace v českém lázeňství</dc:title>
  <dc:subject>aktualizováno k 17. 5. 2013</dc:subject>
  <dc:creator>Ministerstvo zdravotnictví</dc:creator>
  <cp:lastModifiedBy>Martina</cp:lastModifiedBy>
  <cp:revision>2</cp:revision>
  <cp:lastPrinted>2014-04-04T10:47:00Z</cp:lastPrinted>
  <dcterms:created xsi:type="dcterms:W3CDTF">2014-04-08T13:52:00Z</dcterms:created>
  <dcterms:modified xsi:type="dcterms:W3CDTF">2014-04-08T13:52:00Z</dcterms:modified>
</cp:coreProperties>
</file>