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EF" w:rsidRPr="00E25B79" w:rsidRDefault="00BA05EF" w:rsidP="00E30460">
      <w:pPr>
        <w:rPr>
          <w:b/>
        </w:rPr>
      </w:pPr>
      <w:r w:rsidRPr="00E25B79">
        <w:rPr>
          <w:b/>
        </w:rPr>
        <w:t>III.</w:t>
      </w:r>
    </w:p>
    <w:p w:rsidR="00C54217" w:rsidRPr="00E25B79" w:rsidRDefault="00C54217" w:rsidP="00E30460">
      <w:pPr>
        <w:rPr>
          <w:b/>
        </w:rPr>
      </w:pPr>
    </w:p>
    <w:p w:rsidR="003A6E97" w:rsidRPr="00E25B79" w:rsidRDefault="00430D57" w:rsidP="00E25B79">
      <w:pPr>
        <w:jc w:val="center"/>
        <w:rPr>
          <w:b/>
        </w:rPr>
      </w:pPr>
      <w:r w:rsidRPr="00E25B79">
        <w:rPr>
          <w:b/>
        </w:rPr>
        <w:t xml:space="preserve">NÁVRH SYSTÉMOVÝCH ZMĚN V OBLASTI VEŘEJNÉHO ZDRAVOTNÍHO POJIŠTĚNÍ S CÍLEM </w:t>
      </w:r>
      <w:r w:rsidR="00745D79">
        <w:rPr>
          <w:b/>
        </w:rPr>
        <w:t>ZVÝŠIT EFEKTIVITU</w:t>
      </w:r>
      <w:r w:rsidRPr="00E25B79">
        <w:rPr>
          <w:b/>
        </w:rPr>
        <w:t xml:space="preserve"> A</w:t>
      </w:r>
      <w:r w:rsidR="005F5068">
        <w:rPr>
          <w:b/>
        </w:rPr>
        <w:t xml:space="preserve"> </w:t>
      </w:r>
      <w:r w:rsidRPr="00E25B79">
        <w:rPr>
          <w:b/>
        </w:rPr>
        <w:t>TRANSPARENTNOST SYSTÉMU</w:t>
      </w:r>
      <w:r w:rsidR="00F04648">
        <w:rPr>
          <w:b/>
        </w:rPr>
        <w:t xml:space="preserve"> VEŘEJNÉHO</w:t>
      </w:r>
      <w:r w:rsidRPr="00E25B79">
        <w:rPr>
          <w:b/>
        </w:rPr>
        <w:t xml:space="preserve"> ZDRAVOTNÍHO POJIŠTĚNÍ</w:t>
      </w:r>
    </w:p>
    <w:p w:rsidR="00EB3606" w:rsidRPr="00A17E1D" w:rsidRDefault="00EB3606" w:rsidP="00E30460"/>
    <w:p w:rsidR="00DC51C1" w:rsidRPr="00C92DCB" w:rsidRDefault="007F25A6" w:rsidP="00E30460">
      <w:pPr>
        <w:pStyle w:val="Nadpis1"/>
      </w:pPr>
      <w:r>
        <w:t>Oblast zdravotního pojištění</w:t>
      </w:r>
    </w:p>
    <w:p w:rsidR="002469AC" w:rsidRPr="00C92DCB" w:rsidRDefault="002469AC" w:rsidP="002469AC">
      <w:pPr>
        <w:pStyle w:val="Nadpis3"/>
      </w:pPr>
      <w:r>
        <w:t xml:space="preserve">Povinné zveřejňování smluv </w:t>
      </w:r>
      <w:r w:rsidRPr="00C54217">
        <w:t>zdravotních</w:t>
      </w:r>
      <w:r>
        <w:t xml:space="preserve"> pojišťoven</w:t>
      </w:r>
    </w:p>
    <w:p w:rsidR="002469AC" w:rsidRPr="00430D57" w:rsidRDefault="002469AC" w:rsidP="002469AC">
      <w:r w:rsidRPr="00430D57">
        <w:t xml:space="preserve">Zdravotnictví je často kritizováno za malou transparentnost finančních toků. Tlakem ministra zdravotnictví se podařilo přesvědčit zdravotní pojišťovny, aby započaly proces zveřejňování smluv. VZP již v tomto poskytla veřejný příslib, ostatní zdravotní pojišťovny provedou zapracování ustanovení o zveřejňování do smluv a potom tyto smlouvy zveřejní. </w:t>
      </w:r>
    </w:p>
    <w:p w:rsidR="002469AC" w:rsidRDefault="002469AC" w:rsidP="002469AC">
      <w:r w:rsidRPr="00430D57">
        <w:t>Ministerstvo zdravotnictví navrhuje zakotvit povinnost zveř</w:t>
      </w:r>
      <w:r>
        <w:t xml:space="preserve">ejňování smluv včetně </w:t>
      </w:r>
      <w:r w:rsidR="00E813F0">
        <w:t xml:space="preserve">úhradových </w:t>
      </w:r>
      <w:r>
        <w:t>dodatků a </w:t>
      </w:r>
      <w:r w:rsidRPr="00430D57">
        <w:t>údajů o produkci</w:t>
      </w:r>
      <w:r w:rsidR="00E813F0">
        <w:t xml:space="preserve"> </w:t>
      </w:r>
      <w:r w:rsidR="0096738C">
        <w:t>v referenčním období</w:t>
      </w:r>
      <w:r w:rsidR="00E813F0">
        <w:t xml:space="preserve"> s komentářem</w:t>
      </w:r>
      <w:r w:rsidRPr="00430D57">
        <w:t xml:space="preserve"> do zákona</w:t>
      </w:r>
      <w:r w:rsidR="00E76EC3">
        <w:t xml:space="preserve"> č. 551/1991 Sb., </w:t>
      </w:r>
      <w:r w:rsidRPr="00430D57">
        <w:t>o Vše</w:t>
      </w:r>
      <w:r w:rsidR="00E813F0">
        <w:t>obecné zdravotní pojišťovně</w:t>
      </w:r>
      <w:r w:rsidR="00E76EC3">
        <w:t xml:space="preserve"> České republiky</w:t>
      </w:r>
      <w:r w:rsidR="00F04648">
        <w:t>, ve znění pozdějších předpisů</w:t>
      </w:r>
      <w:r w:rsidR="00D66111">
        <w:t xml:space="preserve"> (dále jen „zákon o Všeob</w:t>
      </w:r>
      <w:r w:rsidR="001200D6">
        <w:t>e</w:t>
      </w:r>
      <w:r w:rsidR="00D66111">
        <w:t>cné zdravotní pojišťovně“)</w:t>
      </w:r>
      <w:r w:rsidR="00E76EC3">
        <w:t xml:space="preserve"> a zákona č. 280/1992 Sb., o resortních, oborových, podnikových a dalších</w:t>
      </w:r>
      <w:r>
        <w:t xml:space="preserve"> zdr</w:t>
      </w:r>
      <w:r w:rsidR="00E813F0">
        <w:t>avotních pojišťovnách</w:t>
      </w:r>
      <w:r w:rsidR="00F04648">
        <w:t>, ve znění pozdějších předpisů</w:t>
      </w:r>
      <w:r w:rsidR="00D66111">
        <w:t xml:space="preserve"> (dále jen „zákon o zaměstnaneckých pojišťovnách“)</w:t>
      </w:r>
      <w:r w:rsidR="00E813F0">
        <w:t xml:space="preserve"> tak, aby bylo zřejmé, za jaké výkony je placena jaká úhrada. </w:t>
      </w:r>
      <w:r w:rsidRPr="00430D57">
        <w:t>Ministerstvo zdravotnictví</w:t>
      </w:r>
      <w:r>
        <w:t xml:space="preserve"> již</w:t>
      </w:r>
      <w:r w:rsidRPr="00430D57">
        <w:t xml:space="preserve"> </w:t>
      </w:r>
      <w:r w:rsidR="00092250">
        <w:t>za</w:t>
      </w:r>
      <w:r w:rsidR="005F5068">
        <w:t xml:space="preserve">hájilo </w:t>
      </w:r>
      <w:r w:rsidR="00092250">
        <w:t>legislativní práce pro realizaci tohoto</w:t>
      </w:r>
      <w:r>
        <w:t xml:space="preserve"> opatření</w:t>
      </w:r>
      <w:r w:rsidR="00092250">
        <w:t xml:space="preserve">. </w:t>
      </w:r>
      <w:r>
        <w:t xml:space="preserve"> </w:t>
      </w:r>
    </w:p>
    <w:p w:rsidR="00733E3A" w:rsidRPr="00237B83" w:rsidRDefault="00430D57" w:rsidP="00E30460">
      <w:pPr>
        <w:pStyle w:val="Nadpis3"/>
      </w:pPr>
      <w:r w:rsidRPr="00237B83">
        <w:t xml:space="preserve">Snížení maximálního možného přídělu do provozního fondu </w:t>
      </w:r>
      <w:r w:rsidR="00C920C4">
        <w:t>zdravotních pojišťoven</w:t>
      </w:r>
    </w:p>
    <w:p w:rsidR="00CA340C" w:rsidRDefault="00CA340C" w:rsidP="00E30460">
      <w:r>
        <w:t>Provozní fond slouží k</w:t>
      </w:r>
      <w:r w:rsidR="008829D0">
        <w:t> </w:t>
      </w:r>
      <w:r>
        <w:t>financování</w:t>
      </w:r>
      <w:r w:rsidR="008829D0">
        <w:t xml:space="preserve"> vlastního</w:t>
      </w:r>
      <w:r>
        <w:t xml:space="preserve"> provozu zdravotních pojišťoven. </w:t>
      </w:r>
      <w:r w:rsidR="00B3430D" w:rsidRPr="00237B83">
        <w:t xml:space="preserve">Maximální možný roční příděl do provozního fondu zdravotních pojišťoven je upraven </w:t>
      </w:r>
      <w:r w:rsidR="0096738C">
        <w:t xml:space="preserve">fondovou </w:t>
      </w:r>
      <w:r w:rsidR="00B3430D" w:rsidRPr="00237B83">
        <w:t>vyhláškou Ministerstva financí č. 418/2003 Sb</w:t>
      </w:r>
      <w:r w:rsidR="0096738C">
        <w:t xml:space="preserve">. </w:t>
      </w:r>
      <w:r w:rsidR="00B3430D" w:rsidRPr="00B3430D">
        <w:t>V</w:t>
      </w:r>
      <w:r w:rsidR="00E813F0">
        <w:t> roce 2013</w:t>
      </w:r>
      <w:r w:rsidR="00B3430D" w:rsidRPr="00B3430D">
        <w:t xml:space="preserve"> se koeficient přídělu </w:t>
      </w:r>
      <w:r w:rsidR="00E813F0">
        <w:t>pohyboval</w:t>
      </w:r>
      <w:r w:rsidR="00B3430D" w:rsidRPr="00B3430D">
        <w:t xml:space="preserve"> </w:t>
      </w:r>
      <w:r w:rsidR="00E813F0">
        <w:t>u </w:t>
      </w:r>
      <w:r w:rsidR="007C35A1">
        <w:t xml:space="preserve">jednotlivých zdravotních pojišťoven </w:t>
      </w:r>
      <w:r w:rsidR="00B3430D" w:rsidRPr="00B3430D">
        <w:t>od 3,24</w:t>
      </w:r>
      <w:r w:rsidR="00C54217">
        <w:t xml:space="preserve"> % do 3,41 %. Celkový příděl do </w:t>
      </w:r>
      <w:r w:rsidR="00B3430D" w:rsidRPr="00B3430D">
        <w:t xml:space="preserve">provozních fondů </w:t>
      </w:r>
      <w:r w:rsidR="007C35A1">
        <w:t>všech zdravotních pojišťoven</w:t>
      </w:r>
      <w:r w:rsidR="00B3430D" w:rsidRPr="00B3430D">
        <w:t xml:space="preserve"> </w:t>
      </w:r>
      <w:r w:rsidR="008829D0">
        <w:t xml:space="preserve">vyjádřený </w:t>
      </w:r>
      <w:r w:rsidR="00B3430D" w:rsidRPr="00B3430D">
        <w:t xml:space="preserve">jako procento </w:t>
      </w:r>
      <w:r w:rsidR="007C35A1">
        <w:t xml:space="preserve">jejich celkových </w:t>
      </w:r>
      <w:r w:rsidR="00B3430D" w:rsidRPr="00B3430D">
        <w:t xml:space="preserve">příjmů </w:t>
      </w:r>
      <w:r w:rsidR="00E813F0">
        <w:t>byl</w:t>
      </w:r>
      <w:r w:rsidR="00B3430D" w:rsidRPr="00B3430D">
        <w:t xml:space="preserve"> cca 3,</w:t>
      </w:r>
      <w:r w:rsidR="00E813F0">
        <w:t>13</w:t>
      </w:r>
      <w:r w:rsidR="00B3430D" w:rsidRPr="00B3430D">
        <w:t xml:space="preserve"> %. </w:t>
      </w:r>
    </w:p>
    <w:p w:rsidR="00F359E5" w:rsidRDefault="00CA340C" w:rsidP="00E30460">
      <w:r w:rsidRPr="00237B83">
        <w:t>Ministerstvo zdravotnictví navrhne Minist</w:t>
      </w:r>
      <w:r w:rsidR="00F04648">
        <w:t>erstv</w:t>
      </w:r>
      <w:r w:rsidRPr="00237B83">
        <w:t>u financí, aby by</w:t>
      </w:r>
      <w:r>
        <w:t>la tato vyhláška novelizována a </w:t>
      </w:r>
      <w:r w:rsidRPr="00237B83">
        <w:t>případně byl i upraven a zjednodušen mechanismus výpočtu.</w:t>
      </w:r>
      <w:r>
        <w:t xml:space="preserve"> Snížení </w:t>
      </w:r>
      <w:r w:rsidR="00E813F0">
        <w:t xml:space="preserve">podílu přídělu do provozních fondů na celkových příjmech </w:t>
      </w:r>
      <w:r>
        <w:t>o 0,</w:t>
      </w:r>
      <w:r w:rsidR="00E813F0">
        <w:t>3</w:t>
      </w:r>
      <w:r>
        <w:t xml:space="preserve"> procentního bodu by znamenalo úsporu </w:t>
      </w:r>
      <w:r w:rsidR="00E813F0">
        <w:t>přes</w:t>
      </w:r>
      <w:r>
        <w:t xml:space="preserve"> </w:t>
      </w:r>
      <w:r w:rsidR="00E813F0">
        <w:t>700</w:t>
      </w:r>
      <w:r>
        <w:t xml:space="preserve"> milionů Kč</w:t>
      </w:r>
      <w:r w:rsidR="00B3430D" w:rsidRPr="00B3430D">
        <w:t>.</w:t>
      </w:r>
      <w:r>
        <w:t xml:space="preserve"> </w:t>
      </w:r>
      <w:r w:rsidR="008829D0">
        <w:t>Takto uspořené finanční prostředky mohou být použity na</w:t>
      </w:r>
      <w:r w:rsidR="00C920C4">
        <w:t xml:space="preserve"> úhradu</w:t>
      </w:r>
      <w:r w:rsidR="008829D0">
        <w:t xml:space="preserve"> léčb</w:t>
      </w:r>
      <w:r w:rsidR="00C920C4">
        <w:t>y</w:t>
      </w:r>
      <w:r w:rsidR="008829D0">
        <w:t xml:space="preserve"> pacientů</w:t>
      </w:r>
      <w:r>
        <w:t>.</w:t>
      </w:r>
    </w:p>
    <w:p w:rsidR="00237B83" w:rsidRDefault="00237B83" w:rsidP="00E30460">
      <w:pPr>
        <w:pStyle w:val="Nadpis3"/>
      </w:pPr>
      <w:r>
        <w:t>Rozšíření informační povinnosti zdravotních pojišťoven vůči Ministerstvu zdravotnictví a Ministerstvu financí</w:t>
      </w:r>
    </w:p>
    <w:p w:rsidR="00237B83" w:rsidRDefault="00237B83" w:rsidP="00E30460">
      <w:r w:rsidRPr="00237B83">
        <w:lastRenderedPageBreak/>
        <w:t>Ministerst</w:t>
      </w:r>
      <w:r w:rsidR="0096738C">
        <w:t>v</w:t>
      </w:r>
      <w:r w:rsidR="00C920C4">
        <w:t>o</w:t>
      </w:r>
      <w:r w:rsidRPr="00237B83">
        <w:t xml:space="preserve"> zdravotnictví</w:t>
      </w:r>
      <w:r w:rsidR="005221E4">
        <w:t xml:space="preserve"> často naráží na problém, že </w:t>
      </w:r>
      <w:r w:rsidRPr="00237B83">
        <w:t xml:space="preserve">data potřebná pro analýzy a řízení systému </w:t>
      </w:r>
      <w:r w:rsidR="005221E4">
        <w:t xml:space="preserve">nejsou k dispozici a </w:t>
      </w:r>
      <w:r w:rsidRPr="00237B83">
        <w:t>neexistuje opora v zákoně pro provádění ad hoc sběru dat od zdravotních pojišťoven</w:t>
      </w:r>
      <w:r>
        <w:t>.</w:t>
      </w:r>
      <w:r w:rsidRPr="00237B83">
        <w:t xml:space="preserve"> </w:t>
      </w:r>
    </w:p>
    <w:p w:rsidR="00237B83" w:rsidRDefault="00237B83" w:rsidP="00E30460">
      <w:r>
        <w:t>N</w:t>
      </w:r>
      <w:r w:rsidRPr="00237B83">
        <w:t>ově navrhujeme</w:t>
      </w:r>
      <w:r w:rsidR="004A67A6">
        <w:t xml:space="preserve"> </w:t>
      </w:r>
      <w:r w:rsidRPr="00237B83">
        <w:t>zakotvit v zákoně o Všeobecné zd</w:t>
      </w:r>
      <w:r>
        <w:t>ravotní pojišťovně a v zákoně o </w:t>
      </w:r>
      <w:r w:rsidRPr="00237B83">
        <w:t>zaměstnaneckých pojišťovnách povinnost zdravotních pojišťoven poskytovat Ministerstvu zdravotnictví a také Ministerstvu financí veškerá data vzniklá při činnosti zdravotních pojišťoven, o která bude zdravotní pojišťovna požádána nad rámec informačních povinností stanovených vyhláškou č. 362/2010 Sb.,</w:t>
      </w:r>
      <w:r>
        <w:t xml:space="preserve"> o způsobu podávání informací o </w:t>
      </w:r>
      <w:r w:rsidRPr="00237B83">
        <w:t xml:space="preserve">hospodaření zdravotních pojišťoven a jejich rozsahu. Tato data budou používána především jako podklad pro přípravu úhradové vyhlášky a pro další analytické práce na rozvoji systému veřejného zdravotního pojištění a dohledu nad zdravotními pojišťovnami. Ochrana osobních údajů bude zajištěna tak, že z povinnosti </w:t>
      </w:r>
      <w:r>
        <w:t>budou</w:t>
      </w:r>
      <w:r w:rsidRPr="00237B83">
        <w:t xml:space="preserve"> vyjmut</w:t>
      </w:r>
      <w:r w:rsidR="005221E4">
        <w:t>a</w:t>
      </w:r>
      <w:r w:rsidRPr="00237B83">
        <w:t xml:space="preserve"> data, z nichž by bylo možné identifikovat konkrétního pojištěnce. V případě nutnosti předání individuálních dat budou muset být data anonymizována.</w:t>
      </w:r>
    </w:p>
    <w:p w:rsidR="002469AC" w:rsidRDefault="002469AC" w:rsidP="00E813F0">
      <w:pPr>
        <w:pStyle w:val="Nadpis3"/>
      </w:pPr>
      <w:r>
        <w:t xml:space="preserve">Zákaz provádění akvizic </w:t>
      </w:r>
      <w:r w:rsidRPr="00C54217">
        <w:t>pojištěnců</w:t>
      </w:r>
      <w:r>
        <w:t xml:space="preserve"> prostřednictvím třetích osob</w:t>
      </w:r>
    </w:p>
    <w:p w:rsidR="002469AC" w:rsidRDefault="002469AC" w:rsidP="002469AC">
      <w:r w:rsidRPr="00430D57">
        <w:t xml:space="preserve">Již dlouhou dobu upozorňují některé zdravotní pojišťovny a někteří pojištěnci na nekalé praktiky tzv. dealerů, kteří pro některé zdravotní pojišťovny provádějí nábor pojištěnců. Pojištěnci jsou často uvádění v omyl, jsou jim podávány nepravdivé informace o zániku nebo přejmenování jejich zdravotní pojišťovny atd. </w:t>
      </w:r>
      <w:r>
        <w:t>Jelikož dealeři provádějí nábor na základě smluv za úplatu, dochází k neefektivnímu vynakládání finančních prostředků na činnosti, které pojištěncům z hlediska jejich zdravotního stavu nepřinášejí žádný benefit.</w:t>
      </w:r>
    </w:p>
    <w:p w:rsidR="002469AC" w:rsidRPr="00430D57" w:rsidRDefault="002469AC" w:rsidP="002469AC">
      <w:r w:rsidRPr="00430D57">
        <w:t xml:space="preserve">Na základě silného tlaku ministra zdravotnictví uzavřely zaměstnanecké zdravotní pojišťovny dne 6. </w:t>
      </w:r>
      <w:r>
        <w:t xml:space="preserve">3. 2014 dohodu, že se zavazují ukončit </w:t>
      </w:r>
      <w:r w:rsidRPr="00430D57">
        <w:t>získávání pojištěnců prostřednictvím tzv. dealerů a dealerských společností.</w:t>
      </w:r>
    </w:p>
    <w:p w:rsidR="002469AC" w:rsidRDefault="002469AC" w:rsidP="002469AC">
      <w:r w:rsidRPr="004A67A6">
        <w:t xml:space="preserve">K zajištění transparentnosti přechodu pojištěnců </w:t>
      </w:r>
      <w:r>
        <w:t>mezi zdravotními pojišťovnami a </w:t>
      </w:r>
      <w:r w:rsidRPr="004A67A6">
        <w:t xml:space="preserve">vymahatelnosti takového opatření navrhne Ministerstvo zdravotnictví novou úpravu obsaženou v </w:t>
      </w:r>
      <w:r w:rsidR="001A4B1D">
        <w:t xml:space="preserve">zákoně o Všeobecné zdravotní pojišťovně a v zákoně o zaměstnaneckých pojišťovnách, </w:t>
      </w:r>
      <w:r w:rsidRPr="004A67A6">
        <w:t>kterou bude výslovně zakázáno provádění nábo</w:t>
      </w:r>
      <w:r>
        <w:t>ru prostřednictvím třetích osob</w:t>
      </w:r>
      <w:r w:rsidRPr="00430D57">
        <w:t>.</w:t>
      </w:r>
    </w:p>
    <w:p w:rsidR="00237B83" w:rsidRDefault="00237B83" w:rsidP="00E30460">
      <w:pPr>
        <w:pStyle w:val="Nadpis3"/>
      </w:pPr>
      <w:r>
        <w:t>Snížení přídělu do rezervního fondu o polovinu</w:t>
      </w:r>
    </w:p>
    <w:p w:rsidR="00237B83" w:rsidRPr="00237B83" w:rsidRDefault="00237B83" w:rsidP="00E30460">
      <w:r w:rsidRPr="00237B83">
        <w:t xml:space="preserve">Dalším způsobem zvýšení disponibilních zdrojů systému veřejného zdravotního pojištění může být snížení povinné výše rezervního fondu. </w:t>
      </w:r>
    </w:p>
    <w:p w:rsidR="00237B83" w:rsidRPr="00237B83" w:rsidRDefault="00237B83" w:rsidP="00E30460">
      <w:r w:rsidRPr="00237B83">
        <w:t>Zdravotní pojišťovny mají ze zákona povinnost naplňovat rezervní fond. Ten musí být naplněn alespoň ve výši 1,5 % průměrných výdajů základního fondu za tři poslední roky. Zdravotní pojišťovna je oprávněna tyto prostředky použít pouze ke krytí schodku na základním fondu a v případě pohrom a katastrof.</w:t>
      </w:r>
    </w:p>
    <w:p w:rsidR="00237B83" w:rsidRPr="00237B83" w:rsidRDefault="00237B83" w:rsidP="00E30460">
      <w:r w:rsidRPr="00237B83">
        <w:lastRenderedPageBreak/>
        <w:t xml:space="preserve">V rámci snahy o zvýšení efektivity systému veřejného zdravotního pojištění navrhuje Ministerstvo zdravotnictví mobilizovat zůstatky rezervních fondů ve prospěch základních fondů zdravotního pojištění jednotlivých zdravotních pojišťoven tím, že se povinná výše rezervního fondu </w:t>
      </w:r>
      <w:proofErr w:type="gramStart"/>
      <w:r w:rsidR="0096738C" w:rsidRPr="00237B83">
        <w:t>sníží z</w:t>
      </w:r>
      <w:r w:rsidR="0096738C">
        <w:t> 1,5</w:t>
      </w:r>
      <w:proofErr w:type="gramEnd"/>
      <w:r w:rsidRPr="00237B83">
        <w:t xml:space="preserve"> % na </w:t>
      </w:r>
      <w:r w:rsidR="0096738C">
        <w:t>0,75</w:t>
      </w:r>
      <w:r w:rsidRPr="00237B83">
        <w:t xml:space="preserve"> % průměrných výdajů základního fondu zdravotního pojištění za poslední 3 roky. Tímto opatřením se z rezervních fondů uvolní přibližně 600 mil. Kč.</w:t>
      </w:r>
    </w:p>
    <w:p w:rsidR="00C92DCB" w:rsidRDefault="00C54217" w:rsidP="00E30460">
      <w:pPr>
        <w:pStyle w:val="Nadpis3"/>
      </w:pPr>
      <w:r>
        <w:t>Možnost spolupráce zdravotních pojišťoven při revizní činnosti</w:t>
      </w:r>
    </w:p>
    <w:p w:rsidR="00C54217" w:rsidRPr="00C54217" w:rsidRDefault="00C54217" w:rsidP="00E30460">
      <w:r w:rsidRPr="00C54217">
        <w:t>Revizní činnost je nedílnou součástí práce zdravotních pojišťoven. Správně vedená revizní činnost umožňuje kontrolovat oprávněnost vykazování zdravotní</w:t>
      </w:r>
      <w:r w:rsidR="00C920C4">
        <w:t>ch</w:t>
      </w:r>
      <w:r w:rsidRPr="00C54217">
        <w:t xml:space="preserve"> </w:t>
      </w:r>
      <w:r w:rsidR="00C920C4">
        <w:t>služeb</w:t>
      </w:r>
      <w:r>
        <w:t xml:space="preserve"> a lze při ní </w:t>
      </w:r>
      <w:r w:rsidR="00D27019">
        <w:t>odhalit</w:t>
      </w:r>
      <w:r>
        <w:t> </w:t>
      </w:r>
      <w:r w:rsidRPr="00C54217">
        <w:t xml:space="preserve">neoprávněné vykazování péče, která </w:t>
      </w:r>
      <w:r w:rsidR="00735AC2">
        <w:t>ve skutečnosti</w:t>
      </w:r>
      <w:r w:rsidRPr="00C54217">
        <w:t xml:space="preserve"> nebyla poskytnuta. V současné době je revizní činnost pojišťoven řešena nedostatečně efektivním způsobem, kdy jednotlivé zdravotní pojišťovny revidují vyúčtovan</w:t>
      </w:r>
      <w:r w:rsidR="0096738C">
        <w:t>é</w:t>
      </w:r>
      <w:r w:rsidRPr="00C54217">
        <w:t xml:space="preserve"> </w:t>
      </w:r>
      <w:r w:rsidR="0096738C">
        <w:t>zdravotní služby</w:t>
      </w:r>
      <w:r w:rsidRPr="00C54217">
        <w:t xml:space="preserve"> jednotlivě. Zároveň v </w:t>
      </w:r>
      <w:r>
        <w:t xml:space="preserve">oblasti revizní </w:t>
      </w:r>
      <w:r w:rsidR="0096738C">
        <w:t xml:space="preserve">činnosti </w:t>
      </w:r>
      <w:r>
        <w:t>dochází ke </w:t>
      </w:r>
      <w:r w:rsidRPr="00C54217">
        <w:t>zbytečným duplicitám, kdy několik dní po sobě jede na velkou vzdálenost revidovat téhož lékaře několik revizních lékařů, každý pouze za svou zdravotní pojišťovnu</w:t>
      </w:r>
      <w:r>
        <w:t>.</w:t>
      </w:r>
    </w:p>
    <w:p w:rsidR="00CA340C" w:rsidRDefault="00C54217" w:rsidP="00E30460">
      <w:r w:rsidRPr="00C54217">
        <w:t xml:space="preserve">Ministerstvo zdravotnictví proto navrhuje </w:t>
      </w:r>
      <w:r w:rsidR="008F3DFF">
        <w:t>novelizovat</w:t>
      </w:r>
      <w:r w:rsidRPr="00C54217">
        <w:t xml:space="preserve"> </w:t>
      </w:r>
      <w:r w:rsidR="008F3DFF">
        <w:t xml:space="preserve">příslušné zákony </w:t>
      </w:r>
      <w:r w:rsidRPr="00C54217">
        <w:t>v tom směru, že by zdravotním pojišťovnám bylo umožněno revizní činnost sdílet, realizovat společně, případně kontrahovat u jiné zdravotní pojišťovny. Došlo by tak k úsporá</w:t>
      </w:r>
      <w:r>
        <w:t>m z rozsahu, snížení duplicit a </w:t>
      </w:r>
      <w:r w:rsidRPr="00C54217">
        <w:t xml:space="preserve">zefektivnění revizní činnosti. Vhodné by bylo zaměřit se </w:t>
      </w:r>
      <w:r w:rsidR="0096738C">
        <w:t xml:space="preserve">více </w:t>
      </w:r>
      <w:r w:rsidRPr="00C54217">
        <w:t>i na kontroly oprávněnosti preskripce léčiv (preskripčn</w:t>
      </w:r>
      <w:r w:rsidR="00735AC2">
        <w:t>í a indikační omezení), kontrolu duplicit, lékových interakcí a na možnost</w:t>
      </w:r>
      <w:r w:rsidRPr="00C54217">
        <w:t xml:space="preserve"> zavést projekty racionální preskripce</w:t>
      </w:r>
      <w:r w:rsidR="00735AC2">
        <w:t xml:space="preserve"> léčiv (např. antibiotik</w:t>
      </w:r>
      <w:r w:rsidRPr="00C54217">
        <w:t>).</w:t>
      </w:r>
    </w:p>
    <w:p w:rsidR="00FE61E2" w:rsidRDefault="00FE61E2" w:rsidP="00E30460">
      <w:pPr>
        <w:pStyle w:val="Nadpis3"/>
      </w:pPr>
      <w:r>
        <w:t xml:space="preserve">Zlepšení </w:t>
      </w:r>
      <w:r w:rsidRPr="00CA340C">
        <w:t>dohledu</w:t>
      </w:r>
      <w:r>
        <w:t xml:space="preserve"> nad </w:t>
      </w:r>
      <w:r w:rsidR="00E30460">
        <w:t>úhradovými mechanismy (DRG, Seznam zdravotních výkonů)</w:t>
      </w:r>
    </w:p>
    <w:p w:rsidR="00FE61E2" w:rsidRDefault="00FE61E2" w:rsidP="00E30460">
      <w:r>
        <w:t>V současné době je situace nevyhovující, jelikož správu a rozvoj systému DRG (hlavního úhradového mechanismu používaného v</w:t>
      </w:r>
      <w:r w:rsidR="00315629">
        <w:t xml:space="preserve"> akutní </w:t>
      </w:r>
      <w:r>
        <w:t>lůžkové péč</w:t>
      </w:r>
      <w:r w:rsidR="00315629">
        <w:t>i</w:t>
      </w:r>
      <w:r>
        <w:t xml:space="preserve"> v České republice) spravuje </w:t>
      </w:r>
      <w:r w:rsidR="0096738C">
        <w:t xml:space="preserve">Národní referenční centrum, </w:t>
      </w:r>
      <w:r>
        <w:t>zájmové sdružení právnických osob</w:t>
      </w:r>
      <w:r w:rsidR="0096738C">
        <w:t xml:space="preserve"> (zdravotních pojišťoven a sdružení poskytovatelů</w:t>
      </w:r>
      <w:r w:rsidR="00C151B3">
        <w:t xml:space="preserve"> zdravotních služeb</w:t>
      </w:r>
      <w:r w:rsidR="0096738C">
        <w:t>)</w:t>
      </w:r>
      <w:r>
        <w:t>. Toto</w:t>
      </w:r>
      <w:r w:rsidR="00D17204">
        <w:t xml:space="preserve"> </w:t>
      </w:r>
      <w:r>
        <w:t>institucionální uspořádání nevyhovuje plně potřebě synergie mezi kultivací DRG jako úhradového nástroje a tvorbou úhradových vyhlášek Ministerstva zdravotnictví.</w:t>
      </w:r>
      <w:r w:rsidR="00E30460">
        <w:t xml:space="preserve"> Dalším nevyřešeným problémem je také kultivace seznamu zdravotních výkonů.</w:t>
      </w:r>
    </w:p>
    <w:p w:rsidR="00FE61E2" w:rsidRDefault="006419CF" w:rsidP="00E30460">
      <w:r>
        <w:t>Ministerstvo bude činit taková opatření</w:t>
      </w:r>
      <w:r w:rsidR="00FE61E2">
        <w:t>, aby správa a rozvoj systému DRG byly podřízen</w:t>
      </w:r>
      <w:r w:rsidR="00E30460">
        <w:t xml:space="preserve">y Ministerstvu zdravotnictví. V rámci struktury přímo řízených organizací Ministerstva zdravotnictví by byla vytvořena organizace, která by měla v gesci vývoj a kultivaci úhradových a klasifikačních mechanismů ve zdravotnictví. </w:t>
      </w:r>
    </w:p>
    <w:p w:rsidR="00E813F0" w:rsidRDefault="0096738C" w:rsidP="00E813F0">
      <w:pPr>
        <w:pStyle w:val="Nadpis3"/>
      </w:pPr>
      <w:r>
        <w:t xml:space="preserve">Zpřesnění </w:t>
      </w:r>
      <w:r w:rsidR="00E813F0">
        <w:t>úpravy střetu zájmů členů orgánů zdravotních pojišťoven</w:t>
      </w:r>
    </w:p>
    <w:p w:rsidR="003C52FC" w:rsidRPr="00E813F0" w:rsidRDefault="00E813F0" w:rsidP="003C52FC">
      <w:r>
        <w:t>Ministerstvo zdravotnictví zpracuje zpřesnění úpravy střetu zájmů pro členy orgánů zdravotních pojišťoven. Toto opatření</w:t>
      </w:r>
      <w:r w:rsidR="003A4A16">
        <w:t xml:space="preserve">, které bude provedeno novelizací zákona o Všeobecné </w:t>
      </w:r>
      <w:r w:rsidR="003A4A16">
        <w:lastRenderedPageBreak/>
        <w:t>zdravotní pojišťovně a zákona o zaměstnaneckých pojišťovnách</w:t>
      </w:r>
      <w:r w:rsidR="006D0A9C">
        <w:t>,</w:t>
      </w:r>
      <w:r>
        <w:t xml:space="preserve"> bude mít </w:t>
      </w:r>
      <w:r w:rsidR="003C52FC">
        <w:t>za cíl přesnější definici osob, které jsou ve střetu zájmů a zároveň budou stanoveny sankce za porušení tohoto ustanovení.</w:t>
      </w:r>
      <w:r w:rsidR="003C52FC" w:rsidRPr="00E813F0">
        <w:t xml:space="preserve"> </w:t>
      </w:r>
    </w:p>
    <w:p w:rsidR="00DD6B0A" w:rsidRPr="00DD6B0A" w:rsidRDefault="00DD6B0A" w:rsidP="00DD6B0A"/>
    <w:p w:rsidR="00EC7FDB" w:rsidRPr="0026385E" w:rsidRDefault="007F25A6" w:rsidP="00E30460">
      <w:pPr>
        <w:pStyle w:val="Nadpis1"/>
      </w:pPr>
      <w:r w:rsidRPr="0026385E">
        <w:t>Oblast zdravotních služeb</w:t>
      </w:r>
    </w:p>
    <w:p w:rsidR="00E25B79" w:rsidRDefault="00E25B79" w:rsidP="00E25B79">
      <w:pPr>
        <w:pStyle w:val="Nadpis3"/>
        <w:numPr>
          <w:ilvl w:val="1"/>
          <w:numId w:val="9"/>
        </w:numPr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>Zřízení přístrojové komise</w:t>
      </w:r>
    </w:p>
    <w:p w:rsidR="005B7646" w:rsidRPr="005B7646" w:rsidRDefault="005B7646" w:rsidP="005B7646">
      <w:r w:rsidRPr="005B7646">
        <w:t xml:space="preserve">Ministerstvo zdravotnictví nově zřídí jako poradní orgán ministra tzv. „přístrojovou komisi“. Úkolem této komise bude především posuzovat zdravotnické prostředky, které jsou hrazené z veřejného zdravotního pojištění, z hlediska účelnosti jejich pořízení ve vztahu k potřebě dostupnosti těchto prostředků v rámci ČR, při zohlednění jejich efektivního vytížení; obdobně bude komise posuzovat i nákup nových technologií v rámci systému veřejného zdravotního pojištění. Závěry uvedeného hodnocení budou ve formě doporučení zveřejňovány. </w:t>
      </w:r>
    </w:p>
    <w:p w:rsidR="005B7646" w:rsidRPr="005B7646" w:rsidRDefault="005B7646" w:rsidP="005B7646">
      <w:r w:rsidRPr="005B7646">
        <w:t xml:space="preserve">Komise bude brát v úvahu jak předpokládanou finanční náročnost investic pro státní rozpočet a veřejné zdravotní pojištění, tak i další kritéria sledovaná v rámci standardního procesu hodnocení zdravotnických technologií. Zřízení komise je již nyní Ministerstvem zdravotnictví připravováno. V budoucnu budou zkušenosti z fungování tzv. přístrojové komise použity pro založení agentury pro hodnocení zdravotnických technologií plně se řídící metodikou </w:t>
      </w:r>
      <w:proofErr w:type="spellStart"/>
      <w:r w:rsidRPr="005B7646">
        <w:t>Health</w:t>
      </w:r>
      <w:proofErr w:type="spellEnd"/>
      <w:r w:rsidRPr="005B7646">
        <w:t xml:space="preserve"> Technology </w:t>
      </w:r>
      <w:proofErr w:type="spellStart"/>
      <w:r w:rsidRPr="005B7646">
        <w:t>Assesment</w:t>
      </w:r>
      <w:proofErr w:type="spellEnd"/>
      <w:r w:rsidRPr="005B7646">
        <w:t xml:space="preserve"> (HTA).</w:t>
      </w:r>
    </w:p>
    <w:p w:rsidR="007F25A6" w:rsidRDefault="007F25A6" w:rsidP="00E30460">
      <w:pPr>
        <w:pStyle w:val="Nadpis3"/>
      </w:pPr>
      <w:r>
        <w:t>Centralizace nákladné zdravotní péče do center vysoce specializované péče</w:t>
      </w:r>
    </w:p>
    <w:p w:rsidR="00CA340C" w:rsidRDefault="00036E25" w:rsidP="00E30460">
      <w:r>
        <w:t xml:space="preserve">Ministerstvo zdravotnictví je oprávněno na základě zákona č. 372/2011 Sb., o zdravotních službách a podmínkách jejich poskytování (zákon o zdravotních službách), ve znění pozdějších předpisů, udělit poskytovateli zdravotních služeb, který splňuje ministerstvem předem stanovená kritéria, statut vysoce specializovaného centra. </w:t>
      </w:r>
      <w:r w:rsidR="00961B98">
        <w:t>Postupným</w:t>
      </w:r>
      <w:r w:rsidR="006E1FD6">
        <w:t xml:space="preserve"> </w:t>
      </w:r>
      <w:r w:rsidR="00CA340C">
        <w:t>soustřeďov</w:t>
      </w:r>
      <w:r w:rsidR="00961B98">
        <w:t xml:space="preserve">áním </w:t>
      </w:r>
      <w:r w:rsidR="00CA340C">
        <w:t>nákladn</w:t>
      </w:r>
      <w:r w:rsidR="00961B98">
        <w:t>é</w:t>
      </w:r>
      <w:r w:rsidR="00CA340C">
        <w:t xml:space="preserve"> (finančně, personálně, technicky) zdravotní péč</w:t>
      </w:r>
      <w:r w:rsidR="00961B98">
        <w:t>e</w:t>
      </w:r>
      <w:r w:rsidR="00CA340C">
        <w:t xml:space="preserve"> pro řešení některých zdravotních stavů či poskytování zdravotní péče občanům se vzácnými chorobami do center vysoce specializované </w:t>
      </w:r>
      <w:r w:rsidR="00CD5094">
        <w:t xml:space="preserve">zdravotní </w:t>
      </w:r>
      <w:r w:rsidR="00CA340C">
        <w:t>péče</w:t>
      </w:r>
      <w:r w:rsidR="003D182A">
        <w:t xml:space="preserve"> </w:t>
      </w:r>
      <w:r w:rsidR="00961B98">
        <w:t xml:space="preserve">jsou </w:t>
      </w:r>
      <w:r w:rsidR="00CA340C">
        <w:t>vytvář</w:t>
      </w:r>
      <w:r w:rsidR="00961B98">
        <w:t xml:space="preserve">eny </w:t>
      </w:r>
      <w:r w:rsidR="00CA340C">
        <w:t xml:space="preserve">podmínky pro získání a udržení erudice zdravotnických pracovníků, </w:t>
      </w:r>
      <w:r w:rsidR="00961B98">
        <w:t xml:space="preserve">jsou zabezpečeny podmínky pro zvyšování </w:t>
      </w:r>
      <w:r w:rsidR="00CA340C">
        <w:t>efektivit</w:t>
      </w:r>
      <w:r w:rsidR="00961B98">
        <w:t>y</w:t>
      </w:r>
      <w:r w:rsidR="00CA340C">
        <w:t xml:space="preserve"> managementu</w:t>
      </w:r>
      <w:r w:rsidR="003D182A">
        <w:t xml:space="preserve">. </w:t>
      </w:r>
      <w:r w:rsidR="006967D8">
        <w:t xml:space="preserve">Soustřeďováním této nákladné péče </w:t>
      </w:r>
      <w:r w:rsidR="00961B98">
        <w:t>lze dosáhnout</w:t>
      </w:r>
      <w:r>
        <w:t xml:space="preserve"> </w:t>
      </w:r>
      <w:r w:rsidR="00CA340C">
        <w:t>sníž</w:t>
      </w:r>
      <w:r w:rsidR="00961B98">
        <w:t xml:space="preserve">ení </w:t>
      </w:r>
      <w:r w:rsidR="00CA340C">
        <w:t>prostředk</w:t>
      </w:r>
      <w:r w:rsidR="00961B98">
        <w:t xml:space="preserve">ů </w:t>
      </w:r>
      <w:r w:rsidR="00CA340C">
        <w:t>vynakládan</w:t>
      </w:r>
      <w:r w:rsidR="00961B98">
        <w:t xml:space="preserve">ých </w:t>
      </w:r>
      <w:r w:rsidR="00CA340C">
        <w:t>na diagnostiku, léčbu a další sledování jednoho pacienta při zachování nebo dokonce zvýšení kvality poskytované péče. Směřování pacientů a specializovaných diagnostických a léčebných výkonů do center vysoce specializované péče má v neposlední řadě klíčový význam pro postgraduální vzdělávání</w:t>
      </w:r>
      <w:r w:rsidR="00961B98">
        <w:t xml:space="preserve"> zdravotnických pracovníků</w:t>
      </w:r>
      <w:r w:rsidR="00CA340C">
        <w:t xml:space="preserve">. Snaha soustředit poskytování některých zdravotních výkonů pouze do center vysoce specializované péče z důvodu erudice zdravotnického personálu a snížení výskytu zdravotních komplikací však nemůže v současné době bez úpravy platné legislativy  zabránit </w:t>
      </w:r>
      <w:r w:rsidR="00CA340C">
        <w:lastRenderedPageBreak/>
        <w:t xml:space="preserve">tomu, aby zdravotní pojišťovny </w:t>
      </w:r>
      <w:proofErr w:type="spellStart"/>
      <w:r w:rsidR="00CA340C">
        <w:t>nasmlouvávaly</w:t>
      </w:r>
      <w:proofErr w:type="spellEnd"/>
      <w:r w:rsidR="00CA340C">
        <w:t xml:space="preserve"> tyto výkony i s poskytovateli zdravotních služeb, kteří nemají statut centra vysoce specializované péče, </w:t>
      </w:r>
      <w:r w:rsidR="00CA340C" w:rsidRPr="000B2284">
        <w:t xml:space="preserve">neboť </w:t>
      </w:r>
      <w:r w:rsidR="00194F8D" w:rsidRPr="000B2284">
        <w:t xml:space="preserve">pro takové omezení nejsou stanoveny právními předpisy podmínky. </w:t>
      </w:r>
      <w:r w:rsidR="00CA340C" w:rsidRPr="000B2284">
        <w:t xml:space="preserve"> </w:t>
      </w:r>
    </w:p>
    <w:p w:rsidR="00CA340C" w:rsidRDefault="00CA340C" w:rsidP="00E30460">
      <w:r w:rsidRPr="00CA340C">
        <w:t xml:space="preserve">Ministerstvo zdravotnictví proto navrhuje v návaznosti na vznik center vysoce specializované péče podle zákona o zdravotních službách upravit </w:t>
      </w:r>
      <w:r w:rsidR="00E660C0">
        <w:t xml:space="preserve">právní předpisy </w:t>
      </w:r>
      <w:r w:rsidRPr="00CA340C">
        <w:t>tak, aby  bylo jednoznačně preferováno poskytování určité specializované péče právě v těchto centrech.</w:t>
      </w:r>
    </w:p>
    <w:p w:rsidR="00F82FF5" w:rsidRDefault="007F25A6" w:rsidP="00E30460">
      <w:pPr>
        <w:pStyle w:val="Nadpis3"/>
      </w:pPr>
      <w:r>
        <w:t>Dokončení koncepce systému následné a dlouhodobé lůžkové péče a domácí zdravotní péče</w:t>
      </w:r>
      <w:r w:rsidR="00D83D30">
        <w:t xml:space="preserve"> včetně péče</w:t>
      </w:r>
      <w:r w:rsidR="00E81D5F" w:rsidRPr="00E81D5F">
        <w:t xml:space="preserve"> </w:t>
      </w:r>
      <w:r w:rsidR="00E81D5F">
        <w:t>paliativní</w:t>
      </w:r>
    </w:p>
    <w:p w:rsidR="007F25A6" w:rsidRPr="007F25A6" w:rsidRDefault="007F25A6" w:rsidP="00E30460">
      <w:r w:rsidRPr="007F25A6">
        <w:t xml:space="preserve">Cílem koncepce je nový organizační systém koordinace </w:t>
      </w:r>
      <w:proofErr w:type="spellStart"/>
      <w:r>
        <w:t>postakutní</w:t>
      </w:r>
      <w:proofErr w:type="spellEnd"/>
      <w:r>
        <w:t xml:space="preserve"> péče s návazností na </w:t>
      </w:r>
      <w:r w:rsidRPr="007F25A6">
        <w:t>akutní lůžkovou a ambula</w:t>
      </w:r>
      <w:r>
        <w:t>n</w:t>
      </w:r>
      <w:r w:rsidRPr="007F25A6">
        <w:t xml:space="preserve">tní péči. </w:t>
      </w:r>
      <w:r w:rsidR="00D00C5E">
        <w:t xml:space="preserve">Smyslem zamýšleného systému je položit </w:t>
      </w:r>
      <w:r w:rsidR="00D00C5E" w:rsidRPr="007F25A6">
        <w:t xml:space="preserve">základy poskytování diferencované a individualizované následné a dlouhodobé péče pro konkrétního nemocného podle jeho zdravotní a funkční potřebnosti. </w:t>
      </w:r>
      <w:r w:rsidR="00D00C5E">
        <w:t xml:space="preserve">Půjde </w:t>
      </w:r>
      <w:r w:rsidR="00D00C5E" w:rsidRPr="007F25A6">
        <w:t>především</w:t>
      </w:r>
      <w:r w:rsidR="00D00C5E">
        <w:t xml:space="preserve"> o zpřesnění podmínek</w:t>
      </w:r>
      <w:r w:rsidR="00D00C5E" w:rsidRPr="007F25A6">
        <w:t xml:space="preserve"> poskytování </w:t>
      </w:r>
      <w:r w:rsidRPr="007F25A6">
        <w:t xml:space="preserve">této péče, </w:t>
      </w:r>
      <w:r>
        <w:t>včetně nového nastavení úhrad z </w:t>
      </w:r>
      <w:r w:rsidRPr="007F25A6">
        <w:t>veřejného zdravotního pojištění</w:t>
      </w:r>
      <w:r w:rsidR="00E660C0">
        <w:t>.</w:t>
      </w:r>
      <w:r w:rsidRPr="007F25A6">
        <w:t xml:space="preserve"> </w:t>
      </w:r>
      <w:r w:rsidR="00E660C0">
        <w:t xml:space="preserve"> Předpokládaným efektem je zlepšení dostupnosti </w:t>
      </w:r>
      <w:proofErr w:type="spellStart"/>
      <w:r w:rsidR="00E660C0">
        <w:t>postakutní</w:t>
      </w:r>
      <w:proofErr w:type="spellEnd"/>
      <w:r w:rsidR="00E660C0">
        <w:t xml:space="preserve"> péče při stárnutí populace a postupná eliminace převisu poptávky po těchto</w:t>
      </w:r>
      <w:r w:rsidR="00A411E4">
        <w:t xml:space="preserve"> </w:t>
      </w:r>
      <w:r w:rsidR="00E660C0">
        <w:t>službách</w:t>
      </w:r>
      <w:r w:rsidR="00A411E4">
        <w:t xml:space="preserve">, </w:t>
      </w:r>
      <w:r w:rsidR="00E660C0">
        <w:t>zvýšení efektivity financování z veřejného zdravotního pojištění (neutrální finanční dopad - zachování objemu prostředků veřejného zdravotního pojištění pro tento segment péče s vyšším objemem poskytnutých služeb respektive s vyšším počtem ošetřených)</w:t>
      </w:r>
      <w:r w:rsidR="00A411E4">
        <w:t xml:space="preserve">, zkrácení průměrné doby hospitalizace na akutním lůžku, jasné nastavení pravidel přestupů mezi jednotlivými druhy </w:t>
      </w:r>
      <w:proofErr w:type="spellStart"/>
      <w:r w:rsidR="00A411E4">
        <w:t>postakutní</w:t>
      </w:r>
      <w:proofErr w:type="spellEnd"/>
      <w:r w:rsidR="00A411E4">
        <w:t xml:space="preserve"> péče</w:t>
      </w:r>
      <w:r w:rsidR="00E660C0">
        <w:t xml:space="preserve">. </w:t>
      </w:r>
    </w:p>
    <w:p w:rsidR="003C52FC" w:rsidRDefault="003C52FC" w:rsidP="003C52FC">
      <w:r>
        <w:t>Upravení koncepce systému následné a dlouhodobé lůžkové péče včetně domácí a paliativní péče bude mít především pozitivní dopad na pacienty</w:t>
      </w:r>
      <w:r w:rsidR="00A411E4">
        <w:t>, kteří v důsledku svého zdravotního stavu potřebují</w:t>
      </w:r>
      <w:r>
        <w:t xml:space="preserve"> </w:t>
      </w:r>
      <w:r w:rsidR="00A411E4">
        <w:t xml:space="preserve">zajištění </w:t>
      </w:r>
      <w:r>
        <w:t>těchto zdravotních služeb.</w:t>
      </w:r>
    </w:p>
    <w:p w:rsidR="00FE61E2" w:rsidRPr="0026385E" w:rsidRDefault="00E81D5F" w:rsidP="00E30460">
      <w:pPr>
        <w:pStyle w:val="Nadpis3"/>
      </w:pPr>
      <w:r w:rsidRPr="0026385E">
        <w:t>Úhradová regulace zdravotnických prostředků</w:t>
      </w:r>
    </w:p>
    <w:p w:rsidR="00E81D5F" w:rsidRDefault="00E81D5F" w:rsidP="00E81D5F">
      <w:r>
        <w:t>V ambulantní péči bude úhradový mechanismus nastaven na ekonomicky nejméně náročnou variantu (ENNV). Předpokladem pro tento způsob úhrady je řádná kategorizace zdravotnických prostředků, tj. stanovení úhradových skupin. Kategorizace včetně stanovení indikačních a preskripčních omezení je u zdravotnických prostředků předepisovaných na poukaz již provedena. Je tedy potřeba v zákoně o veřejném zdravotním pojištění doplnit mechanismus stanovení ENNV a způsob zveřejnění seznamu zdravotnických prostředků hrazených na poukaz.</w:t>
      </w:r>
    </w:p>
    <w:p w:rsidR="00E81D5F" w:rsidRDefault="00E81D5F" w:rsidP="00E81D5F">
      <w:r>
        <w:t>Stejný princip je možné aplikovat u zvlášť účtovaného materiálu (ZUM). Je potřeba provést kompletní kategorizaci ZUM. Vzhledem k množství položek ZUM se práce odhaduje na cca 12 měsíců.</w:t>
      </w:r>
    </w:p>
    <w:p w:rsidR="00720B79" w:rsidRDefault="00720B79" w:rsidP="00E81D5F"/>
    <w:p w:rsidR="003C52FC" w:rsidRDefault="003C52FC" w:rsidP="003C52FC">
      <w:pPr>
        <w:pStyle w:val="Nadpis3"/>
      </w:pPr>
      <w:r>
        <w:lastRenderedPageBreak/>
        <w:t>Rozšíření úhradových aukcí</w:t>
      </w:r>
    </w:p>
    <w:p w:rsidR="00620638" w:rsidRDefault="00620638" w:rsidP="00620638">
      <w:pPr>
        <w:rPr>
          <w:lang w:eastAsia="cs-CZ"/>
        </w:rPr>
      </w:pPr>
      <w:r>
        <w:rPr>
          <w:lang w:eastAsia="cs-CZ"/>
        </w:rPr>
        <w:t xml:space="preserve">U hrazených léků je možné stanovit úhradu ze zdravotního pojištění na základě úhradové soutěže, která probíhá formou elektronické aukce. Jejím smyslem je zajistit dostupnost plně hrazených léků pro pacienty a zároveň zajistit úspory pro systém veřejného zdravotního pojištění. </w:t>
      </w:r>
      <w:r w:rsidRPr="00620638">
        <w:rPr>
          <w:lang w:eastAsia="cs-CZ"/>
        </w:rPr>
        <w:t xml:space="preserve">Minimální snížení úhrady potřebné podle zákona o veřejném zdravotním pojištění k úspěšnému dokončení aukce je 2% oproti současné výši úhrady za den terapie. </w:t>
      </w:r>
      <w:r>
        <w:rPr>
          <w:lang w:eastAsia="cs-CZ"/>
        </w:rPr>
        <w:t>Účastník, který zvítězí v úhradové soutěži, se zavazuje zajistit dodávky daného léku po dobu zpravidla 18 měsíců, a také ručí, že po celou tuto dobu bude daný lék plně hrazený, tedy bez doplatku pacienta.</w:t>
      </w:r>
    </w:p>
    <w:p w:rsidR="0077173A" w:rsidRPr="0077173A" w:rsidRDefault="00184348" w:rsidP="00620638">
      <w:pPr>
        <w:rPr>
          <w:lang w:eastAsia="cs-CZ"/>
        </w:rPr>
      </w:pPr>
      <w:r w:rsidRPr="00184348">
        <w:rPr>
          <w:rFonts w:cs="Arial"/>
          <w:bCs/>
        </w:rPr>
        <w:t>Státní</w:t>
      </w:r>
      <w:r w:rsidRPr="00184348">
        <w:rPr>
          <w:rFonts w:cs="Arial"/>
        </w:rPr>
        <w:t xml:space="preserve"> </w:t>
      </w:r>
      <w:r w:rsidRPr="00184348">
        <w:rPr>
          <w:rFonts w:cs="Arial"/>
          <w:bCs/>
        </w:rPr>
        <w:t>ústav</w:t>
      </w:r>
      <w:r w:rsidRPr="00184348">
        <w:rPr>
          <w:rFonts w:cs="Arial"/>
        </w:rPr>
        <w:t xml:space="preserve"> </w:t>
      </w:r>
      <w:r w:rsidRPr="00184348">
        <w:rPr>
          <w:rFonts w:cs="Arial"/>
          <w:bCs/>
        </w:rPr>
        <w:t>pro</w:t>
      </w:r>
      <w:r w:rsidRPr="00184348">
        <w:rPr>
          <w:rFonts w:cs="Arial"/>
        </w:rPr>
        <w:t xml:space="preserve"> </w:t>
      </w:r>
      <w:r w:rsidRPr="00184348">
        <w:rPr>
          <w:rFonts w:cs="Arial"/>
          <w:bCs/>
        </w:rPr>
        <w:t>kontrolu</w:t>
      </w:r>
      <w:r w:rsidRPr="00184348">
        <w:rPr>
          <w:rFonts w:cs="Arial"/>
        </w:rPr>
        <w:t xml:space="preserve"> </w:t>
      </w:r>
      <w:r w:rsidRPr="00184348">
        <w:rPr>
          <w:rFonts w:cs="Arial"/>
          <w:bCs/>
        </w:rPr>
        <w:t>léčiv</w:t>
      </w:r>
      <w:r>
        <w:rPr>
          <w:rFonts w:ascii="Arial" w:hAnsi="Arial" w:cs="Arial"/>
          <w:sz w:val="19"/>
          <w:szCs w:val="19"/>
        </w:rPr>
        <w:t xml:space="preserve"> </w:t>
      </w:r>
      <w:r w:rsidR="00620638">
        <w:rPr>
          <w:lang w:eastAsia="cs-CZ"/>
        </w:rPr>
        <w:t xml:space="preserve">v současné době pracuje na vytipování skupin vhodných pro úhradové aukce. </w:t>
      </w:r>
    </w:p>
    <w:p w:rsidR="005E5BF5" w:rsidRDefault="005E5BF5" w:rsidP="005E5BF5">
      <w:pPr>
        <w:pStyle w:val="Nadpis3"/>
      </w:pPr>
      <w:r>
        <w:t>Rozvoj indikátorů kvality a jejich zavedení do praxe</w:t>
      </w:r>
    </w:p>
    <w:p w:rsidR="005E5BF5" w:rsidRPr="008829D0" w:rsidRDefault="005E5BF5" w:rsidP="005E5BF5">
      <w:r w:rsidRPr="0026385E">
        <w:t xml:space="preserve">Pro zvýšení efektivity a transparentnosti systému je nutné, </w:t>
      </w:r>
      <w:r>
        <w:t xml:space="preserve">aby Ministerstvo zdravotnictví </w:t>
      </w:r>
      <w:r w:rsidRPr="0026385E">
        <w:t xml:space="preserve">mělo k dispozici dostatečně validní soubor dat, nad kterými bude možné zavést příslušné indikátory kvality zdravotní péče. Několik sad těchto indikátorů již bylo dříve vytvořeno a validováno. Zbývá zavést do praktického užívání ty, které se osvědčily. </w:t>
      </w:r>
      <w:r>
        <w:t xml:space="preserve">Tyto indikátory bude možné použít pro hodnocení kvality a efektivity poskytovaných zdravotních služeb. </w:t>
      </w:r>
      <w:r w:rsidRPr="0026385E">
        <w:t xml:space="preserve">S ohledem na předešlé zkušenosti se jeví jako optimální, aby sběr dat pro tyto </w:t>
      </w:r>
      <w:r>
        <w:t>indikátory</w:t>
      </w:r>
      <w:r w:rsidRPr="0026385E">
        <w:t xml:space="preserve"> nezatěžoval dále administrativně poskytovatele zdravotních služeb, tedy aby se pouze předávala do centrálního bodu data již sbíraná na úrovni poskytovatelů zdravotních služeb.  Nejsnáze realizovatelné jsou v současné době indikátory</w:t>
      </w:r>
      <w:r>
        <w:t xml:space="preserve"> vycházející z dat výkazů</w:t>
      </w:r>
      <w:r w:rsidRPr="0026385E">
        <w:t xml:space="preserve"> </w:t>
      </w:r>
      <w:r>
        <w:t xml:space="preserve">pro </w:t>
      </w:r>
      <w:r w:rsidRPr="0026385E">
        <w:t>zdravotní</w:t>
      </w:r>
      <w:r>
        <w:t xml:space="preserve"> pojišťovny, kdy je však nutné z cca 150 již definovaných indikátorů vybrat ty nejvhodnější. C</w:t>
      </w:r>
      <w:r w:rsidRPr="0026385E">
        <w:t>entrální</w:t>
      </w:r>
      <w:r>
        <w:t>m</w:t>
      </w:r>
      <w:r w:rsidRPr="0026385E">
        <w:t xml:space="preserve"> bod</w:t>
      </w:r>
      <w:r>
        <w:t>em</w:t>
      </w:r>
      <w:r w:rsidRPr="0026385E">
        <w:t xml:space="preserve"> sběru příslušných dat (výkazů pro zdravotní pojišťovny) může být Národní registr hospitalizovaných</w:t>
      </w:r>
      <w:r w:rsidR="00A82E9D">
        <w:t>,</w:t>
      </w:r>
      <w:r w:rsidRPr="0026385E">
        <w:t xml:space="preserve"> </w:t>
      </w:r>
      <w:r w:rsidR="00A82E9D">
        <w:t xml:space="preserve">jehož správou je pověřen </w:t>
      </w:r>
      <w:r>
        <w:t>Ústav zdravotnické informatiky a statistiky (dále jen ÚZIS</w:t>
      </w:r>
      <w:r w:rsidR="00A82E9D">
        <w:t>).</w:t>
      </w:r>
      <w:r>
        <w:t xml:space="preserve"> Pro zajištění sběru dat optimálním způsobem ode všech poskytovatelů</w:t>
      </w:r>
      <w:r w:rsidR="00A82E9D">
        <w:t xml:space="preserve"> zdravotních služeb</w:t>
      </w:r>
      <w:r>
        <w:t xml:space="preserve"> a pro zkrácení intervalu předávání dat bude nutné upravit pokyn ÚZIS pro předávání dat do Národního registru hospitalizovaných. </w:t>
      </w:r>
      <w:r w:rsidRPr="0026385E">
        <w:t xml:space="preserve">Takto </w:t>
      </w:r>
      <w:r>
        <w:t xml:space="preserve">shromážděná data mohou </w:t>
      </w:r>
      <w:r w:rsidRPr="0026385E">
        <w:t>následně sloužit</w:t>
      </w:r>
      <w:r>
        <w:t xml:space="preserve"> i</w:t>
      </w:r>
      <w:r w:rsidRPr="0026385E">
        <w:t xml:space="preserve"> pro</w:t>
      </w:r>
      <w:r>
        <w:t xml:space="preserve"> veřejné či </w:t>
      </w:r>
      <w:r w:rsidR="00407D6F">
        <w:t>„</w:t>
      </w:r>
      <w:r>
        <w:t>zaslepené</w:t>
      </w:r>
      <w:r w:rsidR="00407D6F">
        <w:t>“</w:t>
      </w:r>
      <w:r>
        <w:t xml:space="preserve"> porovnávání poskytovatelů zdravotních služeb a další analýzy podle potřeby. Mimo to lze tato data o dřívějších hospitalizacích zpřístupnit pacientům a jejich ošetřujícím lékařům, což však bude vyžadovat definici těchto přístupových oprávnění v zákoně č. 372/2011 Sb., o zdravotních službách a podmínkách jejich poskytování (zákon o zdravotních službách).</w:t>
      </w:r>
    </w:p>
    <w:p w:rsidR="005E5BF5" w:rsidRDefault="005E5BF5" w:rsidP="005E5BF5">
      <w:pPr>
        <w:pStyle w:val="Nadpis3"/>
        <w:numPr>
          <w:ilvl w:val="1"/>
          <w:numId w:val="20"/>
        </w:numPr>
      </w:pPr>
      <w:r w:rsidRPr="0066076E">
        <w:t xml:space="preserve">Rozvoj systému interního hodnocení kvality podle § 47 odst. (3) písm. b) zákona č. 372/2011Sb., o zdravotních službách a podmínkách jejich poskytování (zákon o zdravotních službách). </w:t>
      </w:r>
    </w:p>
    <w:p w:rsidR="005E5BF5" w:rsidRPr="00284DA6" w:rsidRDefault="005E5BF5" w:rsidP="005E5BF5">
      <w:pPr>
        <w:rPr>
          <w:rFonts w:ascii="Times New Roman" w:hAnsi="Times New Roman"/>
          <w:lang w:eastAsia="cs-CZ"/>
        </w:rPr>
      </w:pPr>
      <w:r w:rsidRPr="00263BD3">
        <w:t xml:space="preserve">Pro možný rozvoj systému interního hodnocení kvality a bezpečí je nutné, aby Ministerstvo zdravotnictví </w:t>
      </w:r>
      <w:r w:rsidRPr="00263BD3">
        <w:rPr>
          <w:bCs/>
        </w:rPr>
        <w:t>novelizací zákona o zdravotních službách</w:t>
      </w:r>
      <w:r w:rsidR="00EF64A6">
        <w:rPr>
          <w:bCs/>
        </w:rPr>
        <w:t>,</w:t>
      </w:r>
      <w:r w:rsidRPr="00263BD3">
        <w:rPr>
          <w:bCs/>
        </w:rPr>
        <w:t xml:space="preserve"> stanovilo </w:t>
      </w:r>
      <w:r w:rsidRPr="00263BD3">
        <w:t xml:space="preserve">povinné minimální </w:t>
      </w:r>
      <w:r w:rsidRPr="00263BD3">
        <w:lastRenderedPageBreak/>
        <w:t xml:space="preserve">požadavky pro zavedení systému interního hodnocení kvality a bezpečí také pro poskytovatele  ambulantních zdravotních služeb. Pro poskytovatele lůžkové a jednodenní péče bude nutné stanovit </w:t>
      </w:r>
      <w:r w:rsidRPr="00263BD3">
        <w:rPr>
          <w:bCs/>
        </w:rPr>
        <w:t xml:space="preserve">novou povinnost  (v současné době dobrovolný akt) - </w:t>
      </w:r>
      <w:r w:rsidRPr="00263BD3">
        <w:t>předávat data  (anonymizované údaje v rozsahu stanoveném prováděcím právním předpisem)</w:t>
      </w:r>
      <w:r w:rsidRPr="00661C34">
        <w:rPr>
          <w:rFonts w:ascii="Times New Roman" w:hAnsi="Times New Roman"/>
          <w:lang w:eastAsia="cs-CZ"/>
        </w:rPr>
        <w:t xml:space="preserve"> </w:t>
      </w:r>
      <w:r w:rsidRPr="00661C34">
        <w:t xml:space="preserve">z interního systému hodnocení kvality a bezpečí poskytovaných zdravotních služeb do Systému hlášení nežádoucích událostí. </w:t>
      </w:r>
    </w:p>
    <w:p w:rsidR="00FE61E2" w:rsidRPr="008829D0" w:rsidRDefault="00FE61E2" w:rsidP="00D83D30">
      <w:pPr>
        <w:pStyle w:val="Nadpis1"/>
      </w:pPr>
      <w:r w:rsidRPr="008829D0">
        <w:t>Oblast ekonomiky a řízení organizací v přímé působnosti Ministerstva zdravotnictví</w:t>
      </w:r>
    </w:p>
    <w:p w:rsidR="00FE61E2" w:rsidRDefault="00315629" w:rsidP="00E30460">
      <w:pPr>
        <w:pStyle w:val="Nadpis3"/>
      </w:pPr>
      <w:r>
        <w:t>Systém řízení organizací zřízených Ministerstv</w:t>
      </w:r>
      <w:r w:rsidR="007616B8">
        <w:t>em</w:t>
      </w:r>
      <w:r>
        <w:t xml:space="preserve"> zdravotnictví  </w:t>
      </w:r>
    </w:p>
    <w:p w:rsidR="00315629" w:rsidRDefault="00315629" w:rsidP="00E30460">
      <w:r w:rsidRPr="00315629">
        <w:t xml:space="preserve">Téměř polovina </w:t>
      </w:r>
      <w:r w:rsidR="0041046C">
        <w:t>výdajů</w:t>
      </w:r>
      <w:r>
        <w:t xml:space="preserve"> </w:t>
      </w:r>
      <w:r w:rsidR="0041046C">
        <w:t xml:space="preserve">na lůžkovou péči </w:t>
      </w:r>
      <w:r>
        <w:t>je</w:t>
      </w:r>
      <w:r w:rsidRPr="00315629">
        <w:t xml:space="preserve"> směřována </w:t>
      </w:r>
      <w:r w:rsidR="0041046C">
        <w:t>k poskytovatelům lůžkové péče</w:t>
      </w:r>
      <w:r w:rsidRPr="00315629">
        <w:t xml:space="preserve"> zřízený</w:t>
      </w:r>
      <w:r w:rsidR="0041046C">
        <w:t>m</w:t>
      </w:r>
      <w:r w:rsidRPr="00315629">
        <w:t xml:space="preserve"> Ministerstvem zdravotnictví. S ohledem na tuto skutečnost navrhujeme pro zvýšení transparentnosti a udržitelnosti této části zdravotního systému následující </w:t>
      </w:r>
      <w:r>
        <w:t>opatření.</w:t>
      </w:r>
    </w:p>
    <w:p w:rsidR="00315629" w:rsidRDefault="0011089F" w:rsidP="00E30460">
      <w:r>
        <w:t>Poskytovatelům lůžkové péče</w:t>
      </w:r>
      <w:r w:rsidRPr="00315629">
        <w:t xml:space="preserve"> zřízený</w:t>
      </w:r>
      <w:r>
        <w:t>m</w:t>
      </w:r>
      <w:r w:rsidRPr="00315629">
        <w:t xml:space="preserve"> Ministerstvem zdravotnictví</w:t>
      </w:r>
      <w:r>
        <w:t xml:space="preserve"> </w:t>
      </w:r>
      <w:r w:rsidR="00315629">
        <w:t>bude nařízeno poskytnout zdravotním pojišťovnám souhlas se zveřejněním smluv o poskytování a úhradě hrazených služeb. Toto opatření</w:t>
      </w:r>
      <w:r w:rsidR="00377B9D">
        <w:t xml:space="preserve"> </w:t>
      </w:r>
      <w:r w:rsidR="00377B9D" w:rsidRPr="00377B9D">
        <w:t xml:space="preserve">zajistí transparentnost smluvních vztahů mezi </w:t>
      </w:r>
      <w:r w:rsidR="00535E3B">
        <w:t>poskytovateli zdravotních služeb</w:t>
      </w:r>
      <w:r w:rsidR="00377B9D" w:rsidRPr="00377B9D">
        <w:t xml:space="preserve"> a zdravotními pojišťovnami, umožní porovnání a vyhodnocení stanovených podmínek </w:t>
      </w:r>
      <w:r w:rsidR="00535E3B">
        <w:t>s ostatními poskytovateli zdravotních služeb.</w:t>
      </w:r>
    </w:p>
    <w:p w:rsidR="00377B9D" w:rsidRDefault="00377B9D" w:rsidP="00E30460">
      <w:r>
        <w:t xml:space="preserve">V oblasti sledování hospodaření </w:t>
      </w:r>
      <w:r w:rsidR="009048B1">
        <w:t>poskytovatelů lůžkové péče</w:t>
      </w:r>
      <w:r w:rsidR="009048B1" w:rsidRPr="00315629">
        <w:t xml:space="preserve"> zřízený</w:t>
      </w:r>
      <w:r w:rsidR="009048B1">
        <w:t>ch</w:t>
      </w:r>
      <w:r w:rsidR="009048B1" w:rsidRPr="00315629">
        <w:t xml:space="preserve"> Ministerstvem zdravotnictví</w:t>
      </w:r>
      <w:r w:rsidR="009048B1">
        <w:t xml:space="preserve"> </w:t>
      </w:r>
      <w:r>
        <w:t xml:space="preserve">bude Ministerstvo zdravotnictví </w:t>
      </w:r>
      <w:r w:rsidRPr="00E30460">
        <w:t>průběžně</w:t>
      </w:r>
      <w:r>
        <w:t xml:space="preserve"> vyhodnocovat platební</w:t>
      </w:r>
      <w:r w:rsidRPr="00377B9D">
        <w:t xml:space="preserve"> schopnost jednotlivých organizací, monitorovat jejich úroveň a tempo zadlužování a sledovat jejich finanční stabilitu</w:t>
      </w:r>
      <w:r>
        <w:t>, což</w:t>
      </w:r>
      <w:r w:rsidRPr="00377B9D">
        <w:t xml:space="preserve"> umožní určit případné nestandar</w:t>
      </w:r>
      <w:r w:rsidR="00CF32BE">
        <w:t>d</w:t>
      </w:r>
      <w:r w:rsidRPr="00377B9D">
        <w:t>ní, či nežádoucí chování při na</w:t>
      </w:r>
      <w:r>
        <w:t>kládání s finančními prostředky.</w:t>
      </w:r>
    </w:p>
    <w:p w:rsidR="00E30460" w:rsidRDefault="00377B9D" w:rsidP="00E30460">
      <w:r w:rsidRPr="00E30460">
        <w:t xml:space="preserve">Dále Ministerstvo zdravotnictví stanoví a bude vyhodnocovat obecné porovnatelné ukazatele vykazované zdravotní péče poskytnuté </w:t>
      </w:r>
      <w:r w:rsidR="009F2C6E">
        <w:t>poskytovateli lůžkové péče</w:t>
      </w:r>
      <w:r w:rsidR="009F2C6E" w:rsidRPr="00315629">
        <w:t xml:space="preserve"> zřízený</w:t>
      </w:r>
      <w:r w:rsidR="009F2C6E">
        <w:t>mi</w:t>
      </w:r>
      <w:r w:rsidR="009F2C6E" w:rsidRPr="00315629">
        <w:t xml:space="preserve"> Ministerstvem zdravotnictví</w:t>
      </w:r>
      <w:r w:rsidRPr="00E30460">
        <w:t>. Toto opatření ve spojení s předchozím návrhem umožní dokonaleji vyhodnocovat hospodárnost nakládání s prostředky veřejného zdravotního pojištění.</w:t>
      </w:r>
      <w:r w:rsidR="00E30460" w:rsidRPr="00E30460">
        <w:t xml:space="preserve"> </w:t>
      </w:r>
    </w:p>
    <w:p w:rsidR="003C52FC" w:rsidRDefault="003C52FC" w:rsidP="003C52FC">
      <w:pPr>
        <w:pStyle w:val="Nadpis3"/>
      </w:pPr>
      <w:r>
        <w:t>Reporting smluv s dodavateli včetně zveřejňování jednotkových cen nakupovaných služeb</w:t>
      </w:r>
    </w:p>
    <w:p w:rsidR="003C52FC" w:rsidRDefault="003C52FC" w:rsidP="003C52FC">
      <w:r>
        <w:t xml:space="preserve">Za účelem zvýšení transparentnosti vynakládání veřejných prostředků </w:t>
      </w:r>
      <w:r w:rsidR="006241FF">
        <w:t>bude poskytovatelům lůžkové péče</w:t>
      </w:r>
      <w:r w:rsidR="006241FF" w:rsidRPr="00315629">
        <w:t xml:space="preserve"> zřízený</w:t>
      </w:r>
      <w:r w:rsidR="006241FF">
        <w:t>m</w:t>
      </w:r>
      <w:r w:rsidR="006241FF" w:rsidRPr="00315629">
        <w:t xml:space="preserve"> Ministerstvem zdravotnictví</w:t>
      </w:r>
      <w:r w:rsidR="006241FF">
        <w:t xml:space="preserve"> </w:t>
      </w:r>
      <w:r>
        <w:t xml:space="preserve">uložena povinnost zveřejňovat všechny smlouvy s dodavateli. Zároveň bude uloženo, aby </w:t>
      </w:r>
      <w:r w:rsidR="006241FF">
        <w:t>poskytovatelé lůžkové péče</w:t>
      </w:r>
      <w:r w:rsidR="006241FF" w:rsidRPr="00315629">
        <w:t xml:space="preserve"> zřízen</w:t>
      </w:r>
      <w:r w:rsidR="006241FF">
        <w:t>í</w:t>
      </w:r>
      <w:r w:rsidR="006241FF" w:rsidRPr="00315629">
        <w:t xml:space="preserve"> Ministerstvem zdravotnictví</w:t>
      </w:r>
      <w:r w:rsidR="006241FF">
        <w:t xml:space="preserve"> </w:t>
      </w:r>
      <w:r>
        <w:t>zveřejňoval</w:t>
      </w:r>
      <w:r w:rsidR="006241FF">
        <w:t>i</w:t>
      </w:r>
      <w:r>
        <w:t xml:space="preserve"> jednotkové ceny nakupovaných služeb. Toto opatření umožní porovnání schopnosti organizací nakupovat služby efektivně a zamezí vyvádění finančních prostředků.</w:t>
      </w:r>
    </w:p>
    <w:p w:rsidR="005E1810" w:rsidRDefault="005E1810" w:rsidP="003C52FC"/>
    <w:p w:rsidR="00E30460" w:rsidRDefault="00E30460" w:rsidP="00D83D30">
      <w:pPr>
        <w:pStyle w:val="Nadpis3"/>
      </w:pPr>
      <w:r>
        <w:lastRenderedPageBreak/>
        <w:t>Omezení outsourcingu</w:t>
      </w:r>
    </w:p>
    <w:p w:rsidR="00315629" w:rsidRDefault="0026385E" w:rsidP="00E30460">
      <w:r>
        <w:t>Outsourcing může být</w:t>
      </w:r>
      <w:r w:rsidR="00E30460">
        <w:t xml:space="preserve"> vhodným nástrojem ke snížení nákladů na zajištění činností, které nejsou hlavními činnostmi</w:t>
      </w:r>
      <w:r w:rsidR="00902710">
        <w:t xml:space="preserve"> </w:t>
      </w:r>
      <w:r w:rsidR="006E1FD6">
        <w:t>poskytovatelů zdravotních služeb</w:t>
      </w:r>
      <w:r w:rsidR="00E30460">
        <w:t>. Může však také sloužit jako zástěrka pro vyvádění finančních prostředků z nemocnic. Z tohoto důvodu bude Ministerstvo zdravotnictví velmi podrobně analyzovat rozsah outsourcingu ve svých přímo řízených organizacích a v případě, že budou při analýze zjištěny nesrovnalosti, bude následovat důkladná kontrola a sankce.</w:t>
      </w:r>
    </w:p>
    <w:p w:rsidR="003C52FC" w:rsidRDefault="003C52FC" w:rsidP="003C52FC">
      <w:pPr>
        <w:pStyle w:val="Nadpis3"/>
      </w:pPr>
      <w:r>
        <w:t>Centralizace nákupů</w:t>
      </w:r>
    </w:p>
    <w:p w:rsidR="00815AB1" w:rsidRDefault="00815AB1" w:rsidP="00815AB1">
      <w:r>
        <w:t xml:space="preserve">V minulosti již byly ze strany Ministerstva zdravotnictví </w:t>
      </w:r>
      <w:bookmarkStart w:id="0" w:name="_GoBack"/>
      <w:bookmarkEnd w:id="0"/>
      <w:r>
        <w:t>organizovány centrální nákupy komodit jako elektrická energie a plyn</w:t>
      </w:r>
      <w:r w:rsidRPr="00815AB1">
        <w:t>, které byly nakupovány na komoditní burze Kladno.</w:t>
      </w:r>
      <w:r>
        <w:t xml:space="preserve"> V současné době se připravuje centralizovaný nákup bezpečnostních služeb</w:t>
      </w:r>
      <w:r w:rsidRPr="00815AB1">
        <w:t>, osobních automobilů, kancelářských potřeb a kancelářského zařízení</w:t>
      </w:r>
      <w:r>
        <w:t xml:space="preserve">. Ministerstvo zdravotnictví bude v maximální míře provádět centralizované nákupy u komodit, u nichž je předpokládána finanční úspora při tomto způsobu nákupu. Centralizované nákupy se budou v budoucnu týkat i některého zdravotnického materiálu a léčivých </w:t>
      </w:r>
      <w:r w:rsidR="0041046C">
        <w:t>přípravků</w:t>
      </w:r>
      <w:r>
        <w:t xml:space="preserve">. </w:t>
      </w:r>
    </w:p>
    <w:p w:rsidR="003C52FC" w:rsidRPr="003C52FC" w:rsidRDefault="003C52FC" w:rsidP="003C52FC"/>
    <w:sectPr w:rsidR="003C52FC" w:rsidRPr="003C52FC" w:rsidSect="00F359E5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B3" w:rsidRDefault="000E09B3" w:rsidP="00E30460">
      <w:r>
        <w:separator/>
      </w:r>
    </w:p>
  </w:endnote>
  <w:endnote w:type="continuationSeparator" w:id="0">
    <w:p w:rsidR="000E09B3" w:rsidRDefault="000E09B3" w:rsidP="00E30460">
      <w:r>
        <w:continuationSeparator/>
      </w:r>
    </w:p>
  </w:endnote>
  <w:endnote w:type="continuationNotice" w:id="1">
    <w:p w:rsidR="000E09B3" w:rsidRDefault="000E09B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2867"/>
      <w:docPartObj>
        <w:docPartGallery w:val="Page Numbers (Bottom of Page)"/>
        <w:docPartUnique/>
      </w:docPartObj>
    </w:sdtPr>
    <w:sdtContent>
      <w:p w:rsidR="00FE4BB2" w:rsidRDefault="004A6EF8" w:rsidP="00E30460">
        <w:pPr>
          <w:pStyle w:val="Zpat"/>
        </w:pPr>
        <w:r>
          <w:fldChar w:fldCharType="begin"/>
        </w:r>
        <w:r w:rsidR="00FE4BB2">
          <w:instrText>PAGE   \* MERGEFORMAT</w:instrText>
        </w:r>
        <w:r>
          <w:fldChar w:fldCharType="separate"/>
        </w:r>
        <w:r w:rsidR="00AC5F14">
          <w:rPr>
            <w:noProof/>
          </w:rPr>
          <w:t>8</w:t>
        </w:r>
        <w:r>
          <w:fldChar w:fldCharType="end"/>
        </w:r>
      </w:p>
    </w:sdtContent>
  </w:sdt>
  <w:p w:rsidR="00FE4BB2" w:rsidRDefault="00FE4BB2" w:rsidP="00E304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B3" w:rsidRDefault="000E09B3" w:rsidP="00E30460">
      <w:r>
        <w:separator/>
      </w:r>
    </w:p>
  </w:footnote>
  <w:footnote w:type="continuationSeparator" w:id="0">
    <w:p w:rsidR="000E09B3" w:rsidRDefault="000E09B3" w:rsidP="00E30460">
      <w:r>
        <w:continuationSeparator/>
      </w:r>
    </w:p>
  </w:footnote>
  <w:footnote w:type="continuationNotice" w:id="1">
    <w:p w:rsidR="000E09B3" w:rsidRDefault="000E09B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F8" w:rsidRDefault="004049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77"/>
    <w:multiLevelType w:val="hybridMultilevel"/>
    <w:tmpl w:val="1C9E44C6"/>
    <w:lvl w:ilvl="0" w:tplc="A30458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DF7"/>
    <w:multiLevelType w:val="multilevel"/>
    <w:tmpl w:val="F834A2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192137C5"/>
    <w:multiLevelType w:val="hybridMultilevel"/>
    <w:tmpl w:val="8F0E892C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3840E7F"/>
    <w:multiLevelType w:val="multilevel"/>
    <w:tmpl w:val="A5AA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B6BC8"/>
    <w:multiLevelType w:val="hybridMultilevel"/>
    <w:tmpl w:val="B6BCE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0358D7"/>
    <w:multiLevelType w:val="hybridMultilevel"/>
    <w:tmpl w:val="F35490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D356D3"/>
    <w:multiLevelType w:val="multilevel"/>
    <w:tmpl w:val="DA8226F6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adpis3"/>
      <w:lvlText w:val="%2)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46D0550"/>
    <w:multiLevelType w:val="hybridMultilevel"/>
    <w:tmpl w:val="F09C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54F"/>
    <w:multiLevelType w:val="multilevel"/>
    <w:tmpl w:val="CE0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10D12"/>
    <w:multiLevelType w:val="multilevel"/>
    <w:tmpl w:val="5B80BB7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Nadpis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34B12"/>
    <w:rsid w:val="00026B52"/>
    <w:rsid w:val="00031BE8"/>
    <w:rsid w:val="00036E25"/>
    <w:rsid w:val="000455AE"/>
    <w:rsid w:val="00047514"/>
    <w:rsid w:val="00072B29"/>
    <w:rsid w:val="00092250"/>
    <w:rsid w:val="000B2284"/>
    <w:rsid w:val="000E09B3"/>
    <w:rsid w:val="000E4721"/>
    <w:rsid w:val="00102563"/>
    <w:rsid w:val="0011089F"/>
    <w:rsid w:val="001200D6"/>
    <w:rsid w:val="0013182F"/>
    <w:rsid w:val="001547F2"/>
    <w:rsid w:val="00160C61"/>
    <w:rsid w:val="00165EA2"/>
    <w:rsid w:val="00184348"/>
    <w:rsid w:val="00194F8D"/>
    <w:rsid w:val="001A4B1D"/>
    <w:rsid w:val="001D22B6"/>
    <w:rsid w:val="001D4785"/>
    <w:rsid w:val="001E6AF1"/>
    <w:rsid w:val="00205447"/>
    <w:rsid w:val="00227DD9"/>
    <w:rsid w:val="00237B83"/>
    <w:rsid w:val="002469AC"/>
    <w:rsid w:val="0025251C"/>
    <w:rsid w:val="0026385E"/>
    <w:rsid w:val="00263BD3"/>
    <w:rsid w:val="00277C43"/>
    <w:rsid w:val="00284DA6"/>
    <w:rsid w:val="002A3598"/>
    <w:rsid w:val="002C6E0F"/>
    <w:rsid w:val="002D5367"/>
    <w:rsid w:val="003030D7"/>
    <w:rsid w:val="00307333"/>
    <w:rsid w:val="00315629"/>
    <w:rsid w:val="00376B69"/>
    <w:rsid w:val="00377B9D"/>
    <w:rsid w:val="003A4A16"/>
    <w:rsid w:val="003A6E97"/>
    <w:rsid w:val="003C52FC"/>
    <w:rsid w:val="003D182A"/>
    <w:rsid w:val="003D4027"/>
    <w:rsid w:val="003F4065"/>
    <w:rsid w:val="004049F8"/>
    <w:rsid w:val="00406E23"/>
    <w:rsid w:val="00407D6F"/>
    <w:rsid w:val="0041046C"/>
    <w:rsid w:val="00430D57"/>
    <w:rsid w:val="004572D7"/>
    <w:rsid w:val="004A67A6"/>
    <w:rsid w:val="004A6EF8"/>
    <w:rsid w:val="004D19E6"/>
    <w:rsid w:val="004D3512"/>
    <w:rsid w:val="004E22FD"/>
    <w:rsid w:val="005221E4"/>
    <w:rsid w:val="00535E3B"/>
    <w:rsid w:val="00557E77"/>
    <w:rsid w:val="00571E4D"/>
    <w:rsid w:val="005A5DC6"/>
    <w:rsid w:val="005B02E6"/>
    <w:rsid w:val="005B7646"/>
    <w:rsid w:val="005E1810"/>
    <w:rsid w:val="005E5797"/>
    <w:rsid w:val="005E5BF5"/>
    <w:rsid w:val="005F5068"/>
    <w:rsid w:val="005F7234"/>
    <w:rsid w:val="00620638"/>
    <w:rsid w:val="006241FF"/>
    <w:rsid w:val="00636E27"/>
    <w:rsid w:val="006419CF"/>
    <w:rsid w:val="00661C34"/>
    <w:rsid w:val="00680546"/>
    <w:rsid w:val="006967D8"/>
    <w:rsid w:val="006B5D2A"/>
    <w:rsid w:val="006B5FDA"/>
    <w:rsid w:val="006D0A9C"/>
    <w:rsid w:val="006D5B7A"/>
    <w:rsid w:val="006E1FD6"/>
    <w:rsid w:val="006E35FC"/>
    <w:rsid w:val="006F1B37"/>
    <w:rsid w:val="006F2004"/>
    <w:rsid w:val="00720B79"/>
    <w:rsid w:val="00733E3A"/>
    <w:rsid w:val="00735AC2"/>
    <w:rsid w:val="00743CCE"/>
    <w:rsid w:val="00745D79"/>
    <w:rsid w:val="007616B8"/>
    <w:rsid w:val="00765F80"/>
    <w:rsid w:val="0077173A"/>
    <w:rsid w:val="00773276"/>
    <w:rsid w:val="007852CB"/>
    <w:rsid w:val="007957E1"/>
    <w:rsid w:val="007A4DA3"/>
    <w:rsid w:val="007B29B9"/>
    <w:rsid w:val="007B5FA0"/>
    <w:rsid w:val="007C35A1"/>
    <w:rsid w:val="007D480F"/>
    <w:rsid w:val="007D6694"/>
    <w:rsid w:val="007E5320"/>
    <w:rsid w:val="007F25A6"/>
    <w:rsid w:val="007F6407"/>
    <w:rsid w:val="008125D5"/>
    <w:rsid w:val="00815AB1"/>
    <w:rsid w:val="00854FA3"/>
    <w:rsid w:val="00855E04"/>
    <w:rsid w:val="00873FF1"/>
    <w:rsid w:val="008829D0"/>
    <w:rsid w:val="008A0F1D"/>
    <w:rsid w:val="008C06B5"/>
    <w:rsid w:val="008D793E"/>
    <w:rsid w:val="008F3DFF"/>
    <w:rsid w:val="00902710"/>
    <w:rsid w:val="009048B1"/>
    <w:rsid w:val="00930224"/>
    <w:rsid w:val="0093625B"/>
    <w:rsid w:val="00955584"/>
    <w:rsid w:val="00961B98"/>
    <w:rsid w:val="00964820"/>
    <w:rsid w:val="0096738C"/>
    <w:rsid w:val="00975AC0"/>
    <w:rsid w:val="00976761"/>
    <w:rsid w:val="00997C46"/>
    <w:rsid w:val="009A32C9"/>
    <w:rsid w:val="009B76C0"/>
    <w:rsid w:val="009C5A48"/>
    <w:rsid w:val="009F2C6E"/>
    <w:rsid w:val="00A17E1D"/>
    <w:rsid w:val="00A411E4"/>
    <w:rsid w:val="00A53B17"/>
    <w:rsid w:val="00A632BA"/>
    <w:rsid w:val="00A76824"/>
    <w:rsid w:val="00A82E9D"/>
    <w:rsid w:val="00A84AC4"/>
    <w:rsid w:val="00AC5F14"/>
    <w:rsid w:val="00AC691A"/>
    <w:rsid w:val="00AE494F"/>
    <w:rsid w:val="00AF5827"/>
    <w:rsid w:val="00B03DAE"/>
    <w:rsid w:val="00B13FBE"/>
    <w:rsid w:val="00B24517"/>
    <w:rsid w:val="00B31C22"/>
    <w:rsid w:val="00B31DFC"/>
    <w:rsid w:val="00B3430D"/>
    <w:rsid w:val="00B56400"/>
    <w:rsid w:val="00B70E6A"/>
    <w:rsid w:val="00B9201B"/>
    <w:rsid w:val="00BA05EF"/>
    <w:rsid w:val="00BC5E1D"/>
    <w:rsid w:val="00BF467C"/>
    <w:rsid w:val="00BF7C23"/>
    <w:rsid w:val="00C022AF"/>
    <w:rsid w:val="00C151B3"/>
    <w:rsid w:val="00C26227"/>
    <w:rsid w:val="00C54217"/>
    <w:rsid w:val="00C920C4"/>
    <w:rsid w:val="00C92DCB"/>
    <w:rsid w:val="00CA340C"/>
    <w:rsid w:val="00CD4060"/>
    <w:rsid w:val="00CD5094"/>
    <w:rsid w:val="00CF32BE"/>
    <w:rsid w:val="00D00C5E"/>
    <w:rsid w:val="00D17204"/>
    <w:rsid w:val="00D27019"/>
    <w:rsid w:val="00D34B12"/>
    <w:rsid w:val="00D57F1E"/>
    <w:rsid w:val="00D650B2"/>
    <w:rsid w:val="00D66111"/>
    <w:rsid w:val="00D6787C"/>
    <w:rsid w:val="00D83D30"/>
    <w:rsid w:val="00D91AF7"/>
    <w:rsid w:val="00DC51C1"/>
    <w:rsid w:val="00DC55FC"/>
    <w:rsid w:val="00DD6B0A"/>
    <w:rsid w:val="00E10536"/>
    <w:rsid w:val="00E13C6C"/>
    <w:rsid w:val="00E25B79"/>
    <w:rsid w:val="00E30460"/>
    <w:rsid w:val="00E61586"/>
    <w:rsid w:val="00E6536B"/>
    <w:rsid w:val="00E660C0"/>
    <w:rsid w:val="00E71C9E"/>
    <w:rsid w:val="00E76EC3"/>
    <w:rsid w:val="00E813F0"/>
    <w:rsid w:val="00E81D5F"/>
    <w:rsid w:val="00EB3606"/>
    <w:rsid w:val="00EC0825"/>
    <w:rsid w:val="00EC7FDB"/>
    <w:rsid w:val="00ED218F"/>
    <w:rsid w:val="00EF64A6"/>
    <w:rsid w:val="00F04648"/>
    <w:rsid w:val="00F319CC"/>
    <w:rsid w:val="00F359E5"/>
    <w:rsid w:val="00F43925"/>
    <w:rsid w:val="00F44C0D"/>
    <w:rsid w:val="00F762E5"/>
    <w:rsid w:val="00F80D9D"/>
    <w:rsid w:val="00F82FF5"/>
    <w:rsid w:val="00F9249F"/>
    <w:rsid w:val="00FA3E80"/>
    <w:rsid w:val="00FA6026"/>
    <w:rsid w:val="00FC6C5F"/>
    <w:rsid w:val="00FE0759"/>
    <w:rsid w:val="00FE0D7F"/>
    <w:rsid w:val="00FE4BB2"/>
    <w:rsid w:val="00FE61E2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460"/>
    <w:pPr>
      <w:jc w:val="both"/>
    </w:pPr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54217"/>
    <w:pPr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Vchoz"/>
    <w:next w:val="Normln"/>
    <w:link w:val="Nadpis2Char"/>
    <w:rsid w:val="00E61586"/>
    <w:pPr>
      <w:keepNext/>
      <w:numPr>
        <w:ilvl w:val="1"/>
        <w:numId w:val="5"/>
      </w:numPr>
      <w:spacing w:before="240" w:after="60" w:line="300" w:lineRule="exac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54217"/>
    <w:pPr>
      <w:numPr>
        <w:ilvl w:val="1"/>
        <w:numId w:val="1"/>
      </w:numPr>
      <w:spacing w:before="3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B12"/>
    <w:pPr>
      <w:ind w:left="720"/>
      <w:contextualSpacing/>
    </w:pPr>
  </w:style>
  <w:style w:type="paragraph" w:customStyle="1" w:styleId="Vchoz">
    <w:name w:val="Výchozí"/>
    <w:rsid w:val="00AE494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9E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61586"/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B2"/>
  </w:style>
  <w:style w:type="paragraph" w:styleId="Zpat">
    <w:name w:val="footer"/>
    <w:basedOn w:val="Normln"/>
    <w:link w:val="Zpat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B2"/>
  </w:style>
  <w:style w:type="character" w:styleId="Odkaznakoment">
    <w:name w:val="annotation reference"/>
    <w:basedOn w:val="Standardnpsmoodstavce"/>
    <w:uiPriority w:val="99"/>
    <w:semiHidden/>
    <w:unhideWhenUsed/>
    <w:rsid w:val="00131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1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1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82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54217"/>
    <w:rPr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54217"/>
    <w:rPr>
      <w:b/>
      <w:sz w:val="24"/>
      <w:szCs w:val="24"/>
    </w:rPr>
  </w:style>
  <w:style w:type="paragraph" w:styleId="Revize">
    <w:name w:val="Revision"/>
    <w:hidden/>
    <w:uiPriority w:val="99"/>
    <w:semiHidden/>
    <w:rsid w:val="004049F8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460"/>
    <w:pPr>
      <w:jc w:val="both"/>
    </w:pPr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54217"/>
    <w:pPr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Vchoz"/>
    <w:next w:val="Normln"/>
    <w:link w:val="Nadpis2Char"/>
    <w:rsid w:val="00E61586"/>
    <w:pPr>
      <w:keepNext/>
      <w:numPr>
        <w:ilvl w:val="1"/>
        <w:numId w:val="5"/>
      </w:numPr>
      <w:spacing w:before="240" w:after="60" w:line="300" w:lineRule="exact"/>
      <w:jc w:val="both"/>
      <w:outlineLvl w:val="1"/>
    </w:pPr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54217"/>
    <w:pPr>
      <w:numPr>
        <w:ilvl w:val="1"/>
        <w:numId w:val="1"/>
      </w:numPr>
      <w:spacing w:before="3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B12"/>
    <w:pPr>
      <w:ind w:left="720"/>
      <w:contextualSpacing/>
    </w:pPr>
  </w:style>
  <w:style w:type="paragraph" w:customStyle="1" w:styleId="Vchoz">
    <w:name w:val="Výchozí"/>
    <w:rsid w:val="00AE494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9E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61586"/>
    <w:rPr>
      <w:rFonts w:ascii="Arial" w:eastAsia="Times New Roman" w:hAnsi="Arial" w:cs="Arial"/>
      <w:b/>
      <w:bCs/>
      <w:iCs/>
      <w:color w:val="00000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B2"/>
  </w:style>
  <w:style w:type="paragraph" w:styleId="Zpat">
    <w:name w:val="footer"/>
    <w:basedOn w:val="Normln"/>
    <w:link w:val="ZpatChar"/>
    <w:uiPriority w:val="99"/>
    <w:unhideWhenUsed/>
    <w:rsid w:val="00FE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B2"/>
  </w:style>
  <w:style w:type="character" w:styleId="Odkaznakoment">
    <w:name w:val="annotation reference"/>
    <w:basedOn w:val="Standardnpsmoodstavce"/>
    <w:uiPriority w:val="99"/>
    <w:semiHidden/>
    <w:unhideWhenUsed/>
    <w:rsid w:val="00131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1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1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82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54217"/>
    <w:rPr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54217"/>
    <w:rPr>
      <w:b/>
      <w:sz w:val="24"/>
      <w:szCs w:val="24"/>
    </w:rPr>
  </w:style>
  <w:style w:type="paragraph" w:styleId="Revize">
    <w:name w:val="Revision"/>
    <w:hidden/>
    <w:uiPriority w:val="99"/>
    <w:semiHidden/>
    <w:rsid w:val="004049F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57BF-5018-4127-BED6-0CE9F41B8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9BB8A-094B-437E-9460-7EB3D775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2836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Martina</cp:lastModifiedBy>
  <cp:revision>2</cp:revision>
  <cp:lastPrinted>2014-04-01T12:49:00Z</cp:lastPrinted>
  <dcterms:created xsi:type="dcterms:W3CDTF">2014-04-11T12:08:00Z</dcterms:created>
  <dcterms:modified xsi:type="dcterms:W3CDTF">2014-04-11T12:08:00Z</dcterms:modified>
</cp:coreProperties>
</file>