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89" w:rsidRPr="002C1889" w:rsidRDefault="002C1889" w:rsidP="008927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C1889">
        <w:rPr>
          <w:rFonts w:ascii="Arial" w:hAnsi="Arial" w:cs="Arial"/>
          <w:b/>
          <w:sz w:val="24"/>
          <w:szCs w:val="24"/>
        </w:rPr>
        <w:t>Podklad pro jednání PT  RHSD ČR</w:t>
      </w:r>
    </w:p>
    <w:p w:rsidR="002C1889" w:rsidRPr="002C1889" w:rsidRDefault="002C1889" w:rsidP="0089274C">
      <w:pPr>
        <w:jc w:val="center"/>
        <w:rPr>
          <w:rFonts w:ascii="Arial" w:hAnsi="Arial" w:cs="Arial"/>
        </w:rPr>
      </w:pPr>
      <w:r w:rsidRPr="002C1889">
        <w:rPr>
          <w:rFonts w:ascii="Arial" w:hAnsi="Arial" w:cs="Arial"/>
        </w:rPr>
        <w:t>(k bodu 6 programu jednání)</w:t>
      </w:r>
    </w:p>
    <w:p w:rsidR="002C1889" w:rsidRPr="002C1889" w:rsidRDefault="002C1889" w:rsidP="0089274C">
      <w:pPr>
        <w:jc w:val="center"/>
        <w:rPr>
          <w:rFonts w:ascii="Arial" w:hAnsi="Arial" w:cs="Arial"/>
          <w:b/>
        </w:rPr>
      </w:pPr>
    </w:p>
    <w:p w:rsidR="0089274C" w:rsidRPr="0089274C" w:rsidRDefault="0089274C" w:rsidP="0089274C">
      <w:pPr>
        <w:jc w:val="center"/>
        <w:rPr>
          <w:b/>
        </w:rPr>
      </w:pPr>
      <w:r w:rsidRPr="0089274C">
        <w:rPr>
          <w:b/>
        </w:rPr>
        <w:t>Aktuální informace o situaci v resortu</w:t>
      </w:r>
    </w:p>
    <w:p w:rsidR="006A67BE" w:rsidRDefault="0089274C">
      <w:r>
        <w:t>Přehled ekonomické situace nemocnic (právnických osob) k 31.</w:t>
      </w:r>
      <w:r w:rsidR="00D50377">
        <w:t xml:space="preserve"> </w:t>
      </w:r>
      <w:r>
        <w:t>12.</w:t>
      </w:r>
      <w:r w:rsidR="00D50377">
        <w:t xml:space="preserve"> </w:t>
      </w:r>
      <w:r>
        <w:t>2013 dle zřizovatele:</w:t>
      </w:r>
    </w:p>
    <w:p w:rsidR="0089274C" w:rsidRPr="00E350E0" w:rsidRDefault="0089274C">
      <w:pPr>
        <w:rPr>
          <w:sz w:val="16"/>
          <w:szCs w:val="16"/>
        </w:rPr>
      </w:pPr>
      <w:r w:rsidRPr="00E350E0">
        <w:rPr>
          <w:sz w:val="16"/>
          <w:szCs w:val="16"/>
        </w:rPr>
        <w:t>(Zdroj: ÚZIS – předběžné výsledky; údaje v mil. Kč)</w:t>
      </w:r>
    </w:p>
    <w:tbl>
      <w:tblPr>
        <w:tblW w:w="10792" w:type="dxa"/>
        <w:tblInd w:w="-87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06"/>
        <w:gridCol w:w="1018"/>
        <w:gridCol w:w="1059"/>
        <w:gridCol w:w="1031"/>
        <w:gridCol w:w="1365"/>
        <w:gridCol w:w="838"/>
        <w:gridCol w:w="1047"/>
        <w:gridCol w:w="781"/>
        <w:gridCol w:w="1047"/>
      </w:tblGrid>
      <w:tr w:rsidR="000B197D" w:rsidRPr="000B197D" w:rsidTr="000B197D">
        <w:trPr>
          <w:trHeight w:val="530"/>
        </w:trPr>
        <w:tc>
          <w:tcPr>
            <w:tcW w:w="260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Nemocnice podle zřizovatele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0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</w:t>
            </w:r>
          </w:p>
        </w:tc>
        <w:tc>
          <w:tcPr>
            <w:tcW w:w="10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Hospodářský výsledek 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Pohledávky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z obchodního styku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Závazky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z obchodního styku</w:t>
            </w:r>
          </w:p>
        </w:tc>
      </w:tr>
      <w:tr w:rsidR="000B197D" w:rsidRPr="000B197D" w:rsidTr="000B197D">
        <w:trPr>
          <w:trHeight w:val="530"/>
        </w:trPr>
        <w:tc>
          <w:tcPr>
            <w:tcW w:w="260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1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 splatnosti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 splatnosti</w:t>
            </w:r>
          </w:p>
        </w:tc>
      </w:tr>
      <w:tr w:rsidR="000B197D" w:rsidRPr="000B197D" w:rsidTr="000B197D">
        <w:trPr>
          <w:trHeight w:val="372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MZ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61 590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60 707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-882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6829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9 241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2 329</w:t>
            </w:r>
          </w:p>
        </w:tc>
      </w:tr>
      <w:tr w:rsidR="000B197D" w:rsidRPr="000B197D" w:rsidTr="000B197D">
        <w:trPr>
          <w:trHeight w:val="318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Kraj (příspěvkové organizace)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12 313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12 238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976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1 359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549</w:t>
            </w:r>
          </w:p>
        </w:tc>
      </w:tr>
      <w:tr w:rsidR="000B197D" w:rsidRPr="000B197D" w:rsidTr="000B197D">
        <w:trPr>
          <w:trHeight w:val="425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Obec, město (příspěvkové organizace)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5 609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5 528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514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404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106</w:t>
            </w:r>
          </w:p>
        </w:tc>
      </w:tr>
      <w:tr w:rsidR="000B197D" w:rsidRPr="000B197D" w:rsidTr="000B197D">
        <w:trPr>
          <w:trHeight w:val="318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Jiná právnická osoba, církev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42 019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41 522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-497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473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5 600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2 021</w:t>
            </w:r>
          </w:p>
        </w:tc>
      </w:tr>
      <w:tr w:rsidR="000B197D" w:rsidRPr="000B197D" w:rsidTr="000B197D">
        <w:trPr>
          <w:trHeight w:val="318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z toho krajské obchodní spol.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26 569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25 822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-747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2293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4 018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1 469</w:t>
            </w:r>
          </w:p>
        </w:tc>
      </w:tr>
      <w:tr w:rsidR="000B197D" w:rsidRPr="000B197D" w:rsidTr="000B197D">
        <w:trPr>
          <w:trHeight w:val="318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městské obchod. </w:t>
            </w:r>
            <w:proofErr w:type="gramStart"/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spol</w:t>
            </w:r>
            <w:proofErr w:type="gramEnd"/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1 206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1 163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-43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49</w:t>
            </w:r>
          </w:p>
        </w:tc>
      </w:tr>
      <w:tr w:rsidR="000B197D" w:rsidRPr="000B197D" w:rsidTr="000B197D">
        <w:trPr>
          <w:trHeight w:val="318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Ostatní centrální orgány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3 195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3 196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315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198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166</w:t>
            </w:r>
          </w:p>
        </w:tc>
      </w:tr>
      <w:tr w:rsidR="000B197D" w:rsidRPr="000B197D" w:rsidTr="000B197D">
        <w:trPr>
          <w:trHeight w:val="318"/>
        </w:trPr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 e l k e m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124 725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123 191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-1 534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12433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1 533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16 802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5 171</w:t>
            </w:r>
          </w:p>
        </w:tc>
      </w:tr>
    </w:tbl>
    <w:p w:rsidR="00E37736" w:rsidRDefault="00E37736" w:rsidP="00E37736"/>
    <w:p w:rsidR="00453B0C" w:rsidRDefault="00E37736" w:rsidP="00453B0C">
      <w:pPr>
        <w:jc w:val="both"/>
      </w:pPr>
      <w:r>
        <w:t xml:space="preserve">Rok 2013 byl pro nemocnice všeobecně nepříznivý, zejména v důsledku restriktivní úhradové vyhlášky na výnosové straně a z důvodu zvýšení sazeb DPH na straně nákladové. </w:t>
      </w:r>
      <w:r w:rsidR="00453B0C">
        <w:t xml:space="preserve"> Původní obavy, že dojde k výrazným omezením kvality poskytované péče, se ne</w:t>
      </w:r>
      <w:r w:rsidR="00D50377">
        <w:t>naplnily</w:t>
      </w:r>
      <w:r w:rsidR="00453B0C">
        <w:t xml:space="preserve"> i </w:t>
      </w:r>
      <w:r w:rsidR="00D50377">
        <w:t>díky</w:t>
      </w:r>
      <w:r w:rsidR="00453B0C">
        <w:t xml:space="preserve"> vynucené</w:t>
      </w:r>
      <w:r w:rsidR="00D50377">
        <w:t>mu</w:t>
      </w:r>
      <w:r w:rsidR="00453B0C">
        <w:t xml:space="preserve"> omezení prostředků investovaných na pořízení přístrojového vybavení a do oprav zdravotnických prostředků.</w:t>
      </w:r>
    </w:p>
    <w:p w:rsidR="00E37736" w:rsidRDefault="00E37736" w:rsidP="00E37736">
      <w:r>
        <w:t>Z těchto důvodů v roce 2013 výrazně vrostl objem závazků po lhůtě splatnosti.</w:t>
      </w:r>
    </w:p>
    <w:tbl>
      <w:tblPr>
        <w:tblW w:w="10240" w:type="dxa"/>
        <w:tblInd w:w="-724" w:type="dxa"/>
        <w:tblCellMar>
          <w:left w:w="70" w:type="dxa"/>
          <w:right w:w="70" w:type="dxa"/>
        </w:tblCellMar>
        <w:tblLook w:val="04A0"/>
      </w:tblPr>
      <w:tblGrid>
        <w:gridCol w:w="3118"/>
        <w:gridCol w:w="1022"/>
        <w:gridCol w:w="1021"/>
        <w:gridCol w:w="1021"/>
        <w:gridCol w:w="837"/>
        <w:gridCol w:w="157"/>
        <w:gridCol w:w="1415"/>
        <w:gridCol w:w="1649"/>
      </w:tblGrid>
      <w:tr w:rsidR="000B197D" w:rsidRPr="000B197D" w:rsidTr="000B197D">
        <w:trPr>
          <w:trHeight w:val="292"/>
        </w:trPr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12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color w:val="000000"/>
                <w:lang w:eastAsia="cs-CZ"/>
              </w:rPr>
              <w:t>Závazky po lhůtě splatnosti (v mil. Kč)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Nemocnice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 xml:space="preserve"> podle zřizovatele</w:t>
            </w:r>
          </w:p>
        </w:tc>
        <w:tc>
          <w:tcPr>
            <w:tcW w:w="102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r.</w:t>
            </w:r>
            <w:r w:rsidR="00D50377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 xml:space="preserve">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 xml:space="preserve">2010 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r.</w:t>
            </w:r>
            <w:r w:rsidR="00D50377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 xml:space="preserve">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2011</w:t>
            </w:r>
          </w:p>
        </w:tc>
        <w:tc>
          <w:tcPr>
            <w:tcW w:w="10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r.</w:t>
            </w:r>
            <w:r w:rsidR="00D50377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 xml:space="preserve">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r.</w:t>
            </w:r>
            <w:r w:rsidR="00D5037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2013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index 2013/2012</w:t>
            </w:r>
          </w:p>
        </w:tc>
        <w:tc>
          <w:tcPr>
            <w:tcW w:w="1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index 2013/2010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 xml:space="preserve">MZ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796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1 278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2 329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182%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418%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kraj - PO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537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549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102%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79%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kraj - obchodní společnosti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1 603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1 328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1 533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1 469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96%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92%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kraj celkem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2 301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2 021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2 070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2 018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97%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88%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město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109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97%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109%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město - obchodní společnosti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49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200%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254%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město celkem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155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116%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133%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>JPO, církev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550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503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92%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114%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37741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t xml:space="preserve">vojenské nemocnice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166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1475%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267%</w:t>
            </w:r>
          </w:p>
        </w:tc>
      </w:tr>
      <w:tr w:rsidR="000B197D" w:rsidRPr="000B197D" w:rsidTr="000B197D">
        <w:trPr>
          <w:trHeight w:val="292"/>
        </w:trPr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 w:themeColor="text1" w:themeShade="BF"/>
                <w:lang w:eastAsia="cs-CZ"/>
              </w:rPr>
              <w:lastRenderedPageBreak/>
              <w:t>celkem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3 478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3 673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4 043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5 171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128%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149%</w:t>
            </w:r>
          </w:p>
        </w:tc>
      </w:tr>
    </w:tbl>
    <w:p w:rsidR="0089274C" w:rsidRDefault="0089274C"/>
    <w:p w:rsidR="00B53E06" w:rsidRDefault="00B53E06"/>
    <w:p w:rsidR="00B53E06" w:rsidRDefault="00B53E06"/>
    <w:p w:rsidR="00E350E0" w:rsidRDefault="0089274C">
      <w:r>
        <w:t>Přehled ekonomické situace k 31.</w:t>
      </w:r>
      <w:r w:rsidR="00D50377">
        <w:t xml:space="preserve"> </w:t>
      </w:r>
      <w:r>
        <w:t>12.</w:t>
      </w:r>
      <w:r w:rsidR="00D50377">
        <w:t xml:space="preserve"> </w:t>
      </w:r>
      <w:r>
        <w:t>2013 podle druhu poskytovatele zdravotnických služeb:</w:t>
      </w:r>
      <w:r w:rsidR="00E350E0" w:rsidRPr="00E350E0">
        <w:t xml:space="preserve"> </w:t>
      </w:r>
    </w:p>
    <w:p w:rsidR="0089274C" w:rsidRPr="00E350E0" w:rsidRDefault="00E350E0">
      <w:pPr>
        <w:rPr>
          <w:sz w:val="16"/>
          <w:szCs w:val="16"/>
        </w:rPr>
      </w:pPr>
      <w:r w:rsidRPr="00E350E0">
        <w:rPr>
          <w:sz w:val="16"/>
          <w:szCs w:val="16"/>
        </w:rPr>
        <w:t>(Zdroj: ÚZIS – předběžné výsledky; údaje v mil. Kč)</w:t>
      </w:r>
    </w:p>
    <w:p w:rsidR="0089274C" w:rsidRDefault="0089274C" w:rsidP="0089274C"/>
    <w:tbl>
      <w:tblPr>
        <w:tblpPr w:leftFromText="141" w:rightFromText="141" w:vertAnchor="text" w:horzAnchor="margin" w:tblpXSpec="center" w:tblpY="-395"/>
        <w:tblW w:w="10857" w:type="dxa"/>
        <w:tblCellMar>
          <w:left w:w="70" w:type="dxa"/>
          <w:right w:w="70" w:type="dxa"/>
        </w:tblCellMar>
        <w:tblLook w:val="04A0"/>
      </w:tblPr>
      <w:tblGrid>
        <w:gridCol w:w="2213"/>
        <w:gridCol w:w="831"/>
        <w:gridCol w:w="1035"/>
        <w:gridCol w:w="939"/>
        <w:gridCol w:w="1549"/>
        <w:gridCol w:w="928"/>
        <w:gridCol w:w="1217"/>
        <w:gridCol w:w="928"/>
        <w:gridCol w:w="1217"/>
      </w:tblGrid>
      <w:tr w:rsidR="000B197D" w:rsidRPr="000B197D" w:rsidTr="000B197D">
        <w:trPr>
          <w:trHeight w:val="543"/>
        </w:trPr>
        <w:tc>
          <w:tcPr>
            <w:tcW w:w="22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Poskytovatel zdravotních služeb - lůžková péče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0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Náklady</w:t>
            </w:r>
          </w:p>
        </w:tc>
        <w:tc>
          <w:tcPr>
            <w:tcW w:w="9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Výnosy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Hospodářský výsledek 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Pohledávky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z obchodního styku</w:t>
            </w:r>
          </w:p>
        </w:tc>
        <w:tc>
          <w:tcPr>
            <w:tcW w:w="214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Závazky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z obchodního styku</w:t>
            </w:r>
          </w:p>
        </w:tc>
      </w:tr>
      <w:tr w:rsidR="000B197D" w:rsidRPr="000B197D" w:rsidTr="000B197D">
        <w:trPr>
          <w:trHeight w:val="849"/>
        </w:trPr>
        <w:tc>
          <w:tcPr>
            <w:tcW w:w="22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0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3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 splatnosti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 splatnosti</w:t>
            </w:r>
          </w:p>
        </w:tc>
      </w:tr>
      <w:tr w:rsidR="000B197D" w:rsidRPr="000B197D" w:rsidTr="000B197D">
        <w:trPr>
          <w:trHeight w:val="418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Nemocnice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124 725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123 191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-1 534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12433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1 533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16 802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5 171</w:t>
            </w:r>
          </w:p>
        </w:tc>
      </w:tr>
      <w:tr w:rsidR="000B197D" w:rsidRPr="000B197D" w:rsidTr="000B197D">
        <w:trPr>
          <w:trHeight w:val="418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Léčebny pro dlouhodobě nemocné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1 034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1 082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117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</w:t>
            </w:r>
          </w:p>
        </w:tc>
      </w:tr>
      <w:tr w:rsidR="000B197D" w:rsidRPr="000B197D" w:rsidTr="000B197D">
        <w:trPr>
          <w:trHeight w:val="418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Odborné léčebné ústavy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6 445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6 531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649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399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</w:t>
            </w:r>
          </w:p>
        </w:tc>
      </w:tr>
      <w:tr w:rsidR="000B197D" w:rsidRPr="000B197D" w:rsidTr="000B197D">
        <w:trPr>
          <w:trHeight w:val="418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Hospic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</w:p>
        </w:tc>
      </w:tr>
      <w:tr w:rsidR="000B197D" w:rsidRPr="000B197D" w:rsidTr="000B197D">
        <w:trPr>
          <w:trHeight w:val="418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lůžková zařízení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381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</w:t>
            </w:r>
          </w:p>
        </w:tc>
      </w:tr>
      <w:tr w:rsidR="000B197D" w:rsidRPr="000B197D" w:rsidTr="000B197D">
        <w:trPr>
          <w:trHeight w:val="418"/>
        </w:trPr>
        <w:tc>
          <w:tcPr>
            <w:tcW w:w="2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C e l k e m 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237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132 826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131 453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-1 373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13234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1 721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17 287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B197D" w:rsidRPr="000B197D" w:rsidRDefault="000B197D" w:rsidP="000B19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0B197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5 213</w:t>
            </w:r>
          </w:p>
        </w:tc>
      </w:tr>
    </w:tbl>
    <w:p w:rsidR="0089274C" w:rsidRDefault="0089274C"/>
    <w:p w:rsidR="0089274C" w:rsidRDefault="0037741A">
      <w:r>
        <w:t>Nejvýrazněji se důsledky roku 2013 projevil</w:t>
      </w:r>
      <w:r w:rsidR="00D50377">
        <w:t>y</w:t>
      </w:r>
      <w:r>
        <w:t xml:space="preserve"> u nemocnic. Pro rok 2014 je v důsledku úhradové vyhlášky očekáván průměrný relativní nárůst úhrad oproti roku 2012 ve výši 7 %.</w:t>
      </w:r>
      <w:r w:rsidR="00E350E0">
        <w:t xml:space="preserve"> </w:t>
      </w:r>
    </w:p>
    <w:p w:rsidR="00E350E0" w:rsidRDefault="00E350E0">
      <w:r>
        <w:t>Očekávaný relativní nárůst oproti roku 2012 u nemocnic dle zřizovatelů:</w:t>
      </w:r>
    </w:p>
    <w:p w:rsidR="00E350E0" w:rsidRDefault="00E350E0">
      <w:r>
        <w:t>Pro krajské nemocnice:</w:t>
      </w:r>
      <w:r>
        <w:tab/>
      </w:r>
      <w:r>
        <w:tab/>
      </w:r>
      <w:r>
        <w:tab/>
        <w:t>7,31 %</w:t>
      </w:r>
    </w:p>
    <w:p w:rsidR="00E350E0" w:rsidRDefault="00E350E0">
      <w:r>
        <w:t>Pro městské nemocnice:</w:t>
      </w:r>
      <w:r>
        <w:tab/>
      </w:r>
      <w:r>
        <w:tab/>
        <w:t>6,81 %</w:t>
      </w:r>
    </w:p>
    <w:p w:rsidR="00E350E0" w:rsidRDefault="00E350E0">
      <w:r>
        <w:t>Pro soukromé a jiné nemocnice:</w:t>
      </w:r>
      <w:r>
        <w:tab/>
        <w:t>6,15 %</w:t>
      </w:r>
    </w:p>
    <w:p w:rsidR="00E350E0" w:rsidRDefault="00E350E0">
      <w:r>
        <w:t>Pro nemocnice MZ:</w:t>
      </w:r>
      <w:r>
        <w:tab/>
      </w:r>
      <w:r>
        <w:tab/>
      </w:r>
      <w:r>
        <w:tab/>
        <w:t>4,99 %</w:t>
      </w:r>
    </w:p>
    <w:p w:rsidR="00DB7A28" w:rsidRDefault="00E350E0">
      <w:r>
        <w:t>Pro nemocnice MO:</w:t>
      </w:r>
      <w:r>
        <w:tab/>
      </w:r>
      <w:r>
        <w:tab/>
      </w:r>
      <w:r>
        <w:tab/>
        <w:t>10,57 %</w:t>
      </w:r>
    </w:p>
    <w:p w:rsidR="00DB7A28" w:rsidRDefault="00DB7A28"/>
    <w:p w:rsidR="00DB7A28" w:rsidRDefault="00DB7A28"/>
    <w:p w:rsidR="00DB7A28" w:rsidRDefault="00DB7A28"/>
    <w:p w:rsidR="00DB7A28" w:rsidRDefault="00DB7A28"/>
    <w:p w:rsidR="00DB7A28" w:rsidRDefault="00DB7A28"/>
    <w:p w:rsidR="00DB7A28" w:rsidRDefault="00DB7A28"/>
    <w:p w:rsidR="0037158E" w:rsidRDefault="0037158E" w:rsidP="0037158E">
      <w:pPr>
        <w:rPr>
          <w:b/>
        </w:rPr>
      </w:pPr>
      <w:r>
        <w:rPr>
          <w:b/>
        </w:rPr>
        <w:t>Aktuální situace pojišťoven</w:t>
      </w:r>
    </w:p>
    <w:p w:rsidR="006230FB" w:rsidRDefault="00FF1FFF" w:rsidP="001678FF">
      <w:pPr>
        <w:jc w:val="both"/>
      </w:pPr>
      <w:r>
        <w:t>Zdravotní p</w:t>
      </w:r>
      <w:r w:rsidR="0037158E">
        <w:t>ojišťovny vybraly v roce 2013 na pojistném celkem 225</w:t>
      </w:r>
      <w:r w:rsidR="003207E1">
        <w:t>,7</w:t>
      </w:r>
      <w:r w:rsidR="0037158E">
        <w:t xml:space="preserve"> ml</w:t>
      </w:r>
      <w:r w:rsidR="003207E1">
        <w:t>d</w:t>
      </w:r>
      <w:r w:rsidR="0037158E">
        <w:t>. Kč</w:t>
      </w:r>
      <w:r w:rsidR="001678FF">
        <w:t>, což je přibližně stejná částka jako v roce 2012. Z toho 53</w:t>
      </w:r>
      <w:r>
        <w:t>,6</w:t>
      </w:r>
      <w:r w:rsidR="001678FF">
        <w:t xml:space="preserve"> m</w:t>
      </w:r>
      <w:r>
        <w:t>ld</w:t>
      </w:r>
      <w:r w:rsidR="001678FF">
        <w:t xml:space="preserve">. Kč tvořila platba za státní pojištěnce, kterých bylo </w:t>
      </w:r>
      <w:r w:rsidR="00FA7E8D">
        <w:t xml:space="preserve">v roce 2013 </w:t>
      </w:r>
      <w:r w:rsidR="001678FF">
        <w:t>evidováno</w:t>
      </w:r>
      <w:r w:rsidR="00FA7E8D">
        <w:t xml:space="preserve"> průměrně</w:t>
      </w:r>
      <w:r w:rsidR="001678FF">
        <w:t xml:space="preserve"> 6 097 tisíc. V </w:t>
      </w:r>
      <w:r w:rsidR="004971A0">
        <w:t>tomto</w:t>
      </w:r>
      <w:r w:rsidR="001678FF">
        <w:t xml:space="preserve"> roce opět došlo k předsunuté platbě ve výši 4 mld. Kč, kter</w:t>
      </w:r>
      <w:r>
        <w:t>á</w:t>
      </w:r>
      <w:r w:rsidR="001678FF">
        <w:t xml:space="preserve"> byla vrácena na konci roku. </w:t>
      </w:r>
      <w:r w:rsidR="006230FB">
        <w:t xml:space="preserve">Zároveň </w:t>
      </w:r>
      <w:r w:rsidR="004971A0">
        <w:t>byla</w:t>
      </w:r>
      <w:r w:rsidR="006230FB">
        <w:t xml:space="preserve"> na konci roku </w:t>
      </w:r>
      <w:r w:rsidR="004971A0">
        <w:t>poskytnuta VZP</w:t>
      </w:r>
      <w:r w:rsidR="006230FB">
        <w:t> návratn</w:t>
      </w:r>
      <w:r w:rsidR="004971A0">
        <w:t>á</w:t>
      </w:r>
      <w:r w:rsidR="006230FB">
        <w:t xml:space="preserve"> půjč</w:t>
      </w:r>
      <w:r w:rsidR="004971A0">
        <w:t>ka</w:t>
      </w:r>
      <w:r w:rsidR="006230FB">
        <w:t xml:space="preserve"> ve výši 1</w:t>
      </w:r>
      <w:r>
        <w:t>,</w:t>
      </w:r>
      <w:r w:rsidR="006230FB">
        <w:t>7 mld. Kč, kterou se alespoň částečně podařilo stabilizovat finanční situaci</w:t>
      </w:r>
      <w:r w:rsidR="004971A0">
        <w:t xml:space="preserve"> pojišťovny</w:t>
      </w:r>
      <w:r w:rsidR="006230FB">
        <w:t>.</w:t>
      </w:r>
      <w:r w:rsidR="006230FB" w:rsidRPr="006230FB">
        <w:t xml:space="preserve"> </w:t>
      </w:r>
      <w:r w:rsidR="006230FB">
        <w:t>V prvním kvartále 2014 poté došlo opět k předsunuté platbě ve výši 4,8 mld. Kč.</w:t>
      </w:r>
    </w:p>
    <w:p w:rsidR="0037158E" w:rsidRDefault="001678FF" w:rsidP="001678FF">
      <w:pPr>
        <w:jc w:val="both"/>
      </w:pPr>
      <w:r>
        <w:t xml:space="preserve">Náklady zdravotních pojišťoven za tento rok </w:t>
      </w:r>
      <w:r w:rsidR="00FF73E6">
        <w:t xml:space="preserve">ještě nejsou kompletně uzavřeny, z předběžných údajů však vyplývají výdaje ve výši 230 mld. Kč. Celková bilance systému zdravotního pojištění tak ke konci roku </w:t>
      </w:r>
      <w:r w:rsidR="004971A0">
        <w:t xml:space="preserve">činila </w:t>
      </w:r>
      <w:r w:rsidR="005374CC">
        <w:t>cca. -</w:t>
      </w:r>
      <w:r w:rsidR="00FF73E6">
        <w:t xml:space="preserve">5 mld. Kč. </w:t>
      </w:r>
    </w:p>
    <w:p w:rsidR="001678FF" w:rsidRPr="0037158E" w:rsidRDefault="001678FF" w:rsidP="001678FF">
      <w:pPr>
        <w:jc w:val="both"/>
      </w:pPr>
      <w:r>
        <w:t>V roce 2014 dojde dle údajů ze zdravotně pojistných plánů k nárůstu příjmů o 12 mld. Kč</w:t>
      </w:r>
      <w:r w:rsidR="003207E1">
        <w:t xml:space="preserve"> na celkovou hodnotu 237,2 mld. Kč</w:t>
      </w:r>
      <w:r w:rsidR="00FF73E6">
        <w:t>, z čehož velká část plyne z nárůstu plateb za státní pojištěnce. Celkem v tomto roce budou tvořit příjmy za státní pojištěnce</w:t>
      </w:r>
      <w:r w:rsidR="00FA7E8D">
        <w:t xml:space="preserve"> přibližně</w:t>
      </w:r>
      <w:r w:rsidR="00FF73E6">
        <w:t xml:space="preserve"> 25 % celkových příjmů. </w:t>
      </w:r>
      <w:r w:rsidR="006230FB">
        <w:t>Existuje ovšem riziko, že celkové příjmy budou až o 2 mld. nižší, než je uvedeno v</w:t>
      </w:r>
      <w:r w:rsidR="005374CC">
        <w:t>e</w:t>
      </w:r>
      <w:r w:rsidR="006230FB">
        <w:t> zdravotně pojistných plánech</w:t>
      </w:r>
      <w:r w:rsidR="004971A0">
        <w:t>,</w:t>
      </w:r>
      <w:r w:rsidR="005374CC">
        <w:t xml:space="preserve"> a to</w:t>
      </w:r>
      <w:r w:rsidR="004971A0">
        <w:t xml:space="preserve"> vlivem zhoršeného ekonomického výhledu ČR</w:t>
      </w:r>
      <w:r w:rsidR="006230FB">
        <w:t xml:space="preserve">. </w:t>
      </w:r>
    </w:p>
    <w:p w:rsidR="006230FB" w:rsidRDefault="003207E1" w:rsidP="003207E1">
      <w:pPr>
        <w:jc w:val="both"/>
      </w:pPr>
      <w:r>
        <w:t>Výdaje v roce 2014 dle zdravotně pojistných plánů dosáhnou výše 239,4 mld. Kč, čímž se sníží deficit systému na 2,25 mld. Kč</w:t>
      </w:r>
      <w:r w:rsidR="006230FB">
        <w:t xml:space="preserve"> (popř. na 4 mld. Kč v případě nižších příjmů)</w:t>
      </w:r>
      <w:r>
        <w:t>.</w:t>
      </w:r>
      <w:r w:rsidR="004971A0">
        <w:t xml:space="preserve"> Tyto výdaje jsou v souladu s modelacemi úhradové vyhlášky pro rok 2014.</w:t>
      </w:r>
      <w:r>
        <w:t xml:space="preserve"> </w:t>
      </w:r>
      <w:r w:rsidR="006230FB">
        <w:t xml:space="preserve">Situace se liší mezi jednotlivými pojišťovnami, kdy VZP předpokládá kladné saldo </w:t>
      </w:r>
      <w:r w:rsidR="004971A0">
        <w:t>ve výši 600 mil. Kč, zatímco ZP MV a ČPZP plánují ztrátu 1,2 mld. Kč. Záporná salda budou pokryta z rezerv jednotlivých pojišťoven.</w:t>
      </w:r>
    </w:p>
    <w:p w:rsidR="0037158E" w:rsidRDefault="003207E1" w:rsidP="00280C1E">
      <w:pPr>
        <w:jc w:val="both"/>
      </w:pPr>
      <w:r>
        <w:t xml:space="preserve">Finanční rezerva základního fondu zdravotního pojištění tak vystačí v průměru na 18 dní provozu, přičemž nejnižší rezerva bude na účtu VZP (0,25 dne) a nejvyšší u RBP (54 dní).  Podobná situace nastane i na běžném účtu pojišťoven, kdy zůstatek VZP bude tvořit pouze 2 % celkových zůstatků. </w:t>
      </w:r>
      <w:r w:rsidR="006230FB">
        <w:t xml:space="preserve">Závazky po lhůtě splatnosti u VZP budou ke konci roku 2014 činit celkem 1,4 mld. Kč. Celková výše závazků pak dosáhne 36,6 mld. Kč. </w:t>
      </w:r>
    </w:p>
    <w:p w:rsidR="00280C1E" w:rsidRPr="00280C1E" w:rsidRDefault="00280C1E" w:rsidP="00280C1E">
      <w:pPr>
        <w:jc w:val="both"/>
      </w:pPr>
    </w:p>
    <w:p w:rsidR="00DB7A28" w:rsidRDefault="00BB76F7">
      <w:pPr>
        <w:rPr>
          <w:b/>
        </w:rPr>
      </w:pPr>
      <w:r>
        <w:rPr>
          <w:b/>
        </w:rPr>
        <w:t>Kompenzace za zrušené regulační poplatky</w:t>
      </w:r>
    </w:p>
    <w:p w:rsidR="00042F0F" w:rsidRDefault="00BB76F7" w:rsidP="00042F0F">
      <w:pPr>
        <w:jc w:val="both"/>
      </w:pPr>
      <w:r>
        <w:t xml:space="preserve">V souladu s programovým prohlášením vlády na </w:t>
      </w:r>
      <w:r w:rsidR="005374CC">
        <w:t>léta</w:t>
      </w:r>
      <w:r>
        <w:t xml:space="preserve"> 2014 – 2017 připravilo Ministerstvo zdravotnictví materiál týkající se</w:t>
      </w:r>
      <w:r w:rsidR="00042F0F">
        <w:t xml:space="preserve"> mimo jiné</w:t>
      </w:r>
      <w:r>
        <w:t xml:space="preserve"> kompenza</w:t>
      </w:r>
      <w:r w:rsidR="00042F0F">
        <w:t xml:space="preserve">ce výpadku regulačních poplatků za poskytování lůžkové péče v roce 2014 a dalších regulačních poplatků v roce 2015. Ke dni tvorby tohoto podkladu se předpokládá projednání materiálu vládou dne 17. </w:t>
      </w:r>
      <w:r w:rsidR="006B6BE1">
        <w:t>3. 2014. Na</w:t>
      </w:r>
      <w:r w:rsidR="00042F0F">
        <w:t xml:space="preserve"> základě</w:t>
      </w:r>
      <w:r w:rsidR="006B6BE1">
        <w:t xml:space="preserve"> usnesení vlády</w:t>
      </w:r>
      <w:r w:rsidR="00042F0F">
        <w:t xml:space="preserve"> bude následně </w:t>
      </w:r>
      <w:r w:rsidR="006B6BE1">
        <w:t>připravena</w:t>
      </w:r>
      <w:r w:rsidR="00042F0F">
        <w:t xml:space="preserve"> právní úprava, která tuto problematiku bude řešit.</w:t>
      </w:r>
    </w:p>
    <w:p w:rsidR="00042F0F" w:rsidRDefault="00042F0F" w:rsidP="00042F0F">
      <w:pPr>
        <w:jc w:val="both"/>
      </w:pPr>
      <w:r>
        <w:t xml:space="preserve">Ministerstvo zdravotnictví přepokládá, že v roce 2014 dojde s účinností od 1. 7. 2014 ke zvýšení vyměřovacího základu pro platbu za státní pojištěnce, a tím k jejímu navýšení ze 787 Kč na 845 Kč za osobu a kalendářní měsíc, což bude znamenat dodatečný příjem systému v. z. </w:t>
      </w:r>
      <w:proofErr w:type="gramStart"/>
      <w:r>
        <w:t>p.</w:t>
      </w:r>
      <w:proofErr w:type="gramEnd"/>
      <w:r>
        <w:t xml:space="preserve"> o 2,1 mld. Kč v letošním roce. </w:t>
      </w:r>
    </w:p>
    <w:p w:rsidR="006B6BE1" w:rsidRPr="006B6BE1" w:rsidRDefault="006B6BE1" w:rsidP="00042F0F">
      <w:pPr>
        <w:jc w:val="both"/>
        <w:rPr>
          <w:rFonts w:cs="Times New Roman"/>
        </w:rPr>
      </w:pPr>
      <w:r w:rsidRPr="006B6BE1">
        <w:rPr>
          <w:rFonts w:cs="Times New Roman"/>
        </w:rPr>
        <w:lastRenderedPageBreak/>
        <w:t>Pro kompenzaci výpadku příjmů poskytovatelům lůžkové péče v roce 2014 je nezbytné postupovat cestou změny zákona č. 48/1997 Sb., o veřejném zdravotním pojištění a o změně a doplnění některých souvisejících zákonů, ve znění pozdějších předpisů. Tím bude stanovena povinnost zdravotních pojišťoven uhradit poskytovatelům lůžkové péče k určitému datu částku odpovídající hodnotě regulačních poplatků za tzv. lůžkoden ve výši 100 Kč za den. Pro určení celkové částky se přitom bude vycházet z referenčního období roku 2013, přičemž kompenzovány budou pouze ty případy hospitalizace, k nimž byl vykázán signální kód o výběru regulačního poplatku. Transfer proběhne ve dvou etapách, první bude proveden do 31. 7. 2014 a druhý do 31. 12. 2014.</w:t>
      </w:r>
    </w:p>
    <w:p w:rsidR="00BB76F7" w:rsidRDefault="00042F0F" w:rsidP="00042F0F">
      <w:pPr>
        <w:jc w:val="both"/>
        <w:rPr>
          <w:rFonts w:cs="Times New Roman"/>
        </w:rPr>
      </w:pPr>
      <w:r w:rsidRPr="006B6BE1">
        <w:t xml:space="preserve"> </w:t>
      </w:r>
      <w:r w:rsidR="006B6BE1" w:rsidRPr="006B6BE1">
        <w:rPr>
          <w:rFonts w:cs="Times New Roman"/>
        </w:rPr>
        <w:t>Pro kompenzaci výpadku regulačních poplatků v roce 2015 je možné využít již úhradovou vyhlášku pro tento kalendářní rok, kde bude tato skutečnost zohledněna. Bude-li zákonem přijatým v roce 2014 stanovena i výše vyměřovacího základu pro platbu za tzv. státní pojištěnce, bude navíc možné zohlednit tuto skutečnost již v rámci dohodovacího řízení mezi poskytovateli zdravotních služeb a zdravotními pojišťovnami při přípravě úhradové vyhlášky na rok 2015.</w:t>
      </w:r>
    </w:p>
    <w:p w:rsidR="0037158E" w:rsidRPr="006B6BE1" w:rsidRDefault="0037158E" w:rsidP="00042F0F">
      <w:pPr>
        <w:jc w:val="both"/>
      </w:pPr>
    </w:p>
    <w:p w:rsidR="00DB7A28" w:rsidRDefault="00DB7A28"/>
    <w:p w:rsidR="0037158E" w:rsidRDefault="0037158E"/>
    <w:sectPr w:rsidR="0037158E" w:rsidSect="0074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74C"/>
    <w:rsid w:val="00042F0F"/>
    <w:rsid w:val="000B197D"/>
    <w:rsid w:val="001678FF"/>
    <w:rsid w:val="00206F8F"/>
    <w:rsid w:val="00280C1E"/>
    <w:rsid w:val="002C1889"/>
    <w:rsid w:val="003207E1"/>
    <w:rsid w:val="0037158E"/>
    <w:rsid w:val="0037741A"/>
    <w:rsid w:val="00453B0C"/>
    <w:rsid w:val="004971A0"/>
    <w:rsid w:val="00517C8F"/>
    <w:rsid w:val="005374CC"/>
    <w:rsid w:val="006230FB"/>
    <w:rsid w:val="006A67BE"/>
    <w:rsid w:val="006B6BE1"/>
    <w:rsid w:val="006E1053"/>
    <w:rsid w:val="007450CB"/>
    <w:rsid w:val="0089274C"/>
    <w:rsid w:val="00B53E06"/>
    <w:rsid w:val="00B71531"/>
    <w:rsid w:val="00BB76F7"/>
    <w:rsid w:val="00D50377"/>
    <w:rsid w:val="00DB7A28"/>
    <w:rsid w:val="00E350E0"/>
    <w:rsid w:val="00E37736"/>
    <w:rsid w:val="00FA7E8D"/>
    <w:rsid w:val="00FC3E0F"/>
    <w:rsid w:val="00FF1FFF"/>
    <w:rsid w:val="00FF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0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3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2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F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F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37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42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F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F0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D02D-3C22-4ACE-B0B0-C5D24492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Kurfürst Michal Ing.</dc:creator>
  <cp:lastModifiedBy>Martina</cp:lastModifiedBy>
  <cp:revision>2</cp:revision>
  <cp:lastPrinted>2014-03-13T12:10:00Z</cp:lastPrinted>
  <dcterms:created xsi:type="dcterms:W3CDTF">2014-03-19T10:53:00Z</dcterms:created>
  <dcterms:modified xsi:type="dcterms:W3CDTF">2014-03-19T10:53:00Z</dcterms:modified>
</cp:coreProperties>
</file>