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F1" w:rsidRPr="00B3269D" w:rsidRDefault="00B3269D" w:rsidP="00B3269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3269D">
        <w:rPr>
          <w:rFonts w:ascii="Arial" w:hAnsi="Arial" w:cs="Arial"/>
          <w:b/>
          <w:color w:val="000000"/>
          <w:sz w:val="24"/>
          <w:szCs w:val="24"/>
        </w:rPr>
        <w:t>Podklad pro jednání PT RHSD ČR</w:t>
      </w:r>
      <w:r w:rsidR="0007075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B3269D" w:rsidRPr="00B3269D" w:rsidRDefault="00B3269D" w:rsidP="00B3269D">
      <w:pPr>
        <w:jc w:val="center"/>
        <w:rPr>
          <w:rFonts w:ascii="Arial" w:hAnsi="Arial" w:cs="Arial"/>
          <w:color w:val="000000"/>
        </w:rPr>
      </w:pPr>
      <w:r w:rsidRPr="00B3269D">
        <w:rPr>
          <w:rFonts w:ascii="Arial" w:hAnsi="Arial" w:cs="Arial"/>
          <w:color w:val="000000"/>
        </w:rPr>
        <w:t>(k bodu 4 programu jednání)</w:t>
      </w:r>
    </w:p>
    <w:p w:rsidR="009F6A78" w:rsidRPr="00494274" w:rsidRDefault="009F6A78" w:rsidP="009F6A78">
      <w:pPr>
        <w:jc w:val="both"/>
        <w:rPr>
          <w:rFonts w:ascii="Arial" w:hAnsi="Arial" w:cs="Arial"/>
          <w:sz w:val="24"/>
          <w:szCs w:val="24"/>
        </w:rPr>
      </w:pPr>
      <w:r w:rsidRPr="00494274">
        <w:rPr>
          <w:rFonts w:ascii="Arial" w:hAnsi="Arial" w:cs="Arial"/>
          <w:sz w:val="24"/>
          <w:szCs w:val="24"/>
        </w:rPr>
        <w:t>Vláda se ve svém Programovém prohlášení zavázala k zavedení předvídatelného, stabilního a průměrným nákladům odpovídajícího systému úhrad pro všechny typy zdravotní péče.  Za účelem dosažení tohoto cíle Ministerstvo zdravotnictví předloží novelu Seznamu výkonů s bodovými hodnotami a bude dále pracovat na kultivaci systému DRG i dalších platebních mechanismů.</w:t>
      </w:r>
    </w:p>
    <w:p w:rsidR="009F6A78" w:rsidRPr="00494274" w:rsidRDefault="009F6A78" w:rsidP="009F6A78">
      <w:pPr>
        <w:jc w:val="both"/>
        <w:rPr>
          <w:rFonts w:ascii="Arial" w:hAnsi="Arial" w:cs="Arial"/>
          <w:sz w:val="24"/>
          <w:szCs w:val="24"/>
          <w:u w:val="single"/>
        </w:rPr>
      </w:pPr>
      <w:r w:rsidRPr="00494274">
        <w:rPr>
          <w:rFonts w:ascii="Arial" w:hAnsi="Arial" w:cs="Arial"/>
          <w:sz w:val="24"/>
          <w:szCs w:val="24"/>
          <w:u w:val="single"/>
        </w:rPr>
        <w:t>Novelizace Seznamu výkonů:</w:t>
      </w:r>
    </w:p>
    <w:p w:rsidR="009F6A78" w:rsidRPr="00494274" w:rsidRDefault="00BA577C" w:rsidP="009F6A78">
      <w:pPr>
        <w:jc w:val="both"/>
        <w:rPr>
          <w:rFonts w:ascii="Arial" w:hAnsi="Arial" w:cs="Arial"/>
          <w:sz w:val="24"/>
          <w:szCs w:val="24"/>
        </w:rPr>
      </w:pPr>
      <w:r w:rsidRPr="00494274">
        <w:rPr>
          <w:rFonts w:ascii="Arial" w:hAnsi="Arial" w:cs="Arial"/>
          <w:sz w:val="24"/>
          <w:szCs w:val="24"/>
        </w:rPr>
        <w:t xml:space="preserve">Jedná se o novelizaci Seznamu výkonů zaměřenou primárně na odbornosti interní, laboratorní a nelékařské v rozsahu zařazení cca 300 nových výkonů a </w:t>
      </w:r>
      <w:r w:rsidR="00995098" w:rsidRPr="00494274">
        <w:rPr>
          <w:rFonts w:ascii="Arial" w:hAnsi="Arial" w:cs="Arial"/>
          <w:sz w:val="24"/>
          <w:szCs w:val="24"/>
        </w:rPr>
        <w:t xml:space="preserve">cca </w:t>
      </w:r>
      <w:r w:rsidRPr="00494274">
        <w:rPr>
          <w:rFonts w:ascii="Arial" w:hAnsi="Arial" w:cs="Arial"/>
          <w:sz w:val="24"/>
          <w:szCs w:val="24"/>
        </w:rPr>
        <w:t>1500 novelizovaných výkonů projednaných Pracovní skupinou k Seznamu výkonů.</w:t>
      </w:r>
    </w:p>
    <w:p w:rsidR="00BA577C" w:rsidRPr="00494274" w:rsidRDefault="00BA577C" w:rsidP="009F6A78">
      <w:pPr>
        <w:jc w:val="both"/>
        <w:rPr>
          <w:rFonts w:ascii="Arial" w:hAnsi="Arial" w:cs="Arial"/>
          <w:sz w:val="24"/>
          <w:szCs w:val="24"/>
        </w:rPr>
      </w:pPr>
      <w:r w:rsidRPr="00494274">
        <w:rPr>
          <w:rFonts w:ascii="Arial" w:hAnsi="Arial" w:cs="Arial"/>
          <w:sz w:val="24"/>
          <w:szCs w:val="24"/>
        </w:rPr>
        <w:t>Indikativní harmonogram:</w:t>
      </w:r>
    </w:p>
    <w:p w:rsidR="00BA577C" w:rsidRPr="00494274" w:rsidRDefault="00BB5C80" w:rsidP="00BA577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4274">
        <w:rPr>
          <w:rFonts w:ascii="Arial" w:hAnsi="Arial" w:cs="Arial"/>
          <w:sz w:val="24"/>
          <w:szCs w:val="24"/>
        </w:rPr>
        <w:t>Platnost</w:t>
      </w:r>
      <w:r w:rsidR="00BA577C" w:rsidRPr="00494274">
        <w:rPr>
          <w:rFonts w:ascii="Arial" w:hAnsi="Arial" w:cs="Arial"/>
          <w:sz w:val="24"/>
          <w:szCs w:val="24"/>
        </w:rPr>
        <w:t xml:space="preserve"> k 1. 7. 2014</w:t>
      </w:r>
    </w:p>
    <w:p w:rsidR="00BA577C" w:rsidRPr="00494274" w:rsidRDefault="00BB5C80" w:rsidP="00BA577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4274">
        <w:rPr>
          <w:rFonts w:ascii="Arial" w:hAnsi="Arial" w:cs="Arial"/>
          <w:sz w:val="24"/>
          <w:szCs w:val="24"/>
        </w:rPr>
        <w:t>Účinnost</w:t>
      </w:r>
      <w:r w:rsidR="00BA577C" w:rsidRPr="00494274">
        <w:rPr>
          <w:rFonts w:ascii="Arial" w:hAnsi="Arial" w:cs="Arial"/>
          <w:sz w:val="24"/>
          <w:szCs w:val="24"/>
        </w:rPr>
        <w:t xml:space="preserve"> k 1. 1. 2015</w:t>
      </w:r>
    </w:p>
    <w:p w:rsidR="00BA577C" w:rsidRPr="00494274" w:rsidRDefault="00BA577C" w:rsidP="00BA577C">
      <w:pPr>
        <w:jc w:val="both"/>
        <w:rPr>
          <w:rFonts w:ascii="Arial" w:hAnsi="Arial" w:cs="Arial"/>
          <w:sz w:val="24"/>
          <w:szCs w:val="24"/>
        </w:rPr>
      </w:pPr>
      <w:r w:rsidRPr="00494274">
        <w:rPr>
          <w:rFonts w:ascii="Arial" w:hAnsi="Arial" w:cs="Arial"/>
          <w:sz w:val="24"/>
          <w:szCs w:val="24"/>
        </w:rPr>
        <w:t xml:space="preserve">Zvolené období </w:t>
      </w:r>
      <w:proofErr w:type="spellStart"/>
      <w:r w:rsidRPr="00494274">
        <w:rPr>
          <w:rFonts w:ascii="Arial" w:hAnsi="Arial" w:cs="Arial"/>
          <w:sz w:val="24"/>
          <w:szCs w:val="24"/>
        </w:rPr>
        <w:t>legisvakance</w:t>
      </w:r>
      <w:proofErr w:type="spellEnd"/>
      <w:r w:rsidRPr="00494274">
        <w:rPr>
          <w:rFonts w:ascii="Arial" w:hAnsi="Arial" w:cs="Arial"/>
          <w:sz w:val="24"/>
          <w:szCs w:val="24"/>
        </w:rPr>
        <w:t xml:space="preserve"> umožní všem zainteresovaným subjektům (zejména pak zdravotním pojišťovnám a poskytovatelům) se detailně seznámit se změnami v systému.</w:t>
      </w:r>
    </w:p>
    <w:p w:rsidR="00995098" w:rsidRPr="00494274" w:rsidRDefault="00995098" w:rsidP="00995098">
      <w:pPr>
        <w:jc w:val="both"/>
        <w:rPr>
          <w:rFonts w:ascii="Arial" w:hAnsi="Arial" w:cs="Arial"/>
          <w:sz w:val="24"/>
          <w:szCs w:val="24"/>
        </w:rPr>
      </w:pPr>
      <w:r w:rsidRPr="00494274">
        <w:rPr>
          <w:rFonts w:ascii="Arial" w:hAnsi="Arial" w:cs="Arial"/>
          <w:sz w:val="24"/>
          <w:szCs w:val="24"/>
        </w:rPr>
        <w:t>V rámci dalších prací po přijetí v současnosti připravované novely se předpokládá zaměření dalších prací na chirurgické odbornosti a narovnání nepřímých nákladů napříč odbornostmi.</w:t>
      </w:r>
    </w:p>
    <w:p w:rsidR="00995098" w:rsidRPr="00494274" w:rsidRDefault="00995098" w:rsidP="00995098">
      <w:pPr>
        <w:jc w:val="both"/>
        <w:rPr>
          <w:rFonts w:ascii="Arial" w:hAnsi="Arial" w:cs="Arial"/>
          <w:sz w:val="24"/>
          <w:szCs w:val="24"/>
          <w:u w:val="single"/>
        </w:rPr>
      </w:pPr>
      <w:r w:rsidRPr="00494274">
        <w:rPr>
          <w:rFonts w:ascii="Arial" w:hAnsi="Arial" w:cs="Arial"/>
          <w:sz w:val="24"/>
          <w:szCs w:val="24"/>
          <w:u w:val="single"/>
        </w:rPr>
        <w:t>Narovnání úhrad v oblasti lůžkové péče</w:t>
      </w:r>
    </w:p>
    <w:p w:rsidR="00EA5796" w:rsidRPr="00494274" w:rsidRDefault="00EA5796" w:rsidP="00995098">
      <w:pPr>
        <w:jc w:val="both"/>
        <w:rPr>
          <w:rFonts w:ascii="Arial" w:hAnsi="Arial" w:cs="Arial"/>
          <w:sz w:val="24"/>
          <w:szCs w:val="24"/>
        </w:rPr>
      </w:pPr>
      <w:r w:rsidRPr="00494274">
        <w:rPr>
          <w:rFonts w:ascii="Arial" w:hAnsi="Arial" w:cs="Arial"/>
          <w:sz w:val="24"/>
          <w:szCs w:val="24"/>
        </w:rPr>
        <w:t>Ministerstvo zdravotnictví předpokládá, že v hrubých rysech bude zachována kontinuita úhradových mechanismů pro jednotlivé segmenty zdravotní péče. Mechanismus platby za akutní lůžkovou péči zůstane pravděpodobně zachován, lze nicméně očekávat změny v jednotlivých koeficientech popřípadě další sbližování tzv. základních sazeb</w:t>
      </w:r>
      <w:r w:rsidR="00F16A15" w:rsidRPr="00494274">
        <w:rPr>
          <w:rFonts w:ascii="Arial" w:hAnsi="Arial" w:cs="Arial"/>
          <w:sz w:val="24"/>
          <w:szCs w:val="24"/>
        </w:rPr>
        <w:t>. Doposud však nebylo ukončeno doho</w:t>
      </w:r>
      <w:r w:rsidRPr="00494274">
        <w:rPr>
          <w:rFonts w:ascii="Arial" w:hAnsi="Arial" w:cs="Arial"/>
          <w:sz w:val="24"/>
          <w:szCs w:val="24"/>
        </w:rPr>
        <w:t>dovací řízení a nelze tak s určitostí závazně určit přesné parametry úhrad na rok 2015.</w:t>
      </w:r>
    </w:p>
    <w:p w:rsidR="009F6A78" w:rsidRPr="00494274" w:rsidRDefault="00837176" w:rsidP="009F6A78">
      <w:pPr>
        <w:jc w:val="both"/>
        <w:rPr>
          <w:rFonts w:ascii="Arial" w:hAnsi="Arial" w:cs="Arial"/>
          <w:sz w:val="24"/>
          <w:szCs w:val="24"/>
        </w:rPr>
      </w:pPr>
      <w:r w:rsidRPr="00494274">
        <w:rPr>
          <w:rFonts w:ascii="Arial" w:hAnsi="Arial" w:cs="Arial"/>
          <w:sz w:val="24"/>
          <w:szCs w:val="24"/>
        </w:rPr>
        <w:t>Za</w:t>
      </w:r>
      <w:r w:rsidR="008309C0" w:rsidRPr="00494274">
        <w:rPr>
          <w:rFonts w:ascii="Arial" w:hAnsi="Arial" w:cs="Arial"/>
          <w:sz w:val="24"/>
          <w:szCs w:val="24"/>
        </w:rPr>
        <w:t xml:space="preserve"> účel</w:t>
      </w:r>
      <w:r w:rsidRPr="00494274">
        <w:rPr>
          <w:rFonts w:ascii="Arial" w:hAnsi="Arial" w:cs="Arial"/>
          <w:sz w:val="24"/>
          <w:szCs w:val="24"/>
        </w:rPr>
        <w:t>em</w:t>
      </w:r>
      <w:r w:rsidR="008309C0" w:rsidRPr="00494274">
        <w:rPr>
          <w:rFonts w:ascii="Arial" w:hAnsi="Arial" w:cs="Arial"/>
          <w:sz w:val="24"/>
          <w:szCs w:val="24"/>
        </w:rPr>
        <w:t xml:space="preserve"> </w:t>
      </w:r>
      <w:r w:rsidRPr="00494274">
        <w:rPr>
          <w:rFonts w:ascii="Arial" w:hAnsi="Arial" w:cs="Arial"/>
          <w:sz w:val="24"/>
          <w:szCs w:val="24"/>
        </w:rPr>
        <w:t xml:space="preserve">dalšího rozvoje </w:t>
      </w:r>
      <w:r w:rsidR="008309C0" w:rsidRPr="00494274">
        <w:rPr>
          <w:rFonts w:ascii="Arial" w:hAnsi="Arial" w:cs="Arial"/>
          <w:sz w:val="24"/>
          <w:szCs w:val="24"/>
        </w:rPr>
        <w:t xml:space="preserve">úhradových mechanismů bude revidován proces kultivace DRG v současné době spadající pod NRC </w:t>
      </w:r>
      <w:r w:rsidRPr="00494274">
        <w:rPr>
          <w:rFonts w:ascii="Arial" w:hAnsi="Arial" w:cs="Arial"/>
          <w:sz w:val="24"/>
          <w:szCs w:val="24"/>
        </w:rPr>
        <w:t>a bude posouzena moznost jeho př</w:t>
      </w:r>
      <w:r w:rsidR="008309C0" w:rsidRPr="00494274">
        <w:rPr>
          <w:rFonts w:ascii="Arial" w:hAnsi="Arial" w:cs="Arial"/>
          <w:sz w:val="24"/>
          <w:szCs w:val="24"/>
        </w:rPr>
        <w:t>eveden</w:t>
      </w:r>
      <w:r w:rsidR="00F16A15" w:rsidRPr="00494274">
        <w:rPr>
          <w:rFonts w:ascii="Arial" w:hAnsi="Arial" w:cs="Arial"/>
          <w:sz w:val="24"/>
          <w:szCs w:val="24"/>
        </w:rPr>
        <w:t>i do kompetence MZ či jím řízené</w:t>
      </w:r>
      <w:r w:rsidR="008309C0" w:rsidRPr="00494274">
        <w:rPr>
          <w:rFonts w:ascii="Arial" w:hAnsi="Arial" w:cs="Arial"/>
          <w:sz w:val="24"/>
          <w:szCs w:val="24"/>
        </w:rPr>
        <w:t xml:space="preserve"> organizace.</w:t>
      </w:r>
      <w:r w:rsidR="00995098" w:rsidRPr="00494274">
        <w:rPr>
          <w:rFonts w:ascii="Arial" w:hAnsi="Arial" w:cs="Arial"/>
          <w:sz w:val="24"/>
          <w:szCs w:val="24"/>
        </w:rPr>
        <w:t xml:space="preserve"> Ministerstvo zdravotnictví bude </w:t>
      </w:r>
      <w:r w:rsidR="00EA5796" w:rsidRPr="00494274">
        <w:rPr>
          <w:rFonts w:ascii="Arial" w:hAnsi="Arial" w:cs="Arial"/>
          <w:sz w:val="24"/>
          <w:szCs w:val="24"/>
        </w:rPr>
        <w:t>rovněž</w:t>
      </w:r>
      <w:r w:rsidR="00995098" w:rsidRPr="00494274">
        <w:rPr>
          <w:rFonts w:ascii="Arial" w:hAnsi="Arial" w:cs="Arial"/>
          <w:sz w:val="24"/>
          <w:szCs w:val="24"/>
        </w:rPr>
        <w:t xml:space="preserve"> aktivně prosazovat další </w:t>
      </w:r>
      <w:r w:rsidR="00EA5796" w:rsidRPr="00494274">
        <w:rPr>
          <w:rFonts w:ascii="Arial" w:hAnsi="Arial" w:cs="Arial"/>
          <w:sz w:val="24"/>
          <w:szCs w:val="24"/>
        </w:rPr>
        <w:t>rozvoj</w:t>
      </w:r>
      <w:r w:rsidR="00995098" w:rsidRPr="00494274">
        <w:rPr>
          <w:rFonts w:ascii="Arial" w:hAnsi="Arial" w:cs="Arial"/>
          <w:sz w:val="24"/>
          <w:szCs w:val="24"/>
        </w:rPr>
        <w:t xml:space="preserve"> systému DRG tak, aby se odstranily historicky dané nerovnosti mezi jednotlivými poskytovateli lůžkové péče způsobené nedokonalostmi v současném systému DRG.</w:t>
      </w:r>
      <w:r w:rsidR="009F6A78" w:rsidRPr="00494274">
        <w:rPr>
          <w:rFonts w:ascii="Arial" w:hAnsi="Arial" w:cs="Arial"/>
          <w:sz w:val="24"/>
          <w:szCs w:val="24"/>
        </w:rPr>
        <w:t xml:space="preserve"> </w:t>
      </w:r>
    </w:p>
    <w:p w:rsidR="00F16A15" w:rsidRPr="00494274" w:rsidRDefault="00F16A15" w:rsidP="00F16A15">
      <w:pPr>
        <w:jc w:val="both"/>
        <w:rPr>
          <w:rFonts w:ascii="Arial" w:hAnsi="Arial" w:cs="Arial"/>
          <w:sz w:val="24"/>
          <w:szCs w:val="24"/>
          <w:u w:val="single"/>
        </w:rPr>
      </w:pPr>
      <w:r w:rsidRPr="00494274">
        <w:rPr>
          <w:rFonts w:ascii="Arial" w:hAnsi="Arial" w:cs="Arial"/>
          <w:sz w:val="24"/>
          <w:szCs w:val="24"/>
          <w:u w:val="single"/>
        </w:rPr>
        <w:t>Dohled nad zdravotním pojištěním a fungováním zdravotních pojišťoven</w:t>
      </w:r>
    </w:p>
    <w:p w:rsidR="00F16A15" w:rsidRPr="00494274" w:rsidRDefault="00F16A15" w:rsidP="00F16A15">
      <w:pPr>
        <w:jc w:val="both"/>
        <w:rPr>
          <w:rFonts w:ascii="Arial" w:hAnsi="Arial" w:cs="Arial"/>
          <w:sz w:val="24"/>
          <w:szCs w:val="24"/>
        </w:rPr>
      </w:pPr>
      <w:r w:rsidRPr="00494274">
        <w:rPr>
          <w:rFonts w:ascii="Arial" w:hAnsi="Arial" w:cs="Arial"/>
          <w:sz w:val="24"/>
          <w:szCs w:val="24"/>
        </w:rPr>
        <w:t xml:space="preserve">Prvním krokem realizovaným v krátkém časovém horizontu (v rámci novely zákona č. 48/1997 Sb. v roce 2014) bude zavedení povinnosti zdravotních pojišťoven a </w:t>
      </w:r>
      <w:r w:rsidRPr="00494274">
        <w:rPr>
          <w:rFonts w:ascii="Arial" w:hAnsi="Arial" w:cs="Arial"/>
          <w:sz w:val="24"/>
          <w:szCs w:val="24"/>
        </w:rPr>
        <w:lastRenderedPageBreak/>
        <w:t>poskytovatelů zveřejňovat smlouvy o poskytování a úhradě hrazených služeb. Součástí této novely bude rovněž rozšíření informační povinnosti zdravotních pojišťoven vůči Ministerstvu zdravotnictví.</w:t>
      </w:r>
    </w:p>
    <w:p w:rsidR="0055647D" w:rsidRPr="00494274" w:rsidRDefault="00F16A15" w:rsidP="00F16A15">
      <w:pPr>
        <w:jc w:val="both"/>
        <w:rPr>
          <w:rFonts w:ascii="Arial" w:hAnsi="Arial" w:cs="Arial"/>
          <w:sz w:val="24"/>
          <w:szCs w:val="24"/>
        </w:rPr>
      </w:pPr>
      <w:r w:rsidRPr="00494274">
        <w:rPr>
          <w:rFonts w:ascii="Arial" w:hAnsi="Arial" w:cs="Arial"/>
          <w:sz w:val="24"/>
          <w:szCs w:val="24"/>
        </w:rPr>
        <w:t>V roce 2015 bude v souladu s výhledem legislativních prací vlády připravena novela zákona č. 551/1991 Sb., o Všeobecné zdravotní pojišťovně České republiky, ve znění pozdějších předpisů, a zákona č. 280/1992 Sb., o resortních, oborových, podnikových a dalších zdravotních pojišťovnách, ve znění pozdějších předpisů. Obsahově by tato legislativní změna měla vycházet z návrhu novely</w:t>
      </w:r>
      <w:r w:rsidR="0055647D" w:rsidRPr="00494274">
        <w:rPr>
          <w:rFonts w:ascii="Arial" w:hAnsi="Arial" w:cs="Arial"/>
          <w:sz w:val="24"/>
          <w:szCs w:val="24"/>
        </w:rPr>
        <w:t xml:space="preserve"> uvedených zákonů, která byla přerušena v průběhu meziresortního připomínkového řízení. Ministerstvo zdravotnictví předpokládá, že jejím obsahem bude minimálně řešení následujících problematických oblastí:</w:t>
      </w:r>
    </w:p>
    <w:p w:rsidR="0055647D" w:rsidRPr="00494274" w:rsidRDefault="0055647D" w:rsidP="0055647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494274">
        <w:rPr>
          <w:rFonts w:ascii="Arial" w:hAnsi="Arial" w:cs="Arial"/>
          <w:sz w:val="24"/>
          <w:szCs w:val="24"/>
        </w:rPr>
        <w:t>nedostatečně upravený a nejasně vymezený dohled a kontrola nad činností zdravotních pojišťoven včetně podmínek zavedení nucené správy,</w:t>
      </w:r>
    </w:p>
    <w:p w:rsidR="0055647D" w:rsidRPr="00494274" w:rsidRDefault="0055647D" w:rsidP="0055647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494274">
        <w:rPr>
          <w:rFonts w:ascii="Arial" w:hAnsi="Arial" w:cs="Arial"/>
          <w:sz w:val="24"/>
          <w:szCs w:val="24"/>
        </w:rPr>
        <w:t>nevhodné složení, vymezení rolí a odpovědností orgánů zdravotních pojišťoven,</w:t>
      </w:r>
    </w:p>
    <w:p w:rsidR="00062591" w:rsidRPr="00494274" w:rsidRDefault="00062591" w:rsidP="0006259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494274">
        <w:rPr>
          <w:rFonts w:ascii="Arial" w:hAnsi="Arial" w:cs="Arial"/>
          <w:sz w:val="24"/>
          <w:szCs w:val="24"/>
        </w:rPr>
        <w:t>nedostatečné vymezení sankcí za porušení povinností zdravotními pojišťovnami podle příslušných ustanovení zákona o VZP a zákona o zaměstnaneckých pojišťovnách,</w:t>
      </w:r>
    </w:p>
    <w:p w:rsidR="00062591" w:rsidRPr="00494274" w:rsidRDefault="00062591" w:rsidP="0006259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494274">
        <w:rPr>
          <w:rFonts w:ascii="Arial" w:hAnsi="Arial" w:cs="Arial"/>
          <w:sz w:val="24"/>
          <w:szCs w:val="24"/>
        </w:rPr>
        <w:t>posílení mechanismů k zajištění oddělení vlastnictví zdravotnických zařízení a zdravotních pojišťoven a zamezení jejich vzájemného ovládání nebo ovládání třetí osobou.</w:t>
      </w:r>
    </w:p>
    <w:p w:rsidR="00F16A15" w:rsidRPr="00494274" w:rsidRDefault="0055647D" w:rsidP="00062591">
      <w:pPr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494274">
        <w:rPr>
          <w:rFonts w:ascii="Arial" w:hAnsi="Arial" w:cs="Arial"/>
          <w:sz w:val="24"/>
          <w:szCs w:val="24"/>
        </w:rPr>
        <w:t xml:space="preserve"> </w:t>
      </w:r>
      <w:r w:rsidR="00F16A15" w:rsidRPr="00494274">
        <w:rPr>
          <w:rFonts w:ascii="Arial" w:hAnsi="Arial" w:cs="Arial"/>
          <w:sz w:val="24"/>
          <w:szCs w:val="24"/>
        </w:rPr>
        <w:t xml:space="preserve">  </w:t>
      </w:r>
    </w:p>
    <w:p w:rsidR="00F16A15" w:rsidRPr="00494274" w:rsidRDefault="00F16A15" w:rsidP="009F6A78">
      <w:pPr>
        <w:jc w:val="both"/>
        <w:rPr>
          <w:rFonts w:ascii="Arial" w:hAnsi="Arial" w:cs="Arial"/>
          <w:sz w:val="24"/>
          <w:szCs w:val="24"/>
        </w:rPr>
      </w:pPr>
    </w:p>
    <w:sectPr w:rsidR="00F16A15" w:rsidRPr="00494274" w:rsidSect="00620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342A"/>
    <w:multiLevelType w:val="hybridMultilevel"/>
    <w:tmpl w:val="C980B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00D18"/>
    <w:multiLevelType w:val="hybridMultilevel"/>
    <w:tmpl w:val="6E8EC282"/>
    <w:lvl w:ilvl="0" w:tplc="55E45B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A78"/>
    <w:rsid w:val="00062591"/>
    <w:rsid w:val="00070756"/>
    <w:rsid w:val="00346A40"/>
    <w:rsid w:val="003802F1"/>
    <w:rsid w:val="00494274"/>
    <w:rsid w:val="0055647D"/>
    <w:rsid w:val="00620D8C"/>
    <w:rsid w:val="008309C0"/>
    <w:rsid w:val="00837176"/>
    <w:rsid w:val="00995098"/>
    <w:rsid w:val="009F6A78"/>
    <w:rsid w:val="00B3269D"/>
    <w:rsid w:val="00BA577C"/>
    <w:rsid w:val="00BB5C80"/>
    <w:rsid w:val="00CB41CB"/>
    <w:rsid w:val="00E3267D"/>
    <w:rsid w:val="00EA5796"/>
    <w:rsid w:val="00F16A15"/>
    <w:rsid w:val="00FF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0D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5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5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8EBE6-66DF-4DF1-83A0-3DDCD7B9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Jan Mgr..</dc:creator>
  <cp:lastModifiedBy>Martina</cp:lastModifiedBy>
  <cp:revision>2</cp:revision>
  <cp:lastPrinted>2014-03-13T11:51:00Z</cp:lastPrinted>
  <dcterms:created xsi:type="dcterms:W3CDTF">2014-03-19T10:51:00Z</dcterms:created>
  <dcterms:modified xsi:type="dcterms:W3CDTF">2014-03-19T10:51:00Z</dcterms:modified>
</cp:coreProperties>
</file>