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D4" w:rsidRPr="009827E0" w:rsidRDefault="001A76D4" w:rsidP="00333665">
      <w:pPr>
        <w:pBdr>
          <w:bottom w:val="single" w:sz="4" w:space="1" w:color="000000"/>
        </w:pBdr>
        <w:autoSpaceDE w:val="0"/>
        <w:spacing w:after="200" w:line="276" w:lineRule="auto"/>
        <w:jc w:val="both"/>
        <w:rPr>
          <w:b/>
          <w:bCs/>
        </w:rPr>
      </w:pPr>
      <w:r w:rsidRPr="009827E0">
        <w:rPr>
          <w:b/>
          <w:bCs/>
          <w:lang w:val="en-US"/>
        </w:rPr>
        <w:t xml:space="preserve">Návrh </w:t>
      </w:r>
      <w:r>
        <w:rPr>
          <w:b/>
          <w:bCs/>
          <w:lang w:val="en-US"/>
        </w:rPr>
        <w:t>SSN</w:t>
      </w:r>
      <w:r w:rsidR="009E62B1">
        <w:rPr>
          <w:b/>
          <w:bCs/>
          <w:lang w:val="en-US"/>
        </w:rPr>
        <w:t xml:space="preserve"> ČR</w:t>
      </w:r>
      <w:r w:rsidRPr="009827E0">
        <w:rPr>
          <w:b/>
          <w:bCs/>
          <w:lang w:val="en-US"/>
        </w:rPr>
        <w:t xml:space="preserve"> na úhradu zdravotní péče poskytované ve zdravotnických zařízeních ústavní péče,</w:t>
      </w:r>
      <w:r w:rsidRPr="009827E0">
        <w:rPr>
          <w:b/>
          <w:bCs/>
        </w:rPr>
        <w:t xml:space="preserve"> s výjimkou zdravotní péče poskytované v odborných léčebných ústavech, léčebnách dlouhodobě nemocných, ve zdravotnických zařízeních vykazujících ošetřovací den č. 00005 podle seznamu výkonů a ve zdravotnických zařízeních hospicového typu,</w:t>
      </w:r>
      <w:r>
        <w:rPr>
          <w:b/>
          <w:bCs/>
        </w:rPr>
        <w:t xml:space="preserve"> v roce 2013.</w:t>
      </w:r>
    </w:p>
    <w:p w:rsidR="001A76D4" w:rsidRDefault="001A76D4" w:rsidP="00333665">
      <w:pPr>
        <w:autoSpaceDE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1A76D4" w:rsidRDefault="001A76D4" w:rsidP="00333665">
      <w:pPr>
        <w:autoSpaceDE w:val="0"/>
        <w:jc w:val="both"/>
        <w:rPr>
          <w:color w:val="000000"/>
        </w:rPr>
      </w:pPr>
      <w:r>
        <w:rPr>
          <w:color w:val="000000"/>
        </w:rPr>
        <w:t>Úhrada zdravotní péče, poskytnutá zdravotnickým zařízením pojištěncům zdravotní pojišťovny a uznaná zdravotní pojišťovnou v roce 2013 zahrnuje:</w:t>
      </w:r>
    </w:p>
    <w:p w:rsidR="001A76D4" w:rsidRDefault="001A76D4" w:rsidP="00333665">
      <w:pPr>
        <w:autoSpaceDE w:val="0"/>
        <w:jc w:val="both"/>
        <w:rPr>
          <w:color w:val="000000"/>
        </w:rPr>
      </w:pPr>
    </w:p>
    <w:p w:rsidR="001A76D4" w:rsidRDefault="001A76D4" w:rsidP="00333665">
      <w:pPr>
        <w:numPr>
          <w:ilvl w:val="1"/>
          <w:numId w:val="1"/>
        </w:numPr>
        <w:tabs>
          <w:tab w:val="clear" w:pos="1440"/>
          <w:tab w:val="num" w:pos="1276"/>
          <w:tab w:val="left" w:pos="6804"/>
        </w:tabs>
        <w:suppressAutoHyphens w:val="0"/>
        <w:ind w:left="709" w:right="-142" w:firstLine="0"/>
        <w:rPr>
          <w:rStyle w:val="TextodstavceChar"/>
          <w:rFonts w:eastAsia="Times New Roman"/>
          <w:color w:val="000000"/>
        </w:rPr>
      </w:pPr>
      <w:r w:rsidRPr="00842119">
        <w:rPr>
          <w:rStyle w:val="TextodstavceChar"/>
          <w:rFonts w:eastAsia="Times New Roman"/>
          <w:color w:val="000000"/>
        </w:rPr>
        <w:t>úhradu formou případového paušálu (PU</w:t>
      </w:r>
      <w:r w:rsidRPr="00842119">
        <w:rPr>
          <w:rStyle w:val="TextodstavceChar"/>
          <w:rFonts w:eastAsia="Times New Roman"/>
          <w:color w:val="000000"/>
          <w:vertAlign w:val="subscript"/>
        </w:rPr>
        <w:t>drg</w:t>
      </w:r>
      <w:r>
        <w:rPr>
          <w:rStyle w:val="TextodstavceChar"/>
          <w:rFonts w:eastAsia="Times New Roman"/>
          <w:color w:val="000000"/>
          <w:vertAlign w:val="subscript"/>
        </w:rPr>
        <w:t>alfa</w:t>
      </w:r>
      <w:r w:rsidRPr="00842119">
        <w:rPr>
          <w:rStyle w:val="TextodstavceChar"/>
          <w:rFonts w:eastAsia="Times New Roman"/>
          <w:color w:val="000000"/>
          <w:vertAlign w:val="subscript"/>
        </w:rPr>
        <w:t>2013</w:t>
      </w:r>
      <w:r w:rsidRPr="00842119">
        <w:rPr>
          <w:rStyle w:val="TextodstavceChar"/>
          <w:rFonts w:eastAsia="Times New Roman"/>
          <w:color w:val="000000"/>
        </w:rPr>
        <w:t xml:space="preserve">) </w:t>
      </w:r>
    </w:p>
    <w:p w:rsidR="001A76D4" w:rsidRPr="00E73B85" w:rsidRDefault="001A76D4" w:rsidP="00333665">
      <w:pPr>
        <w:numPr>
          <w:ilvl w:val="1"/>
          <w:numId w:val="1"/>
        </w:numPr>
        <w:tabs>
          <w:tab w:val="clear" w:pos="1440"/>
          <w:tab w:val="num" w:pos="1276"/>
          <w:tab w:val="left" w:pos="6804"/>
        </w:tabs>
        <w:suppressAutoHyphens w:val="0"/>
        <w:ind w:left="709" w:right="-142" w:firstLine="0"/>
        <w:rPr>
          <w:rStyle w:val="TextodstavceChar"/>
          <w:rFonts w:eastAsia="Times New Roman"/>
          <w:color w:val="000000"/>
        </w:rPr>
      </w:pPr>
      <w:r>
        <w:rPr>
          <w:rStyle w:val="TextodstavceChar"/>
          <w:rFonts w:eastAsia="Times New Roman"/>
          <w:color w:val="000000"/>
        </w:rPr>
        <w:t>úhradu vyčleněnou z úhrady formou případového paušálu (PU</w:t>
      </w:r>
      <w:r>
        <w:rPr>
          <w:rStyle w:val="TextodstavceChar"/>
          <w:rFonts w:eastAsia="Times New Roman"/>
          <w:color w:val="000000"/>
          <w:vertAlign w:val="subscript"/>
        </w:rPr>
        <w:t>drgbeta2013</w:t>
      </w:r>
      <w:r>
        <w:rPr>
          <w:rStyle w:val="TextodstavceChar"/>
          <w:rFonts w:eastAsia="Times New Roman"/>
          <w:color w:val="000000"/>
        </w:rPr>
        <w:t>),</w:t>
      </w:r>
    </w:p>
    <w:p w:rsidR="001A76D4" w:rsidRDefault="001A76D4" w:rsidP="00333665">
      <w:pPr>
        <w:numPr>
          <w:ilvl w:val="1"/>
          <w:numId w:val="1"/>
        </w:numPr>
        <w:tabs>
          <w:tab w:val="clear" w:pos="1440"/>
          <w:tab w:val="num" w:pos="1276"/>
          <w:tab w:val="left" w:pos="6804"/>
        </w:tabs>
        <w:suppressAutoHyphens w:val="0"/>
        <w:ind w:left="709" w:right="-142" w:firstLine="0"/>
        <w:rPr>
          <w:rStyle w:val="TextodstavceChar"/>
          <w:rFonts w:eastAsia="Times New Roman"/>
          <w:color w:val="000000"/>
        </w:rPr>
      </w:pPr>
      <w:r>
        <w:rPr>
          <w:rStyle w:val="TextodstavceChar"/>
          <w:rFonts w:eastAsia="Times New Roman"/>
          <w:color w:val="000000"/>
        </w:rPr>
        <w:t>individuálně smluvně sjednanou složku úhrady (ISU</w:t>
      </w:r>
      <w:r>
        <w:rPr>
          <w:rStyle w:val="TextodstavceChar"/>
          <w:rFonts w:eastAsia="Times New Roman"/>
          <w:color w:val="000000"/>
          <w:vertAlign w:val="subscript"/>
        </w:rPr>
        <w:t>2013</w:t>
      </w:r>
      <w:r>
        <w:rPr>
          <w:rStyle w:val="TextodstavceChar"/>
          <w:rFonts w:eastAsia="Times New Roman"/>
          <w:color w:val="000000"/>
        </w:rPr>
        <w:t>),</w:t>
      </w:r>
    </w:p>
    <w:p w:rsidR="001A76D4" w:rsidRDefault="001A76D4" w:rsidP="00333665">
      <w:pPr>
        <w:numPr>
          <w:ilvl w:val="1"/>
          <w:numId w:val="1"/>
        </w:numPr>
        <w:tabs>
          <w:tab w:val="clear" w:pos="1440"/>
          <w:tab w:val="num" w:pos="1276"/>
          <w:tab w:val="left" w:pos="6804"/>
        </w:tabs>
        <w:suppressAutoHyphens w:val="0"/>
        <w:ind w:left="709" w:right="-142" w:firstLine="0"/>
        <w:rPr>
          <w:rStyle w:val="TextodstavceChar"/>
          <w:rFonts w:eastAsia="Times New Roman"/>
          <w:color w:val="000000"/>
        </w:rPr>
      </w:pPr>
      <w:r>
        <w:rPr>
          <w:rStyle w:val="TextodstavceChar"/>
          <w:rFonts w:eastAsia="Times New Roman"/>
          <w:color w:val="000000"/>
        </w:rPr>
        <w:t>ambulantní složku úhrady (U</w:t>
      </w:r>
      <w:r>
        <w:rPr>
          <w:rStyle w:val="TextodstavceChar"/>
          <w:rFonts w:eastAsia="Times New Roman"/>
          <w:color w:val="000000"/>
          <w:vertAlign w:val="subscript"/>
        </w:rPr>
        <w:t>amb2013</w:t>
      </w:r>
      <w:r>
        <w:rPr>
          <w:rStyle w:val="TextodstavceChar"/>
          <w:rFonts w:eastAsia="Times New Roman"/>
          <w:color w:val="000000"/>
        </w:rPr>
        <w:t>).</w:t>
      </w:r>
    </w:p>
    <w:p w:rsidR="001A76D4" w:rsidRDefault="001A76D4" w:rsidP="00333665">
      <w:pPr>
        <w:tabs>
          <w:tab w:val="left" w:pos="6804"/>
        </w:tabs>
        <w:suppressAutoHyphens w:val="0"/>
        <w:ind w:left="709" w:right="-142"/>
        <w:rPr>
          <w:rStyle w:val="TextodstavceChar"/>
          <w:rFonts w:eastAsia="Times New Roman"/>
          <w:color w:val="000000"/>
        </w:rPr>
      </w:pPr>
    </w:p>
    <w:p w:rsidR="001A76D4" w:rsidRDefault="001A76D4" w:rsidP="00333665">
      <w:pPr>
        <w:tabs>
          <w:tab w:val="left" w:pos="6804"/>
        </w:tabs>
        <w:suppressAutoHyphens w:val="0"/>
        <w:ind w:left="1440" w:right="-142"/>
      </w:pPr>
    </w:p>
    <w:p w:rsidR="001A76D4" w:rsidRDefault="001A76D4" w:rsidP="00333665">
      <w:pPr>
        <w:autoSpaceDE w:val="0"/>
        <w:jc w:val="both"/>
        <w:rPr>
          <w:color w:val="000000"/>
        </w:rPr>
      </w:pPr>
      <w:r w:rsidRPr="007D6AEA">
        <w:rPr>
          <w:color w:val="000000"/>
        </w:rPr>
        <w:t>Refere</w:t>
      </w:r>
      <w:r>
        <w:rPr>
          <w:color w:val="000000"/>
        </w:rPr>
        <w:t>nčním obdobím se rozumí rok 201</w:t>
      </w:r>
      <w:r w:rsidR="005C5455">
        <w:rPr>
          <w:color w:val="000000"/>
        </w:rPr>
        <w:t>2</w:t>
      </w:r>
      <w:r w:rsidRPr="007D6AEA">
        <w:rPr>
          <w:color w:val="000000"/>
        </w:rPr>
        <w:t>. Do referenčního období je zařazena veškerá zdravotní péče poskytnutá po</w:t>
      </w:r>
      <w:r>
        <w:rPr>
          <w:color w:val="000000"/>
        </w:rPr>
        <w:t>jištěncům zdravotní pojišťovny v roce 201</w:t>
      </w:r>
      <w:r w:rsidR="005C5455">
        <w:rPr>
          <w:color w:val="000000"/>
        </w:rPr>
        <w:t>2</w:t>
      </w:r>
      <w:r w:rsidRPr="007D6AEA">
        <w:rPr>
          <w:color w:val="000000"/>
        </w:rPr>
        <w:t>, zdravotnickým zařízením vykázaná do 31. </w:t>
      </w:r>
      <w:r>
        <w:rPr>
          <w:color w:val="000000"/>
        </w:rPr>
        <w:t>3. 201</w:t>
      </w:r>
      <w:r w:rsidR="005C5455">
        <w:rPr>
          <w:color w:val="000000"/>
        </w:rPr>
        <w:t>3</w:t>
      </w:r>
      <w:r w:rsidRPr="007D6AEA">
        <w:rPr>
          <w:color w:val="000000"/>
        </w:rPr>
        <w:t xml:space="preserve"> a zdravotní p</w:t>
      </w:r>
      <w:r>
        <w:rPr>
          <w:color w:val="000000"/>
        </w:rPr>
        <w:t>ojišťovnou uznaná do 31. 5. 201</w:t>
      </w:r>
      <w:r w:rsidR="005C5455">
        <w:rPr>
          <w:color w:val="000000"/>
        </w:rPr>
        <w:t>3</w:t>
      </w:r>
      <w:r w:rsidRPr="007D6AEA">
        <w:rPr>
          <w:color w:val="000000"/>
        </w:rPr>
        <w:t>.</w:t>
      </w:r>
      <w:r w:rsidRPr="00CA57F7">
        <w:rPr>
          <w:color w:val="000000"/>
        </w:rPr>
        <w:t xml:space="preserve"> </w:t>
      </w:r>
    </w:p>
    <w:p w:rsidR="001A76D4" w:rsidRDefault="001A76D4" w:rsidP="00333665">
      <w:pPr>
        <w:autoSpaceDE w:val="0"/>
        <w:rPr>
          <w:color w:val="000000"/>
        </w:rPr>
      </w:pPr>
    </w:p>
    <w:p w:rsidR="001A76D4" w:rsidRDefault="001A76D4" w:rsidP="00333665">
      <w:pPr>
        <w:autoSpaceDE w:val="0"/>
        <w:rPr>
          <w:color w:val="000000"/>
        </w:rPr>
      </w:pPr>
    </w:p>
    <w:p w:rsidR="001A76D4" w:rsidRDefault="001A76D4" w:rsidP="00333665">
      <w:pPr>
        <w:autoSpaceDE w:val="0"/>
        <w:rPr>
          <w:color w:val="000000"/>
        </w:rPr>
      </w:pPr>
    </w:p>
    <w:p w:rsidR="001A76D4" w:rsidRDefault="001A76D4" w:rsidP="00333665">
      <w:pPr>
        <w:tabs>
          <w:tab w:val="left" w:pos="-426"/>
        </w:tabs>
        <w:autoSpaceDE w:val="0"/>
        <w:spacing w:after="200" w:line="276" w:lineRule="auto"/>
        <w:ind w:left="284" w:hanging="284"/>
        <w:jc w:val="both"/>
        <w:rPr>
          <w:color w:val="000000"/>
        </w:rPr>
      </w:pPr>
      <w:r>
        <w:rPr>
          <w:b/>
          <w:bCs/>
        </w:rPr>
        <w:t xml:space="preserve">1. </w:t>
      </w:r>
      <w:r>
        <w:rPr>
          <w:b/>
          <w:bCs/>
          <w:u w:val="single"/>
        </w:rPr>
        <w:t>Úhrada formou případového paušálu (</w:t>
      </w:r>
      <w:r>
        <w:rPr>
          <w:b/>
          <w:bCs/>
          <w:color w:val="000000"/>
          <w:u w:val="single"/>
        </w:rPr>
        <w:t>PU</w:t>
      </w:r>
      <w:r>
        <w:rPr>
          <w:b/>
          <w:bCs/>
          <w:color w:val="000000"/>
          <w:u w:val="single"/>
          <w:vertAlign w:val="subscript"/>
        </w:rPr>
        <w:t>drgalfa2013</w:t>
      </w:r>
      <w:r>
        <w:rPr>
          <w:b/>
          <w:bCs/>
          <w:color w:val="000000"/>
          <w:u w:val="single"/>
        </w:rPr>
        <w:t xml:space="preserve">) </w:t>
      </w:r>
      <w:r>
        <w:rPr>
          <w:color w:val="000000"/>
        </w:rPr>
        <w:t>zahrnuje úhradu za zdravotní péči zařazenou podle Klasifikace do skupin vztažených k diagnóze (DRG</w:t>
      </w:r>
      <w:r>
        <w:rPr>
          <w:color w:val="000000"/>
          <w:vertAlign w:val="subscript"/>
        </w:rPr>
        <w:t>alfa</w:t>
      </w:r>
      <w:r>
        <w:rPr>
          <w:color w:val="000000"/>
        </w:rPr>
        <w:t>) a stanoví se takto:</w:t>
      </w:r>
    </w:p>
    <w:p w:rsidR="001A76D4" w:rsidRDefault="001A76D4" w:rsidP="00333665">
      <w:pPr>
        <w:tabs>
          <w:tab w:val="left" w:pos="915"/>
          <w:tab w:val="left" w:pos="8895"/>
        </w:tabs>
        <w:autoSpaceDE w:val="0"/>
        <w:ind w:firstLine="284"/>
        <w:rPr>
          <w:b/>
          <w:color w:val="000000"/>
          <w:vertAlign w:val="subscript"/>
        </w:rPr>
      </w:pPr>
      <w:r>
        <w:rPr>
          <w:b/>
          <w:color w:val="000000"/>
        </w:rPr>
        <w:t>PU</w:t>
      </w:r>
      <w:r>
        <w:rPr>
          <w:b/>
          <w:color w:val="000000"/>
          <w:vertAlign w:val="subscript"/>
        </w:rPr>
        <w:t>drg2013</w:t>
      </w:r>
      <w:r>
        <w:rPr>
          <w:b/>
          <w:color w:val="000000"/>
        </w:rPr>
        <w:t xml:space="preserve"> = CM</w:t>
      </w:r>
      <w:r>
        <w:rPr>
          <w:b/>
          <w:color w:val="000000"/>
          <w:vertAlign w:val="subscript"/>
        </w:rPr>
        <w:t xml:space="preserve">red </w:t>
      </w:r>
      <w:r>
        <w:rPr>
          <w:b/>
          <w:color w:val="000000"/>
        </w:rPr>
        <w:t>* ZS</w:t>
      </w:r>
      <w:r>
        <w:rPr>
          <w:b/>
          <w:color w:val="000000"/>
          <w:vertAlign w:val="subscript"/>
        </w:rPr>
        <w:t>alfa2013</w:t>
      </w:r>
      <w:r>
        <w:rPr>
          <w:b/>
          <w:color w:val="000000"/>
        </w:rPr>
        <w:t xml:space="preserve"> – EXT</w:t>
      </w:r>
      <w:r>
        <w:rPr>
          <w:b/>
          <w:color w:val="000000"/>
          <w:vertAlign w:val="subscript"/>
        </w:rPr>
        <w:t>alfa2013</w:t>
      </w:r>
    </w:p>
    <w:p w:rsidR="001A76D4" w:rsidRDefault="001A76D4" w:rsidP="00333665">
      <w:pPr>
        <w:tabs>
          <w:tab w:val="left" w:pos="142"/>
        </w:tabs>
        <w:ind w:firstLine="426"/>
        <w:rPr>
          <w:b/>
        </w:rPr>
      </w:pPr>
    </w:p>
    <w:p w:rsidR="001A76D4" w:rsidRPr="00031BA4" w:rsidRDefault="001A76D4" w:rsidP="00333665">
      <w:pPr>
        <w:tabs>
          <w:tab w:val="left" w:pos="142"/>
        </w:tabs>
        <w:ind w:left="142" w:firstLine="142"/>
        <w:rPr>
          <w:b/>
        </w:rPr>
      </w:pPr>
      <w:r>
        <w:rPr>
          <w:b/>
        </w:rPr>
        <w:t>kde:</w:t>
      </w:r>
    </w:p>
    <w:p w:rsidR="001A76D4" w:rsidRDefault="001A76D4" w:rsidP="00333665">
      <w:pPr>
        <w:tabs>
          <w:tab w:val="left" w:pos="142"/>
        </w:tabs>
        <w:ind w:left="142" w:firstLine="426"/>
      </w:pPr>
    </w:p>
    <w:p w:rsidR="001A76D4" w:rsidRDefault="001A76D4" w:rsidP="00333665">
      <w:pPr>
        <w:tabs>
          <w:tab w:val="left" w:pos="-142"/>
        </w:tabs>
        <w:ind w:left="284" w:hanging="284"/>
        <w:rPr>
          <w:color w:val="000000"/>
        </w:rPr>
      </w:pPr>
      <w:r>
        <w:rPr>
          <w:color w:val="000000"/>
        </w:rPr>
        <w:tab/>
        <w:t>CM</w:t>
      </w:r>
      <w:r>
        <w:rPr>
          <w:color w:val="000000"/>
          <w:vertAlign w:val="subscript"/>
        </w:rPr>
        <w:t xml:space="preserve">red </w:t>
      </w:r>
      <w:r>
        <w:rPr>
          <w:color w:val="000000"/>
          <w:vertAlign w:val="subscript"/>
        </w:rPr>
        <w:tab/>
      </w:r>
      <w:r>
        <w:rPr>
          <w:color w:val="000000"/>
        </w:rPr>
        <w:t>redukovaná výše CM</w:t>
      </w:r>
      <w:r>
        <w:rPr>
          <w:color w:val="000000"/>
          <w:vertAlign w:val="subscript"/>
        </w:rPr>
        <w:t>alfa2013</w:t>
      </w:r>
      <w:r>
        <w:rPr>
          <w:color w:val="000000"/>
        </w:rPr>
        <w:t>, která se stanoví dle podmínek:</w:t>
      </w:r>
    </w:p>
    <w:p w:rsidR="001A76D4" w:rsidRDefault="001A76D4" w:rsidP="00333665">
      <w:pPr>
        <w:rPr>
          <w:color w:val="000000"/>
        </w:rPr>
      </w:pPr>
    </w:p>
    <w:p w:rsidR="001A76D4" w:rsidRPr="00422986" w:rsidRDefault="001A76D4" w:rsidP="00333665">
      <w:pPr>
        <w:numPr>
          <w:ilvl w:val="0"/>
          <w:numId w:val="2"/>
        </w:numPr>
        <w:tabs>
          <w:tab w:val="left" w:pos="993"/>
        </w:tabs>
        <w:spacing w:before="120"/>
        <w:ind w:left="1843" w:hanging="425"/>
        <w:rPr>
          <w:rFonts w:ascii="Wingdings" w:hAnsi="Wingdings"/>
        </w:rPr>
      </w:pPr>
      <w:r>
        <w:t>pokud poměr CM</w:t>
      </w:r>
      <w:r>
        <w:rPr>
          <w:vertAlign w:val="subscript"/>
        </w:rPr>
        <w:t>alfa2013</w:t>
      </w:r>
      <w:r>
        <w:t>/</w:t>
      </w:r>
      <w:r w:rsidR="000A149C">
        <w:t>(</w:t>
      </w:r>
      <w:r w:rsidRPr="00301FCB">
        <w:t>CM</w:t>
      </w:r>
      <w:r w:rsidRPr="00301FCB">
        <w:rPr>
          <w:vertAlign w:val="subscript"/>
        </w:rPr>
        <w:t>alfa201</w:t>
      </w:r>
      <w:r w:rsidR="005C5455" w:rsidRPr="00301FCB">
        <w:rPr>
          <w:vertAlign w:val="subscript"/>
        </w:rPr>
        <w:t>2</w:t>
      </w:r>
      <w:r w:rsidRPr="00301FCB">
        <w:t xml:space="preserve"> </w:t>
      </w:r>
      <w:r w:rsidR="000A149C" w:rsidRPr="00301FCB">
        <w:t>*Izp)</w:t>
      </w:r>
      <w:r w:rsidR="000A149C">
        <w:t xml:space="preserve"> </w:t>
      </w:r>
      <w:r>
        <w:t xml:space="preserve">je větší než </w:t>
      </w:r>
      <w:smartTag w:uri="urn:schemas-microsoft-com:office:smarttags" w:element="metricconverter">
        <w:smartTagPr>
          <w:attr w:name="ProductID" w:val="1,10 a"/>
        </w:smartTagPr>
        <w:r>
          <w:t>1,10 a</w:t>
        </w:r>
      </w:smartTag>
      <w:r>
        <w:t xml:space="preserve"> zároveň PP</w:t>
      </w:r>
      <w:r>
        <w:rPr>
          <w:vertAlign w:val="subscript"/>
        </w:rPr>
        <w:t>alfadrg</w:t>
      </w:r>
      <w:r>
        <w:t xml:space="preserve">  je větší než 1,05 potom </w:t>
      </w:r>
    </w:p>
    <w:p w:rsidR="001A76D4" w:rsidRDefault="001A76D4" w:rsidP="00333665">
      <w:pPr>
        <w:tabs>
          <w:tab w:val="left" w:pos="993"/>
        </w:tabs>
        <w:spacing w:before="120"/>
        <w:ind w:left="1985" w:hanging="567"/>
        <w:rPr>
          <w:shd w:val="clear" w:color="auto" w:fill="FFFF00"/>
        </w:rPr>
      </w:pPr>
      <w:r>
        <w:t xml:space="preserve"> </w:t>
      </w:r>
      <w:r>
        <w:tab/>
      </w:r>
      <w:r w:rsidRPr="00CE7938">
        <w:t>CM</w:t>
      </w:r>
      <w:r w:rsidRPr="00CE7938">
        <w:rPr>
          <w:vertAlign w:val="subscript"/>
        </w:rPr>
        <w:t>red</w:t>
      </w:r>
      <w:r w:rsidRPr="00CE7938">
        <w:t xml:space="preserve"> = CM</w:t>
      </w:r>
      <w:r w:rsidRPr="00CE7938">
        <w:rPr>
          <w:vertAlign w:val="subscript"/>
        </w:rPr>
        <w:t>alfa201</w:t>
      </w:r>
      <w:r w:rsidR="005C5455">
        <w:rPr>
          <w:vertAlign w:val="subscript"/>
        </w:rPr>
        <w:t>2</w:t>
      </w:r>
      <w:r w:rsidRPr="00CE7938">
        <w:t xml:space="preserve"> </w:t>
      </w:r>
      <w:r w:rsidR="004551D6">
        <w:t>*</w:t>
      </w:r>
      <w:r w:rsidRPr="00CE7938">
        <w:rPr>
          <w:rFonts w:ascii="Arial" w:hAnsi="Arial" w:cs="Arial"/>
          <w:sz w:val="20"/>
        </w:rPr>
        <w:t xml:space="preserve"> </w:t>
      </w:r>
      <w:r w:rsidRPr="00212368">
        <w:t>1,</w:t>
      </w:r>
      <w:r w:rsidRPr="00301FCB">
        <w:t>10</w:t>
      </w:r>
      <w:r w:rsidR="004551D6" w:rsidRPr="00301FCB">
        <w:t xml:space="preserve"> *Izp</w:t>
      </w:r>
    </w:p>
    <w:p w:rsidR="001A76D4" w:rsidRDefault="001A76D4" w:rsidP="00333665">
      <w:pPr>
        <w:tabs>
          <w:tab w:val="left" w:pos="993"/>
        </w:tabs>
        <w:spacing w:before="120"/>
        <w:ind w:left="1985" w:hanging="567"/>
        <w:rPr>
          <w:shd w:val="clear" w:color="auto" w:fill="FFFF00"/>
        </w:rPr>
      </w:pPr>
    </w:p>
    <w:p w:rsidR="001A76D4" w:rsidRPr="00CE7938" w:rsidRDefault="001A76D4" w:rsidP="00333665">
      <w:pPr>
        <w:tabs>
          <w:tab w:val="left" w:pos="993"/>
        </w:tabs>
        <w:ind w:left="1843" w:hanging="425"/>
        <w:rPr>
          <w:shd w:val="clear" w:color="auto" w:fill="FFFF00"/>
        </w:rPr>
      </w:pPr>
    </w:p>
    <w:p w:rsidR="000A149C" w:rsidRDefault="001A76D4" w:rsidP="00333665">
      <w:pPr>
        <w:numPr>
          <w:ilvl w:val="0"/>
          <w:numId w:val="2"/>
        </w:numPr>
        <w:tabs>
          <w:tab w:val="left" w:pos="-709"/>
        </w:tabs>
        <w:ind w:left="1843" w:hanging="425"/>
        <w:jc w:val="both"/>
      </w:pPr>
      <w:r>
        <w:t>pokud poměr CM</w:t>
      </w:r>
      <w:r>
        <w:rPr>
          <w:vertAlign w:val="subscript"/>
        </w:rPr>
        <w:t>alfa2013</w:t>
      </w:r>
      <w:r>
        <w:t>/</w:t>
      </w:r>
      <w:r w:rsidR="000A149C">
        <w:t>(</w:t>
      </w:r>
      <w:r w:rsidRPr="00301FCB">
        <w:t>CM</w:t>
      </w:r>
      <w:r w:rsidRPr="00301FCB">
        <w:rPr>
          <w:vertAlign w:val="subscript"/>
        </w:rPr>
        <w:t>alfa201</w:t>
      </w:r>
      <w:r w:rsidR="005C5455" w:rsidRPr="00301FCB">
        <w:rPr>
          <w:vertAlign w:val="subscript"/>
        </w:rPr>
        <w:t>2</w:t>
      </w:r>
      <w:r w:rsidR="000A149C" w:rsidRPr="00301FCB">
        <w:t>*Izp)</w:t>
      </w:r>
      <w:r w:rsidR="000A149C">
        <w:t xml:space="preserve"> </w:t>
      </w:r>
      <w:r>
        <w:t xml:space="preserve">je menší nebo roven </w:t>
      </w:r>
      <w:r w:rsidRPr="00AE1AD9">
        <w:t>1,</w:t>
      </w:r>
      <w:r>
        <w:t>10</w:t>
      </w:r>
      <w:r w:rsidRPr="00AE1AD9">
        <w:t xml:space="preserve"> </w:t>
      </w:r>
    </w:p>
    <w:p w:rsidR="001A76D4" w:rsidRDefault="001A76D4" w:rsidP="000A149C">
      <w:pPr>
        <w:tabs>
          <w:tab w:val="left" w:pos="-709"/>
        </w:tabs>
        <w:ind w:left="1843"/>
        <w:jc w:val="both"/>
      </w:pPr>
      <w:r>
        <w:t xml:space="preserve">a zároveň        </w:t>
      </w:r>
    </w:p>
    <w:p w:rsidR="001A76D4" w:rsidRDefault="001A76D4" w:rsidP="00333665">
      <w:pPr>
        <w:tabs>
          <w:tab w:val="left" w:pos="-709"/>
        </w:tabs>
        <w:ind w:left="1843" w:hanging="425"/>
        <w:jc w:val="both"/>
      </w:pPr>
      <w:r>
        <w:t xml:space="preserve">   </w:t>
      </w:r>
      <w:r>
        <w:tab/>
        <w:t>poměr CM</w:t>
      </w:r>
      <w:r>
        <w:rPr>
          <w:vertAlign w:val="subscript"/>
        </w:rPr>
        <w:t>alfa2013</w:t>
      </w:r>
      <w:r>
        <w:t>/</w:t>
      </w:r>
      <w:r w:rsidR="000A149C">
        <w:t>(</w:t>
      </w:r>
      <w:r>
        <w:t>CM</w:t>
      </w:r>
      <w:r>
        <w:rPr>
          <w:vertAlign w:val="subscript"/>
        </w:rPr>
        <w:t>alfa201</w:t>
      </w:r>
      <w:r w:rsidR="005C5455">
        <w:rPr>
          <w:vertAlign w:val="subscript"/>
        </w:rPr>
        <w:t>2</w:t>
      </w:r>
      <w:r w:rsidR="000A149C" w:rsidRPr="00301FCB">
        <w:t>*Izp)</w:t>
      </w:r>
      <w:r>
        <w:rPr>
          <w:vertAlign w:val="subscript"/>
        </w:rPr>
        <w:t xml:space="preserve"> </w:t>
      </w:r>
      <w:r>
        <w:t xml:space="preserve"> není větší než PP</w:t>
      </w:r>
      <w:r>
        <w:rPr>
          <w:vertAlign w:val="subscript"/>
        </w:rPr>
        <w:t xml:space="preserve">alfadrg  </w:t>
      </w:r>
      <w:r>
        <w:t>+ 0,05 potom</w:t>
      </w:r>
    </w:p>
    <w:p w:rsidR="001A76D4" w:rsidRDefault="001A76D4" w:rsidP="00333665">
      <w:pPr>
        <w:tabs>
          <w:tab w:val="left" w:pos="1418"/>
        </w:tabs>
        <w:spacing w:before="120"/>
        <w:ind w:left="1985" w:hanging="567"/>
      </w:pPr>
      <w:r>
        <w:tab/>
        <w:t>CM</w:t>
      </w:r>
      <w:r>
        <w:rPr>
          <w:vertAlign w:val="subscript"/>
        </w:rPr>
        <w:t>red</w:t>
      </w:r>
      <w:r>
        <w:t xml:space="preserve"> = CM</w:t>
      </w:r>
      <w:r>
        <w:rPr>
          <w:vertAlign w:val="subscript"/>
        </w:rPr>
        <w:t>alfa2013</w:t>
      </w:r>
      <w:r>
        <w:t xml:space="preserve"> </w:t>
      </w:r>
    </w:p>
    <w:p w:rsidR="001A76D4" w:rsidRDefault="001A76D4" w:rsidP="00333665">
      <w:pPr>
        <w:tabs>
          <w:tab w:val="left" w:pos="1418"/>
        </w:tabs>
        <w:spacing w:before="120"/>
        <w:ind w:left="1985" w:hanging="567"/>
      </w:pPr>
    </w:p>
    <w:p w:rsidR="001A76D4" w:rsidRDefault="001A76D4" w:rsidP="00333665">
      <w:pPr>
        <w:numPr>
          <w:ilvl w:val="0"/>
          <w:numId w:val="2"/>
        </w:numPr>
        <w:tabs>
          <w:tab w:val="left" w:pos="-709"/>
        </w:tabs>
        <w:ind w:left="1843" w:hanging="425"/>
        <w:jc w:val="both"/>
      </w:pPr>
      <w:r>
        <w:t>pokud nejsou splněny podmínky dle písm. a) nebo b) pak CM</w:t>
      </w:r>
      <w:r>
        <w:rPr>
          <w:vertAlign w:val="subscript"/>
        </w:rPr>
        <w:t>alfa2013</w:t>
      </w:r>
      <w:r>
        <w:t xml:space="preserve"> se snižuje o takový počet procentních bodů, který tvoří rozdíl mezi CM</w:t>
      </w:r>
      <w:r>
        <w:rPr>
          <w:vertAlign w:val="subscript"/>
        </w:rPr>
        <w:t>alfa2013</w:t>
      </w:r>
      <w:r>
        <w:t>/</w:t>
      </w:r>
      <w:r w:rsidR="000A149C">
        <w:t>(</w:t>
      </w:r>
      <w:r>
        <w:t>CM</w:t>
      </w:r>
      <w:r>
        <w:rPr>
          <w:vertAlign w:val="subscript"/>
        </w:rPr>
        <w:t>alfa201</w:t>
      </w:r>
      <w:r w:rsidR="005C5455">
        <w:rPr>
          <w:vertAlign w:val="subscript"/>
        </w:rPr>
        <w:t>2</w:t>
      </w:r>
      <w:r w:rsidR="000A149C" w:rsidRPr="00301FCB">
        <w:t>*Izp)</w:t>
      </w:r>
      <w:r>
        <w:rPr>
          <w:vertAlign w:val="subscript"/>
        </w:rPr>
        <w:t xml:space="preserve"> </w:t>
      </w:r>
      <w:r w:rsidRPr="006C66D0">
        <w:t>a</w:t>
      </w:r>
      <w:r>
        <w:rPr>
          <w:vertAlign w:val="subscript"/>
        </w:rPr>
        <w:t xml:space="preserve"> </w:t>
      </w:r>
      <w:r>
        <w:t>PP</w:t>
      </w:r>
      <w:r>
        <w:rPr>
          <w:vertAlign w:val="subscript"/>
        </w:rPr>
        <w:t xml:space="preserve">alfadrg  </w:t>
      </w:r>
      <w:r>
        <w:t xml:space="preserve">+ 0,05 </w:t>
      </w:r>
    </w:p>
    <w:p w:rsidR="005C5455" w:rsidRDefault="005C5455" w:rsidP="005C5455">
      <w:pPr>
        <w:tabs>
          <w:tab w:val="left" w:pos="-709"/>
        </w:tabs>
        <w:ind w:left="1843"/>
        <w:jc w:val="both"/>
      </w:pPr>
    </w:p>
    <w:p w:rsidR="001A76D4" w:rsidRDefault="001A76D4" w:rsidP="00333665">
      <w:pPr>
        <w:tabs>
          <w:tab w:val="left" w:pos="-142"/>
        </w:tabs>
        <w:ind w:left="1134" w:hanging="1134"/>
        <w:jc w:val="both"/>
        <w:rPr>
          <w:color w:val="000000"/>
        </w:rPr>
      </w:pPr>
      <w:r>
        <w:rPr>
          <w:color w:val="000000"/>
        </w:rPr>
        <w:t xml:space="preserve">   </w:t>
      </w:r>
      <w:r w:rsidRPr="00EF41EC">
        <w:rPr>
          <w:color w:val="000000"/>
        </w:rPr>
        <w:t>PP</w:t>
      </w:r>
      <w:r w:rsidRPr="00F00A99">
        <w:rPr>
          <w:color w:val="000000"/>
          <w:vertAlign w:val="subscript"/>
        </w:rPr>
        <w:t>alfa</w:t>
      </w:r>
      <w:r w:rsidRPr="00EF41EC">
        <w:rPr>
          <w:color w:val="000000"/>
        </w:rPr>
        <w:tab/>
      </w:r>
      <w:r>
        <w:rPr>
          <w:color w:val="000000"/>
        </w:rPr>
        <w:t>poměr počtu vykázaných a uznaných hospitalizací ukončených v roce 2013</w:t>
      </w:r>
      <w:r w:rsidRPr="00EF41EC">
        <w:rPr>
          <w:color w:val="000000"/>
        </w:rPr>
        <w:t xml:space="preserve">, </w:t>
      </w:r>
      <w:r>
        <w:rPr>
          <w:color w:val="000000"/>
        </w:rPr>
        <w:t xml:space="preserve">zařazených do skupin vztažených k příslušné diagnóze podle Klasifikace a </w:t>
      </w:r>
      <w:r>
        <w:rPr>
          <w:color w:val="000000"/>
        </w:rPr>
        <w:lastRenderedPageBreak/>
        <w:t>vykázaného a uznaného počtu hospitalizací ukončených v roce 201</w:t>
      </w:r>
      <w:r w:rsidR="005C5455">
        <w:rPr>
          <w:color w:val="000000"/>
        </w:rPr>
        <w:t>2</w:t>
      </w:r>
      <w:r w:rsidRPr="00EF41EC">
        <w:rPr>
          <w:color w:val="000000"/>
        </w:rPr>
        <w:t>, zařazených do skupin vztažených k diagnóze podle Klasifikace</w:t>
      </w:r>
      <w:r w:rsidR="004551D6">
        <w:rPr>
          <w:color w:val="000000"/>
        </w:rPr>
        <w:t xml:space="preserve"> a vynásobených indexem změnu počtu pojištěnců</w:t>
      </w:r>
      <w:r w:rsidRPr="00EF41EC">
        <w:rPr>
          <w:color w:val="000000"/>
        </w:rPr>
        <w:t>.</w:t>
      </w:r>
    </w:p>
    <w:p w:rsidR="001A76D4" w:rsidRDefault="001A76D4" w:rsidP="00333665">
      <w:pPr>
        <w:tabs>
          <w:tab w:val="left" w:pos="-142"/>
        </w:tabs>
        <w:ind w:left="284" w:hanging="284"/>
        <w:jc w:val="both"/>
        <w:rPr>
          <w:color w:val="000000"/>
        </w:rPr>
      </w:pPr>
    </w:p>
    <w:p w:rsidR="004551D6" w:rsidRPr="00EF41EC" w:rsidRDefault="004551D6" w:rsidP="004551D6">
      <w:pPr>
        <w:tabs>
          <w:tab w:val="left" w:pos="-142"/>
        </w:tabs>
        <w:ind w:left="1134" w:hanging="1134"/>
        <w:jc w:val="both"/>
        <w:rPr>
          <w:color w:val="000000"/>
        </w:rPr>
      </w:pPr>
      <w:r w:rsidRPr="00301FCB">
        <w:rPr>
          <w:color w:val="000000"/>
        </w:rPr>
        <w:t>Izp        index meziroční změny počtu pojištěnců dle kraje a zdravotní pojišťovny (stav k 1.1.2013  a k 1.1.2012)</w:t>
      </w:r>
      <w:r w:rsidR="004742F9" w:rsidRPr="00301FCB">
        <w:rPr>
          <w:color w:val="000000"/>
        </w:rPr>
        <w:t>. V případě, že index bude menší než 1, použije se pro výpočet hodnota 1.</w:t>
      </w:r>
      <w:r w:rsidR="004742F9">
        <w:rPr>
          <w:color w:val="000000"/>
        </w:rPr>
        <w:t xml:space="preserve">  </w:t>
      </w:r>
    </w:p>
    <w:p w:rsidR="001A76D4" w:rsidRDefault="001A76D4" w:rsidP="00333665">
      <w:pPr>
        <w:tabs>
          <w:tab w:val="left" w:pos="-142"/>
        </w:tabs>
        <w:ind w:left="284" w:hanging="284"/>
        <w:rPr>
          <w:color w:val="000000"/>
        </w:rPr>
      </w:pPr>
    </w:p>
    <w:p w:rsidR="004551D6" w:rsidRDefault="004551D6" w:rsidP="00333665">
      <w:pPr>
        <w:tabs>
          <w:tab w:val="left" w:pos="-142"/>
        </w:tabs>
        <w:ind w:left="284" w:hanging="284"/>
        <w:rPr>
          <w:color w:val="000000"/>
        </w:rPr>
      </w:pPr>
    </w:p>
    <w:p w:rsidR="001A76D4" w:rsidRPr="002C1462" w:rsidRDefault="001A76D4" w:rsidP="00333665">
      <w:pPr>
        <w:tabs>
          <w:tab w:val="left" w:pos="1755"/>
        </w:tabs>
        <w:rPr>
          <w:i/>
        </w:rPr>
      </w:pPr>
      <w:r w:rsidRPr="0001240F">
        <w:rPr>
          <w:i/>
          <w:highlight w:val="green"/>
        </w:rPr>
        <w:t>varianta a</w:t>
      </w:r>
    </w:p>
    <w:p w:rsidR="001A76D4" w:rsidRDefault="001A76D4" w:rsidP="00333665">
      <w:pPr>
        <w:tabs>
          <w:tab w:val="left" w:pos="-851"/>
        </w:tabs>
        <w:ind w:left="851" w:hanging="567"/>
        <w:jc w:val="both"/>
        <w:rPr>
          <w:color w:val="000000"/>
        </w:rPr>
      </w:pPr>
      <w:r>
        <w:rPr>
          <w:color w:val="000000"/>
        </w:rPr>
        <w:t>ZS</w:t>
      </w:r>
      <w:r>
        <w:rPr>
          <w:color w:val="000000"/>
          <w:vertAlign w:val="subscript"/>
        </w:rPr>
        <w:t xml:space="preserve">alfa2013 </w:t>
      </w:r>
      <w:r>
        <w:rPr>
          <w:color w:val="000000"/>
          <w:vertAlign w:val="subscript"/>
        </w:rPr>
        <w:tab/>
      </w:r>
      <w:r>
        <w:rPr>
          <w:color w:val="000000"/>
        </w:rPr>
        <w:t xml:space="preserve">základní sazba pro úhradu formou případového paušálu, která se pro rok 2013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>vypočte takto:</w:t>
      </w:r>
    </w:p>
    <w:p w:rsidR="001A76D4" w:rsidRDefault="001A76D4" w:rsidP="00333665">
      <w:pPr>
        <w:tabs>
          <w:tab w:val="left" w:pos="993"/>
        </w:tabs>
        <w:ind w:left="142"/>
        <w:rPr>
          <w:color w:val="000000"/>
        </w:rPr>
      </w:pPr>
    </w:p>
    <w:p w:rsidR="001A76D4" w:rsidRDefault="001A76D4" w:rsidP="00333665">
      <w:r>
        <w:rPr>
          <w:color w:val="000000"/>
        </w:rPr>
        <w:tab/>
      </w:r>
      <w:r>
        <w:rPr>
          <w:color w:val="000000"/>
        </w:rPr>
        <w:tab/>
      </w:r>
      <w:r>
        <w:t>ZS</w:t>
      </w:r>
      <w:r>
        <w:rPr>
          <w:vertAlign w:val="subscript"/>
        </w:rPr>
        <w:t>alfa2013</w:t>
      </w:r>
      <w:r>
        <w:t xml:space="preserve"> = [IZS</w:t>
      </w:r>
      <w:r>
        <w:rPr>
          <w:vertAlign w:val="subscript"/>
        </w:rPr>
        <w:t>alfa201</w:t>
      </w:r>
      <w:r w:rsidR="005C5455">
        <w:rPr>
          <w:vertAlign w:val="subscript"/>
        </w:rPr>
        <w:t>2</w:t>
      </w:r>
      <w:r>
        <w:t xml:space="preserve"> </w:t>
      </w:r>
      <w:r w:rsidRPr="005C5455">
        <w:t>*</w:t>
      </w:r>
      <w:r>
        <w:t xml:space="preserve"> 1,07 </w:t>
      </w:r>
      <w:r>
        <w:rPr>
          <w:rFonts w:ascii="Arial" w:hAnsi="Arial" w:cs="Arial"/>
          <w:sz w:val="20"/>
        </w:rPr>
        <w:t>*</w:t>
      </w:r>
      <w:r>
        <w:t xml:space="preserve"> (1 − Kp) + (ZS</w:t>
      </w:r>
      <w:r>
        <w:rPr>
          <w:vertAlign w:val="subscript"/>
        </w:rPr>
        <w:t>ref</w:t>
      </w:r>
      <w:r>
        <w:t xml:space="preserve"> </w:t>
      </w:r>
      <w:r>
        <w:rPr>
          <w:rFonts w:ascii="Arial" w:hAnsi="Arial" w:cs="Arial"/>
          <w:sz w:val="20"/>
        </w:rPr>
        <w:t>*</w:t>
      </w:r>
      <w:r>
        <w:t xml:space="preserve"> Kp)] </w:t>
      </w:r>
      <w:r w:rsidRPr="00930B16">
        <w:rPr>
          <w:rFonts w:ascii="Arial" w:hAnsi="Arial" w:cs="Arial"/>
          <w:sz w:val="20"/>
        </w:rPr>
        <w:t>*</w:t>
      </w:r>
      <w:r w:rsidRPr="00930B16">
        <w:t xml:space="preserve"> Kn</w:t>
      </w:r>
      <w:r w:rsidRPr="00930B16">
        <w:rPr>
          <w:vertAlign w:val="subscript"/>
        </w:rPr>
        <w:t>alfa</w:t>
      </w:r>
    </w:p>
    <w:p w:rsidR="001A76D4" w:rsidRDefault="001A76D4" w:rsidP="00333665">
      <w:pPr>
        <w:tabs>
          <w:tab w:val="left" w:pos="-1843"/>
          <w:tab w:val="left" w:pos="-1134"/>
        </w:tabs>
        <w:rPr>
          <w:b/>
          <w:color w:val="000000"/>
        </w:rPr>
      </w:pPr>
    </w:p>
    <w:p w:rsidR="001A76D4" w:rsidRDefault="001A76D4" w:rsidP="00333665">
      <w:pPr>
        <w:tabs>
          <w:tab w:val="left" w:pos="-1843"/>
          <w:tab w:val="left" w:pos="-1134"/>
        </w:tabs>
        <w:rPr>
          <w:b/>
          <w:color w:val="000000"/>
        </w:rPr>
      </w:pPr>
      <w:r w:rsidRPr="00EF41EC">
        <w:rPr>
          <w:b/>
          <w:color w:val="000000"/>
        </w:rPr>
        <w:t>kde:</w:t>
      </w:r>
    </w:p>
    <w:p w:rsidR="001A76D4" w:rsidRDefault="001A76D4" w:rsidP="00333665">
      <w:pPr>
        <w:tabs>
          <w:tab w:val="left" w:pos="-1843"/>
          <w:tab w:val="left" w:pos="-1134"/>
        </w:tabs>
        <w:rPr>
          <w:b/>
          <w:color w:val="000000"/>
        </w:rPr>
      </w:pPr>
    </w:p>
    <w:p w:rsidR="001A76D4" w:rsidRPr="00717779" w:rsidRDefault="001A76D4" w:rsidP="00333665">
      <w:pPr>
        <w:tabs>
          <w:tab w:val="left" w:pos="-1134"/>
          <w:tab w:val="left" w:pos="-993"/>
          <w:tab w:val="left" w:pos="-284"/>
          <w:tab w:val="left" w:pos="567"/>
          <w:tab w:val="left" w:pos="1843"/>
        </w:tabs>
        <w:ind w:left="1985" w:hanging="1985"/>
        <w:jc w:val="both"/>
      </w:pPr>
      <w:r>
        <w:tab/>
        <w:t>IZS</w:t>
      </w:r>
      <w:r>
        <w:rPr>
          <w:vertAlign w:val="subscript"/>
        </w:rPr>
        <w:t>alfa201</w:t>
      </w:r>
      <w:r w:rsidR="005C5455">
        <w:rPr>
          <w:vertAlign w:val="subscript"/>
        </w:rPr>
        <w:t>2</w:t>
      </w:r>
      <w:r>
        <w:rPr>
          <w:vertAlign w:val="subscript"/>
        </w:rPr>
        <w:tab/>
      </w:r>
      <w:r>
        <w:t>individuální základní sazba použita při vyúčtování r</w:t>
      </w:r>
      <w:r w:rsidRPr="007D7533">
        <w:t xml:space="preserve">. </w:t>
      </w:r>
      <w:r w:rsidRPr="005C5455">
        <w:t>201</w:t>
      </w:r>
      <w:r w:rsidR="005C5455">
        <w:t>2</w:t>
      </w:r>
    </w:p>
    <w:p w:rsidR="001A76D4" w:rsidRDefault="001A76D4" w:rsidP="00333665">
      <w:pPr>
        <w:tabs>
          <w:tab w:val="left" w:pos="-284"/>
          <w:tab w:val="left" w:pos="567"/>
          <w:tab w:val="left" w:pos="1843"/>
        </w:tabs>
        <w:ind w:left="1985" w:hanging="1985"/>
        <w:jc w:val="both"/>
        <w:rPr>
          <w:color w:val="000000"/>
          <w:shd w:val="clear" w:color="auto" w:fill="FFFF00"/>
        </w:rPr>
      </w:pPr>
      <w:r>
        <w:tab/>
        <w:t>Kp</w:t>
      </w:r>
      <w:r>
        <w:tab/>
      </w:r>
      <w:r>
        <w:rPr>
          <w:color w:val="000000"/>
        </w:rPr>
        <w:t xml:space="preserve">přibližovací koeficient stanovený pro rok 2013 </w:t>
      </w:r>
      <w:r w:rsidRPr="00AE1AD9">
        <w:rPr>
          <w:color w:val="000000"/>
        </w:rPr>
        <w:t>ve výši 0,</w:t>
      </w:r>
      <w:r>
        <w:rPr>
          <w:color w:val="000000"/>
        </w:rPr>
        <w:t>5</w:t>
      </w:r>
    </w:p>
    <w:p w:rsidR="001A76D4" w:rsidRDefault="001A76D4" w:rsidP="00333665">
      <w:pPr>
        <w:tabs>
          <w:tab w:val="left" w:pos="-1134"/>
          <w:tab w:val="left" w:pos="-993"/>
          <w:tab w:val="left" w:pos="-284"/>
          <w:tab w:val="left" w:pos="567"/>
          <w:tab w:val="left" w:pos="1843"/>
        </w:tabs>
        <w:ind w:left="1985" w:hanging="1985"/>
        <w:jc w:val="both"/>
        <w:rPr>
          <w:color w:val="000000"/>
        </w:rPr>
      </w:pPr>
      <w:r>
        <w:tab/>
        <w:t>ZS</w:t>
      </w:r>
      <w:r w:rsidRPr="00D659D2">
        <w:rPr>
          <w:vertAlign w:val="subscript"/>
        </w:rPr>
        <w:t>ref</w:t>
      </w:r>
      <w:r w:rsidRPr="00EF41EC">
        <w:tab/>
        <w:t>referenční (celostátní) základní sazba stanovená pro rok</w:t>
      </w:r>
      <w:r>
        <w:rPr>
          <w:color w:val="000000"/>
        </w:rPr>
        <w:t xml:space="preserve"> 2013 ve výši 31 565 Kč ( 29 500 Kč x 1,07)</w:t>
      </w:r>
    </w:p>
    <w:p w:rsidR="005C5455" w:rsidRDefault="001A76D4" w:rsidP="00333665">
      <w:pPr>
        <w:tabs>
          <w:tab w:val="left" w:pos="-284"/>
          <w:tab w:val="left" w:pos="567"/>
          <w:tab w:val="left" w:pos="1843"/>
        </w:tabs>
        <w:ind w:left="1985" w:hanging="1985"/>
        <w:jc w:val="both"/>
      </w:pPr>
      <w:r>
        <w:t xml:space="preserve">         </w:t>
      </w:r>
      <w:r w:rsidRPr="00930B16">
        <w:t>Kn</w:t>
      </w:r>
      <w:r w:rsidRPr="00930B16">
        <w:rPr>
          <w:vertAlign w:val="subscript"/>
        </w:rPr>
        <w:t>alfa</w:t>
      </w:r>
      <w:r w:rsidRPr="00930B16">
        <w:tab/>
      </w:r>
      <w:r>
        <w:t>min (1; index nárůstu pojistného za rok 2013 vůči roku 2011)</w:t>
      </w:r>
      <w:r>
        <w:tab/>
      </w:r>
    </w:p>
    <w:p w:rsidR="005C5455" w:rsidRDefault="005C5455" w:rsidP="00333665">
      <w:pPr>
        <w:tabs>
          <w:tab w:val="left" w:pos="-284"/>
          <w:tab w:val="left" w:pos="567"/>
          <w:tab w:val="left" w:pos="1843"/>
        </w:tabs>
        <w:ind w:left="1985" w:hanging="1985"/>
        <w:jc w:val="both"/>
      </w:pPr>
    </w:p>
    <w:p w:rsidR="005C5455" w:rsidRPr="005C5455" w:rsidRDefault="005C5455" w:rsidP="00333665">
      <w:pPr>
        <w:tabs>
          <w:tab w:val="left" w:pos="-284"/>
          <w:tab w:val="left" w:pos="567"/>
          <w:tab w:val="left" w:pos="1843"/>
        </w:tabs>
        <w:ind w:left="1985" w:hanging="1985"/>
        <w:jc w:val="both"/>
        <w:rPr>
          <w:i/>
        </w:rPr>
      </w:pPr>
      <w:r w:rsidRPr="005C5455">
        <w:rPr>
          <w:i/>
        </w:rPr>
        <w:t xml:space="preserve">Variantní </w:t>
      </w:r>
      <w:r w:rsidR="004061D7">
        <w:rPr>
          <w:i/>
        </w:rPr>
        <w:t>návrh</w:t>
      </w:r>
      <w:r w:rsidRPr="005C5455">
        <w:rPr>
          <w:i/>
        </w:rPr>
        <w:t xml:space="preserve"> </w:t>
      </w:r>
    </w:p>
    <w:p w:rsidR="005C5455" w:rsidRPr="005C5455" w:rsidRDefault="005C5455" w:rsidP="005C5455">
      <w:pPr>
        <w:tabs>
          <w:tab w:val="left" w:pos="-284"/>
          <w:tab w:val="left" w:pos="567"/>
          <w:tab w:val="left" w:pos="1843"/>
        </w:tabs>
        <w:ind w:left="1985" w:hanging="1985"/>
        <w:jc w:val="both"/>
        <w:rPr>
          <w:i/>
        </w:rPr>
      </w:pPr>
      <w:r w:rsidRPr="005C5455">
        <w:rPr>
          <w:i/>
        </w:rPr>
        <w:t xml:space="preserve">         Kn</w:t>
      </w:r>
      <w:r w:rsidRPr="005C5455">
        <w:rPr>
          <w:i/>
          <w:vertAlign w:val="subscript"/>
        </w:rPr>
        <w:t>alfa</w:t>
      </w:r>
      <w:r w:rsidRPr="005C5455">
        <w:rPr>
          <w:i/>
        </w:rPr>
        <w:tab/>
        <w:t xml:space="preserve">index meziroční inflace </w:t>
      </w:r>
      <w:r>
        <w:rPr>
          <w:i/>
        </w:rPr>
        <w:t>k 1.1.2013</w:t>
      </w:r>
    </w:p>
    <w:p w:rsidR="005C5455" w:rsidRDefault="005C5455" w:rsidP="005C5455">
      <w:pPr>
        <w:tabs>
          <w:tab w:val="left" w:pos="-284"/>
          <w:tab w:val="left" w:pos="567"/>
          <w:tab w:val="left" w:pos="1843"/>
        </w:tabs>
        <w:ind w:left="1985" w:hanging="1985"/>
        <w:jc w:val="both"/>
      </w:pPr>
    </w:p>
    <w:p w:rsidR="001A76D4" w:rsidRDefault="001A76D4" w:rsidP="00333665">
      <w:pPr>
        <w:tabs>
          <w:tab w:val="left" w:pos="-284"/>
          <w:tab w:val="left" w:pos="567"/>
          <w:tab w:val="left" w:pos="1843"/>
        </w:tabs>
        <w:ind w:left="1985" w:hanging="1985"/>
        <w:jc w:val="both"/>
      </w:pPr>
      <w:r>
        <w:tab/>
      </w:r>
    </w:p>
    <w:p w:rsidR="001A76D4" w:rsidRPr="00BC0FA0" w:rsidRDefault="001A76D4" w:rsidP="00333665">
      <w:pPr>
        <w:tabs>
          <w:tab w:val="left" w:pos="567"/>
          <w:tab w:val="left" w:pos="1843"/>
        </w:tabs>
        <w:ind w:left="1843" w:hanging="1985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 w:rsidRPr="00F844ED">
        <w:rPr>
          <w:color w:val="000000"/>
        </w:rPr>
        <w:t>EXT</w:t>
      </w:r>
      <w:r>
        <w:rPr>
          <w:color w:val="000000"/>
          <w:vertAlign w:val="subscript"/>
        </w:rPr>
        <w:t>alfa2013</w:t>
      </w:r>
      <w:r w:rsidRPr="00F844ED">
        <w:rPr>
          <w:color w:val="000000"/>
          <w:vertAlign w:val="subscript"/>
        </w:rPr>
        <w:tab/>
      </w:r>
      <w:r w:rsidRPr="00F844ED">
        <w:rPr>
          <w:color w:val="000000"/>
        </w:rPr>
        <w:t>úhrada za vyžádanou péči, poskytnutou</w:t>
      </w:r>
      <w:r>
        <w:rPr>
          <w:color w:val="000000"/>
        </w:rPr>
        <w:t xml:space="preserve"> jiným IČZ, při hospitalizacích zařazených do DRG</w:t>
      </w:r>
      <w:r>
        <w:rPr>
          <w:color w:val="000000"/>
          <w:vertAlign w:val="subscript"/>
        </w:rPr>
        <w:t>alfa</w:t>
      </w:r>
      <w:r>
        <w:rPr>
          <w:color w:val="000000"/>
        </w:rPr>
        <w:t>, stanovená výkonově s hodnotou bodu platnou pro příslušný segment</w:t>
      </w:r>
      <w:r w:rsidR="004551D6">
        <w:rPr>
          <w:color w:val="000000"/>
        </w:rPr>
        <w:t xml:space="preserve">. </w:t>
      </w:r>
    </w:p>
    <w:p w:rsidR="001A76D4" w:rsidRDefault="001A76D4" w:rsidP="00333665">
      <w:pPr>
        <w:tabs>
          <w:tab w:val="left" w:pos="0"/>
          <w:tab w:val="left" w:pos="567"/>
          <w:tab w:val="left" w:pos="1843"/>
        </w:tabs>
        <w:autoSpaceDE w:val="0"/>
        <w:rPr>
          <w:color w:val="000000"/>
        </w:rPr>
      </w:pPr>
    </w:p>
    <w:p w:rsidR="001A76D4" w:rsidRDefault="001A76D4" w:rsidP="00333665">
      <w:pPr>
        <w:tabs>
          <w:tab w:val="left" w:pos="0"/>
          <w:tab w:val="left" w:pos="567"/>
          <w:tab w:val="left" w:pos="1843"/>
        </w:tabs>
        <w:autoSpaceDE w:val="0"/>
        <w:rPr>
          <w:color w:val="000000"/>
        </w:rPr>
      </w:pPr>
    </w:p>
    <w:p w:rsidR="001A76D4" w:rsidRPr="002C1462" w:rsidRDefault="001A76D4" w:rsidP="00333665">
      <w:pPr>
        <w:tabs>
          <w:tab w:val="left" w:pos="1755"/>
        </w:tabs>
        <w:rPr>
          <w:i/>
        </w:rPr>
      </w:pPr>
      <w:r w:rsidRPr="0001240F">
        <w:rPr>
          <w:i/>
          <w:highlight w:val="green"/>
        </w:rPr>
        <w:t>varianta b</w:t>
      </w:r>
    </w:p>
    <w:p w:rsidR="001A76D4" w:rsidRPr="00FC22D7" w:rsidRDefault="001A76D4" w:rsidP="005C5455">
      <w:pPr>
        <w:tabs>
          <w:tab w:val="left" w:pos="-851"/>
        </w:tabs>
        <w:ind w:left="1843" w:hanging="1276"/>
        <w:jc w:val="both"/>
        <w:rPr>
          <w:color w:val="000000"/>
          <w:highlight w:val="yellow"/>
          <w:vertAlign w:val="subscript"/>
        </w:rPr>
      </w:pPr>
      <w:r>
        <w:rPr>
          <w:color w:val="000000"/>
        </w:rPr>
        <w:t>ZS</w:t>
      </w:r>
      <w:r>
        <w:rPr>
          <w:color w:val="000000"/>
          <w:vertAlign w:val="subscript"/>
        </w:rPr>
        <w:t xml:space="preserve">alfa2013 </w:t>
      </w:r>
      <w:r>
        <w:rPr>
          <w:color w:val="000000"/>
          <w:vertAlign w:val="subscript"/>
        </w:rPr>
        <w:tab/>
      </w:r>
      <w:r>
        <w:rPr>
          <w:color w:val="000000"/>
        </w:rPr>
        <w:t>jednotná základní sazba pro úhradu formou případového paušálu, která se pro rok 2013 stanoví ve výši 31 </w:t>
      </w:r>
      <w:r w:rsidRPr="00301FCB">
        <w:rPr>
          <w:color w:val="000000"/>
        </w:rPr>
        <w:t>565  Kč</w:t>
      </w:r>
      <w:r w:rsidR="004742F9" w:rsidRPr="00301FCB">
        <w:rPr>
          <w:color w:val="000000"/>
        </w:rPr>
        <w:t xml:space="preserve"> * Kn</w:t>
      </w:r>
      <w:r w:rsidR="004742F9" w:rsidRPr="00301FCB">
        <w:rPr>
          <w:color w:val="000000"/>
          <w:vertAlign w:val="subscript"/>
        </w:rPr>
        <w:t>alfa</w:t>
      </w:r>
    </w:p>
    <w:p w:rsidR="008527D1" w:rsidRDefault="008527D1" w:rsidP="008527D1">
      <w:pPr>
        <w:tabs>
          <w:tab w:val="left" w:pos="-284"/>
          <w:tab w:val="left" w:pos="567"/>
          <w:tab w:val="left" w:pos="1843"/>
        </w:tabs>
        <w:ind w:left="1985" w:hanging="1985"/>
        <w:jc w:val="both"/>
      </w:pPr>
      <w:r w:rsidRPr="00EB4504">
        <w:tab/>
        <w:t>Kn</w:t>
      </w:r>
      <w:r w:rsidRPr="00EB4504">
        <w:rPr>
          <w:vertAlign w:val="subscript"/>
        </w:rPr>
        <w:t>alfa</w:t>
      </w:r>
      <w:r w:rsidRPr="00EB4504">
        <w:tab/>
        <w:t>min (1; index nárůstu pojistného za rok 2013 vůči roku 2011)</w:t>
      </w:r>
      <w:r>
        <w:tab/>
      </w:r>
    </w:p>
    <w:p w:rsidR="008527D1" w:rsidRDefault="008527D1" w:rsidP="008527D1">
      <w:pPr>
        <w:tabs>
          <w:tab w:val="left" w:pos="-284"/>
          <w:tab w:val="left" w:pos="567"/>
          <w:tab w:val="left" w:pos="1843"/>
        </w:tabs>
        <w:ind w:left="1985" w:hanging="1985"/>
        <w:jc w:val="both"/>
      </w:pPr>
    </w:p>
    <w:p w:rsidR="008527D1" w:rsidRPr="005C5455" w:rsidRDefault="008527D1" w:rsidP="008527D1">
      <w:pPr>
        <w:tabs>
          <w:tab w:val="left" w:pos="-284"/>
          <w:tab w:val="left" w:pos="567"/>
          <w:tab w:val="left" w:pos="1843"/>
        </w:tabs>
        <w:ind w:left="1985" w:hanging="1985"/>
        <w:jc w:val="both"/>
        <w:rPr>
          <w:i/>
        </w:rPr>
      </w:pPr>
      <w:r w:rsidRPr="005C5455">
        <w:rPr>
          <w:i/>
        </w:rPr>
        <w:t xml:space="preserve">Variantní </w:t>
      </w:r>
      <w:r>
        <w:rPr>
          <w:i/>
        </w:rPr>
        <w:t>návrh</w:t>
      </w:r>
      <w:r w:rsidRPr="005C5455">
        <w:rPr>
          <w:i/>
        </w:rPr>
        <w:t xml:space="preserve"> </w:t>
      </w:r>
    </w:p>
    <w:p w:rsidR="008527D1" w:rsidRPr="005C5455" w:rsidRDefault="008527D1" w:rsidP="008527D1">
      <w:pPr>
        <w:tabs>
          <w:tab w:val="left" w:pos="-284"/>
          <w:tab w:val="left" w:pos="567"/>
          <w:tab w:val="left" w:pos="1843"/>
        </w:tabs>
        <w:ind w:left="1985" w:hanging="1985"/>
        <w:jc w:val="both"/>
        <w:rPr>
          <w:i/>
        </w:rPr>
      </w:pPr>
      <w:r w:rsidRPr="005C5455">
        <w:rPr>
          <w:i/>
        </w:rPr>
        <w:t xml:space="preserve">         Kn</w:t>
      </w:r>
      <w:r w:rsidRPr="005C5455">
        <w:rPr>
          <w:i/>
          <w:vertAlign w:val="subscript"/>
        </w:rPr>
        <w:t>alfa</w:t>
      </w:r>
      <w:r w:rsidRPr="005C5455">
        <w:rPr>
          <w:i/>
        </w:rPr>
        <w:tab/>
        <w:t xml:space="preserve">index meziroční inflace </w:t>
      </w:r>
      <w:r>
        <w:rPr>
          <w:i/>
        </w:rPr>
        <w:t>k 1.1.2013</w:t>
      </w:r>
    </w:p>
    <w:p w:rsidR="008527D1" w:rsidRDefault="008527D1" w:rsidP="005C5455">
      <w:pPr>
        <w:tabs>
          <w:tab w:val="left" w:pos="-851"/>
        </w:tabs>
        <w:ind w:left="1843" w:hanging="1276"/>
        <w:jc w:val="both"/>
        <w:rPr>
          <w:color w:val="000000"/>
        </w:rPr>
      </w:pPr>
    </w:p>
    <w:p w:rsidR="005C5455" w:rsidRDefault="005C5455" w:rsidP="005C5455">
      <w:pPr>
        <w:tabs>
          <w:tab w:val="left" w:pos="567"/>
          <w:tab w:val="left" w:pos="1843"/>
        </w:tabs>
        <w:ind w:left="1843" w:hanging="1276"/>
        <w:jc w:val="both"/>
        <w:rPr>
          <w:color w:val="000000"/>
        </w:rPr>
      </w:pPr>
    </w:p>
    <w:p w:rsidR="001A76D4" w:rsidRPr="00BC0FA0" w:rsidRDefault="001A76D4" w:rsidP="005C5455">
      <w:pPr>
        <w:tabs>
          <w:tab w:val="left" w:pos="567"/>
          <w:tab w:val="left" w:pos="1843"/>
        </w:tabs>
        <w:ind w:left="1843" w:hanging="1276"/>
        <w:jc w:val="both"/>
        <w:rPr>
          <w:color w:val="000000"/>
        </w:rPr>
      </w:pPr>
      <w:r w:rsidRPr="00F844ED">
        <w:rPr>
          <w:color w:val="000000"/>
        </w:rPr>
        <w:t>EXT</w:t>
      </w:r>
      <w:r>
        <w:rPr>
          <w:color w:val="000000"/>
          <w:vertAlign w:val="subscript"/>
        </w:rPr>
        <w:t>alfa2013</w:t>
      </w:r>
      <w:r w:rsidRPr="00F844ED">
        <w:rPr>
          <w:color w:val="000000"/>
          <w:vertAlign w:val="subscript"/>
        </w:rPr>
        <w:tab/>
      </w:r>
      <w:r w:rsidRPr="00F844ED">
        <w:rPr>
          <w:color w:val="000000"/>
        </w:rPr>
        <w:t>úhrada za vyžádanou péči, poskytnutou</w:t>
      </w:r>
      <w:r>
        <w:rPr>
          <w:color w:val="000000"/>
        </w:rPr>
        <w:t xml:space="preserve"> jiným IČZ, při hospitalizacích zařazených do DRG</w:t>
      </w:r>
      <w:r>
        <w:rPr>
          <w:color w:val="000000"/>
          <w:vertAlign w:val="subscript"/>
        </w:rPr>
        <w:t>alfa</w:t>
      </w:r>
      <w:r>
        <w:rPr>
          <w:color w:val="000000"/>
        </w:rPr>
        <w:t>, stanovená výkonově s hodnotou bodu platnou pro příslušný segment</w:t>
      </w:r>
    </w:p>
    <w:p w:rsidR="001A76D4" w:rsidRDefault="001A76D4" w:rsidP="005C5455">
      <w:pPr>
        <w:autoSpaceDE w:val="0"/>
        <w:ind w:left="1843" w:hanging="1276"/>
        <w:rPr>
          <w:color w:val="000000"/>
        </w:rPr>
      </w:pPr>
    </w:p>
    <w:p w:rsidR="008527D1" w:rsidRPr="00301FCB" w:rsidRDefault="008527D1" w:rsidP="008527D1">
      <w:pPr>
        <w:tabs>
          <w:tab w:val="left" w:pos="-142"/>
        </w:tabs>
        <w:autoSpaceDE w:val="0"/>
        <w:jc w:val="both"/>
        <w:rPr>
          <w:color w:val="000000"/>
        </w:rPr>
      </w:pPr>
      <w:r w:rsidRPr="00301FCB">
        <w:rPr>
          <w:color w:val="000000"/>
        </w:rPr>
        <w:t xml:space="preserve">Zdravotní pojišťovna, po ukončení roku 2013 a na základě žádosti zdravotnického zařízení, uhradí u nákladných případů  rozdíl mezi úhradou formou případového paušálu a úhradou za poskytnutou zdravotní péči ohodnocenou výkonovým způsobem s hodnotou bodu 0,91 Kč. Za nákladný případ se považuje takový případ, kdy poskytnutá zdravotní péči ohodnocená </w:t>
      </w:r>
      <w:r w:rsidRPr="00301FCB">
        <w:rPr>
          <w:color w:val="000000"/>
        </w:rPr>
        <w:lastRenderedPageBreak/>
        <w:t>výkonovým způsobem s hodnotou bodu 0,91 Kč  je 2,5 krát vyšší než úhrada dle případového paušálu.V těchto případech nebude tento případ zahrnut do výpočtu CMred.</w:t>
      </w:r>
    </w:p>
    <w:p w:rsidR="004742F9" w:rsidRPr="00301FCB" w:rsidRDefault="004742F9" w:rsidP="005C5455">
      <w:pPr>
        <w:autoSpaceDE w:val="0"/>
        <w:ind w:left="1843" w:hanging="1276"/>
        <w:rPr>
          <w:color w:val="000000"/>
        </w:rPr>
      </w:pPr>
    </w:p>
    <w:p w:rsidR="001A76D4" w:rsidRPr="00301FCB" w:rsidRDefault="001A76D4" w:rsidP="00333665">
      <w:pPr>
        <w:autoSpaceDE w:val="0"/>
        <w:rPr>
          <w:color w:val="000000"/>
        </w:rPr>
      </w:pPr>
    </w:p>
    <w:p w:rsidR="00053B12" w:rsidRPr="00301FCB" w:rsidRDefault="00053B12" w:rsidP="00053B12">
      <w:pPr>
        <w:autoSpaceDE w:val="0"/>
        <w:rPr>
          <w:color w:val="000000"/>
        </w:rPr>
      </w:pPr>
      <w:r w:rsidRPr="00301FCB">
        <w:rPr>
          <w:color w:val="000000"/>
        </w:rPr>
        <w:t>Zdravotní pojišťovna, po ukončení roku 2013 a na základě žádosti zdravotnického zařízení, zohlední odečet úhrady z titulu extramurální péče u případů, u kterých odečet za extramurální péči není dostatečně kompenzován v úhradě zdravotnickému zařízení dle případového paušálu. Pokud hodnota extramurální péče daného případu dosáhne  hodnoty 80% a více úhrady dle případového paušálu, bude odečet EXT uplatněn ve výši rozdílu mezi .</w:t>
      </w:r>
    </w:p>
    <w:p w:rsidR="00053B12" w:rsidRPr="007D6AEA" w:rsidRDefault="00053B12" w:rsidP="00053B12">
      <w:pPr>
        <w:autoSpaceDE w:val="0"/>
        <w:rPr>
          <w:color w:val="000000"/>
        </w:rPr>
      </w:pPr>
      <w:r w:rsidRPr="00301FCB">
        <w:rPr>
          <w:color w:val="000000"/>
        </w:rPr>
        <w:t>úhradou formou případového paušálu a  úhradou za poskytnutou zdravotní péči v daném zdravotnickém zařízení ohodnocenou výkonovým způsobem s hodnotou bodu 0,91 Kč.</w:t>
      </w:r>
      <w:bookmarkStart w:id="0" w:name="_GoBack"/>
      <w:bookmarkEnd w:id="0"/>
    </w:p>
    <w:p w:rsidR="001A76D4" w:rsidRDefault="001A76D4" w:rsidP="00333665">
      <w:pPr>
        <w:autoSpaceDE w:val="0"/>
        <w:rPr>
          <w:color w:val="000000"/>
        </w:rPr>
      </w:pPr>
    </w:p>
    <w:p w:rsidR="008527D1" w:rsidRPr="007D6AEA" w:rsidRDefault="008527D1" w:rsidP="00333665">
      <w:pPr>
        <w:autoSpaceDE w:val="0"/>
        <w:rPr>
          <w:color w:val="000000"/>
        </w:rPr>
      </w:pPr>
    </w:p>
    <w:p w:rsidR="001A76D4" w:rsidRPr="00307484" w:rsidRDefault="001A76D4" w:rsidP="00333665">
      <w:pPr>
        <w:ind w:left="284" w:hanging="284"/>
        <w:jc w:val="both"/>
      </w:pPr>
      <w:r>
        <w:rPr>
          <w:b/>
          <w:bCs/>
        </w:rPr>
        <w:t xml:space="preserve">2. </w:t>
      </w:r>
      <w:r w:rsidRPr="00307484">
        <w:rPr>
          <w:b/>
          <w:bCs/>
          <w:color w:val="000000"/>
          <w:u w:val="single"/>
        </w:rPr>
        <w:t xml:space="preserve">Úhrada vyčleněná z úhrady formou případového paušálu </w:t>
      </w:r>
      <w:r w:rsidRPr="00307484">
        <w:rPr>
          <w:b/>
          <w:bCs/>
          <w:color w:val="000000"/>
        </w:rPr>
        <w:t>(PU</w:t>
      </w:r>
      <w:r w:rsidRPr="00307484">
        <w:rPr>
          <w:b/>
          <w:bCs/>
          <w:color w:val="000000"/>
          <w:vertAlign w:val="subscript"/>
        </w:rPr>
        <w:t>drg</w:t>
      </w:r>
      <w:r>
        <w:rPr>
          <w:b/>
          <w:bCs/>
          <w:color w:val="000000"/>
          <w:vertAlign w:val="subscript"/>
        </w:rPr>
        <w:t>beta2013</w:t>
      </w:r>
      <w:r w:rsidRPr="00307484">
        <w:rPr>
          <w:b/>
          <w:bCs/>
          <w:color w:val="000000"/>
        </w:rPr>
        <w:t xml:space="preserve">) </w:t>
      </w:r>
      <w:r w:rsidRPr="00307484">
        <w:rPr>
          <w:bCs/>
          <w:color w:val="000000"/>
        </w:rPr>
        <w:t xml:space="preserve">zahrnuje úhradu za zdravotní péči zařazenou podle Klasifikace do </w:t>
      </w:r>
      <w:r w:rsidR="004742F9">
        <w:rPr>
          <w:bCs/>
          <w:color w:val="000000"/>
        </w:rPr>
        <w:t xml:space="preserve"> </w:t>
      </w:r>
      <w:r w:rsidRPr="00307484">
        <w:rPr>
          <w:bCs/>
          <w:color w:val="000000"/>
        </w:rPr>
        <w:t xml:space="preserve">skupin </w:t>
      </w:r>
      <w:r w:rsidR="004742F9">
        <w:rPr>
          <w:bCs/>
          <w:color w:val="000000"/>
        </w:rPr>
        <w:t>neuvedených pro úhradu formou případového paušálu</w:t>
      </w:r>
      <w:r w:rsidRPr="00307484">
        <w:rPr>
          <w:bCs/>
          <w:color w:val="000000"/>
        </w:rPr>
        <w:t xml:space="preserve"> </w:t>
      </w:r>
      <w:r w:rsidRPr="00307484">
        <w:rPr>
          <w:color w:val="000000"/>
        </w:rPr>
        <w:t>(DRG</w:t>
      </w:r>
      <w:r w:rsidRPr="00307484">
        <w:rPr>
          <w:color w:val="000000"/>
          <w:vertAlign w:val="subscript"/>
        </w:rPr>
        <w:t>beta</w:t>
      </w:r>
      <w:r w:rsidRPr="00307484">
        <w:rPr>
          <w:color w:val="000000"/>
        </w:rPr>
        <w:t>)</w:t>
      </w:r>
      <w:r>
        <w:rPr>
          <w:color w:val="000000"/>
        </w:rPr>
        <w:t>. Zdravotní péče</w:t>
      </w:r>
      <w:r w:rsidRPr="00307484">
        <w:rPr>
          <w:color w:val="000000"/>
        </w:rPr>
        <w:t xml:space="preserve"> </w:t>
      </w:r>
      <w:r>
        <w:rPr>
          <w:color w:val="000000"/>
        </w:rPr>
        <w:t xml:space="preserve">bude hrazena výkonově </w:t>
      </w:r>
      <w:r w:rsidRPr="00307484">
        <w:rPr>
          <w:color w:val="000000"/>
        </w:rPr>
        <w:t>dle Seznamu zdravotních výkonů</w:t>
      </w:r>
      <w:r>
        <w:rPr>
          <w:color w:val="000000"/>
        </w:rPr>
        <w:t xml:space="preserve">, </w:t>
      </w:r>
      <w:r>
        <w:t xml:space="preserve">s hodnotou bodu ve výši </w:t>
      </w:r>
      <w:r w:rsidRPr="00632C13">
        <w:rPr>
          <w:b/>
        </w:rPr>
        <w:t>0,9</w:t>
      </w:r>
      <w:r w:rsidR="00AA220A">
        <w:rPr>
          <w:b/>
        </w:rPr>
        <w:t>1</w:t>
      </w:r>
      <w:r w:rsidRPr="00632C13">
        <w:rPr>
          <w:b/>
        </w:rPr>
        <w:t xml:space="preserve"> Kč</w:t>
      </w:r>
      <w:r>
        <w:rPr>
          <w:b/>
        </w:rPr>
        <w:t>.</w:t>
      </w:r>
    </w:p>
    <w:p w:rsidR="001A76D4" w:rsidRDefault="001A76D4" w:rsidP="00333665">
      <w:pPr>
        <w:autoSpaceDE w:val="0"/>
        <w:spacing w:after="200" w:line="276" w:lineRule="auto"/>
        <w:rPr>
          <w:bCs/>
          <w:color w:val="000000"/>
        </w:rPr>
      </w:pPr>
    </w:p>
    <w:p w:rsidR="001A76D4" w:rsidRDefault="001A76D4" w:rsidP="00333665">
      <w:pPr>
        <w:tabs>
          <w:tab w:val="left" w:pos="-284"/>
        </w:tabs>
        <w:autoSpaceDE w:val="0"/>
        <w:rPr>
          <w:bCs/>
          <w:color w:val="000000"/>
        </w:rPr>
      </w:pPr>
      <w:r>
        <w:rPr>
          <w:b/>
          <w:bCs/>
          <w:color w:val="000000"/>
          <w:u w:val="single"/>
        </w:rPr>
        <w:t>3. Individuálně smluvně sjednaná složka úhrady (ISU</w:t>
      </w:r>
      <w:r>
        <w:rPr>
          <w:b/>
          <w:bCs/>
          <w:color w:val="000000"/>
          <w:u w:val="single"/>
          <w:vertAlign w:val="subscript"/>
        </w:rPr>
        <w:t>2013</w:t>
      </w:r>
      <w:r>
        <w:rPr>
          <w:b/>
          <w:bCs/>
          <w:color w:val="000000"/>
          <w:u w:val="single"/>
        </w:rPr>
        <w:t>)</w:t>
      </w:r>
      <w:r w:rsidRPr="009F58A3">
        <w:rPr>
          <w:bCs/>
          <w:color w:val="000000"/>
        </w:rPr>
        <w:t xml:space="preserve"> </w:t>
      </w:r>
      <w:r w:rsidRPr="00B22739">
        <w:rPr>
          <w:b/>
          <w:bCs/>
          <w:color w:val="000000"/>
        </w:rPr>
        <w:t>zahrnuje</w:t>
      </w:r>
      <w:r>
        <w:rPr>
          <w:bCs/>
          <w:color w:val="000000"/>
        </w:rPr>
        <w:t>:</w:t>
      </w:r>
    </w:p>
    <w:p w:rsidR="001A76D4" w:rsidRDefault="001A76D4" w:rsidP="00333665">
      <w:pPr>
        <w:pStyle w:val="Odstavecseseznamem"/>
        <w:tabs>
          <w:tab w:val="left" w:pos="709"/>
        </w:tabs>
        <w:ind w:left="1080"/>
      </w:pPr>
    </w:p>
    <w:p w:rsidR="001A76D4" w:rsidRDefault="001A76D4" w:rsidP="005C5455">
      <w:pPr>
        <w:tabs>
          <w:tab w:val="left" w:pos="-142"/>
        </w:tabs>
        <w:autoSpaceDE w:val="0"/>
        <w:jc w:val="both"/>
        <w:rPr>
          <w:rStyle w:val="TextodstavceChar"/>
          <w:color w:val="000000"/>
        </w:rPr>
      </w:pPr>
      <w:r w:rsidRPr="00596FE6">
        <w:rPr>
          <w:rStyle w:val="TextodstavceChar"/>
          <w:color w:val="000000"/>
        </w:rPr>
        <w:t>úhradu za léčivé přípravky a potraviny pro zvláštní lékař</w:t>
      </w:r>
      <w:r>
        <w:rPr>
          <w:rStyle w:val="TextodstavceChar"/>
          <w:color w:val="000000"/>
        </w:rPr>
        <w:t xml:space="preserve">ské účely, hrazené v roce 2013 </w:t>
      </w:r>
      <w:r w:rsidRPr="00596FE6">
        <w:rPr>
          <w:rStyle w:val="TextodstavceChar"/>
          <w:color w:val="000000"/>
        </w:rPr>
        <w:t>na specializovaných pracovištích</w:t>
      </w:r>
      <w:r>
        <w:rPr>
          <w:rStyle w:val="TextodstavceChar"/>
          <w:color w:val="000000"/>
        </w:rPr>
        <w:t xml:space="preserve"> (centra se Zvláštní smlouvou), kdy </w:t>
      </w:r>
      <w:r w:rsidRPr="00596FE6">
        <w:rPr>
          <w:rStyle w:val="TextodstavceChar"/>
          <w:color w:val="000000"/>
        </w:rPr>
        <w:t xml:space="preserve">celková úhrada </w:t>
      </w:r>
      <w:r>
        <w:rPr>
          <w:rStyle w:val="TextodstavceChar"/>
          <w:color w:val="000000"/>
        </w:rPr>
        <w:t>zdravotnického zařízení je minimálně ve vý</w:t>
      </w:r>
      <w:r w:rsidRPr="005C5455">
        <w:rPr>
          <w:rStyle w:val="TextodstavceChar"/>
          <w:color w:val="000000"/>
        </w:rPr>
        <w:t>ši 10</w:t>
      </w:r>
      <w:r w:rsidR="005C5455" w:rsidRPr="005C5455">
        <w:rPr>
          <w:rStyle w:val="TextodstavceChar"/>
          <w:color w:val="000000"/>
        </w:rPr>
        <w:t>5</w:t>
      </w:r>
      <w:r w:rsidRPr="005C5455">
        <w:rPr>
          <w:rStyle w:val="TextodstavceChar"/>
          <w:color w:val="000000"/>
        </w:rPr>
        <w:t>% objemu úhrady roku 2012.</w:t>
      </w:r>
    </w:p>
    <w:p w:rsidR="001A76D4" w:rsidRPr="00596FE6" w:rsidRDefault="001A76D4" w:rsidP="00333665">
      <w:pPr>
        <w:tabs>
          <w:tab w:val="left" w:pos="-142"/>
        </w:tabs>
        <w:autoSpaceDE w:val="0"/>
        <w:ind w:left="426"/>
        <w:jc w:val="both"/>
        <w:rPr>
          <w:rStyle w:val="TextodstavceChar"/>
          <w:color w:val="000000"/>
        </w:rPr>
      </w:pPr>
    </w:p>
    <w:p w:rsidR="001A76D4" w:rsidRDefault="001A76D4" w:rsidP="00333665">
      <w:pPr>
        <w:autoSpaceDE w:val="0"/>
        <w:spacing w:after="200" w:line="276" w:lineRule="auto"/>
        <w:rPr>
          <w:bCs/>
          <w:color w:val="000000"/>
        </w:rPr>
      </w:pPr>
    </w:p>
    <w:p w:rsidR="001A76D4" w:rsidRPr="00355211" w:rsidRDefault="001A76D4" w:rsidP="00333665">
      <w:pPr>
        <w:autoSpaceDE w:val="0"/>
        <w:ind w:left="284" w:hanging="284"/>
        <w:rPr>
          <w:color w:val="000000"/>
        </w:rPr>
      </w:pPr>
    </w:p>
    <w:p w:rsidR="001A76D4" w:rsidRDefault="001A76D4" w:rsidP="00333665">
      <w:pPr>
        <w:tabs>
          <w:tab w:val="left" w:pos="915"/>
        </w:tabs>
        <w:autoSpaceDE w:val="0"/>
        <w:spacing w:after="200" w:line="276" w:lineRule="auto"/>
        <w:ind w:left="90" w:hanging="90"/>
        <w:rPr>
          <w:color w:val="000000"/>
        </w:rPr>
      </w:pPr>
      <w:r>
        <w:rPr>
          <w:b/>
          <w:bCs/>
        </w:rPr>
        <w:t xml:space="preserve">4. </w:t>
      </w:r>
      <w:r w:rsidRPr="00CD0BFF">
        <w:rPr>
          <w:b/>
          <w:bCs/>
        </w:rPr>
        <w:t xml:space="preserve"> </w:t>
      </w:r>
      <w:r>
        <w:rPr>
          <w:b/>
          <w:bCs/>
          <w:u w:val="single"/>
        </w:rPr>
        <w:t>A</w:t>
      </w:r>
      <w:r>
        <w:rPr>
          <w:b/>
          <w:bCs/>
          <w:color w:val="000000"/>
          <w:u w:val="single"/>
        </w:rPr>
        <w:t>mbulantní složka úhrady (U</w:t>
      </w:r>
      <w:r>
        <w:rPr>
          <w:b/>
          <w:bCs/>
          <w:color w:val="000000"/>
          <w:u w:val="single"/>
          <w:vertAlign w:val="subscript"/>
        </w:rPr>
        <w:t>amb2013</w:t>
      </w:r>
      <w:r>
        <w:rPr>
          <w:b/>
          <w:bCs/>
          <w:color w:val="000000"/>
          <w:u w:val="single"/>
        </w:rPr>
        <w:t>)</w:t>
      </w:r>
    </w:p>
    <w:p w:rsidR="001A76D4" w:rsidRPr="00C0177B" w:rsidRDefault="001A76D4" w:rsidP="00333665">
      <w:pPr>
        <w:jc w:val="both"/>
        <w:rPr>
          <w:lang w:eastAsia="cs-CZ"/>
        </w:rPr>
      </w:pPr>
      <w:r>
        <w:rPr>
          <w:color w:val="000000"/>
        </w:rPr>
        <w:t>Ambulantní zdravotní péče poskytnutá v rámci nemocnic</w:t>
      </w:r>
      <w:r w:rsidRPr="00947ED0">
        <w:t xml:space="preserve"> bude hrazena</w:t>
      </w:r>
      <w:r>
        <w:rPr>
          <w:color w:val="000000"/>
        </w:rPr>
        <w:t xml:space="preserve"> stejným mechanismem úhrady</w:t>
      </w:r>
      <w:r w:rsidR="005C5455">
        <w:rPr>
          <w:color w:val="000000"/>
        </w:rPr>
        <w:t xml:space="preserve"> s výjimkou regulace na objem předepsaných léčiv a ZP a na objem vyžádané péče</w:t>
      </w:r>
      <w:r>
        <w:rPr>
          <w:color w:val="000000"/>
        </w:rPr>
        <w:t xml:space="preserve">, jakou budou hrazena ambulantní </w:t>
      </w:r>
      <w:r w:rsidRPr="00947ED0">
        <w:t>zdravotnická zařízení</w:t>
      </w:r>
      <w:r>
        <w:t xml:space="preserve"> v jednotlivých ambulantních segmentech s tím, že referenčním obdobím je rok 201</w:t>
      </w:r>
      <w:r w:rsidR="00AA220A">
        <w:t>2</w:t>
      </w:r>
      <w:r>
        <w:t>.</w:t>
      </w:r>
    </w:p>
    <w:p w:rsidR="001A76D4" w:rsidRPr="00C0177B" w:rsidRDefault="001A76D4" w:rsidP="00333665">
      <w:pPr>
        <w:jc w:val="both"/>
        <w:rPr>
          <w:color w:val="000000"/>
        </w:rPr>
      </w:pPr>
    </w:p>
    <w:p w:rsidR="001A76D4" w:rsidRPr="005C5455" w:rsidRDefault="001A76D4" w:rsidP="00333665">
      <w:pPr>
        <w:jc w:val="both"/>
        <w:rPr>
          <w:color w:val="000000"/>
        </w:rPr>
      </w:pPr>
      <w:r>
        <w:rPr>
          <w:color w:val="000000"/>
        </w:rPr>
        <w:t xml:space="preserve">Pro </w:t>
      </w:r>
      <w:r w:rsidRPr="005C5455">
        <w:rPr>
          <w:color w:val="000000"/>
        </w:rPr>
        <w:t>výkon 09563 (ústavní pohotovostní služba) a pro výkon 88101 (zdravotní pitva na soudně-lékařských pracovištích) se stanoví hodnota bodu ve výši 0,9</w:t>
      </w:r>
      <w:r w:rsidR="00AA220A">
        <w:rPr>
          <w:color w:val="000000"/>
        </w:rPr>
        <w:t>1</w:t>
      </w:r>
      <w:r w:rsidRPr="005C5455">
        <w:rPr>
          <w:color w:val="000000"/>
        </w:rPr>
        <w:t xml:space="preserve"> Kč.</w:t>
      </w:r>
    </w:p>
    <w:p w:rsidR="005C5455" w:rsidRPr="005C5455" w:rsidRDefault="005C5455" w:rsidP="005C5455">
      <w:pPr>
        <w:jc w:val="both"/>
        <w:rPr>
          <w:color w:val="000000"/>
        </w:rPr>
      </w:pPr>
    </w:p>
    <w:p w:rsidR="005C5455" w:rsidRPr="005C5455" w:rsidRDefault="005C5455" w:rsidP="005C5455">
      <w:pPr>
        <w:pStyle w:val="Textodstavce"/>
        <w:numPr>
          <w:ilvl w:val="0"/>
          <w:numId w:val="0"/>
        </w:numPr>
        <w:tabs>
          <w:tab w:val="clear" w:pos="851"/>
        </w:tabs>
        <w:rPr>
          <w:rFonts w:ascii="Times New Roman" w:hAnsi="Times New Roman"/>
        </w:rPr>
      </w:pPr>
      <w:r w:rsidRPr="005C5455">
        <w:rPr>
          <w:rFonts w:ascii="Times New Roman" w:hAnsi="Times New Roman"/>
        </w:rPr>
        <w:t>Pokud celková úhrada za léčivé přípravky a zdravotnické prostředky předepsané zdravotnickým zařízením pojištěncům zdravotní pojišťovny, u které jsou pojištěni (dále jen „příslušná zdravotní pojišťovna“) v roce 201</w:t>
      </w:r>
      <w:r>
        <w:rPr>
          <w:rFonts w:ascii="Times New Roman" w:hAnsi="Times New Roman"/>
        </w:rPr>
        <w:t>3</w:t>
      </w:r>
      <w:r w:rsidRPr="005C5455">
        <w:rPr>
          <w:rFonts w:ascii="Times New Roman" w:hAnsi="Times New Roman"/>
        </w:rPr>
        <w:t>, s výjimkou zdravotnických prostředků schválených revizním lékařem, převýší 105 % úhrady za léčivé přípravky a zdravotnické prostředky předepsané v roce 20</w:t>
      </w:r>
      <w:r>
        <w:rPr>
          <w:rFonts w:ascii="Times New Roman" w:hAnsi="Times New Roman"/>
        </w:rPr>
        <w:t>12</w:t>
      </w:r>
      <w:r w:rsidRPr="005C5455">
        <w:rPr>
          <w:rFonts w:ascii="Times New Roman" w:hAnsi="Times New Roman"/>
        </w:rPr>
        <w:t xml:space="preserve">, s výjimkou zdravotnických prostředků schválených revizním lékařem, může zdravotní pojišťovna v rámci celkové úhrady zdravotnickému zařízení snížit úhradu o částku odpovídající nejvýše 40 % tohoto překročení. </w:t>
      </w:r>
      <w:r w:rsidRPr="005C5455">
        <w:rPr>
          <w:rFonts w:ascii="Times New Roman" w:hAnsi="Times New Roman"/>
          <w:bCs/>
          <w:szCs w:val="24"/>
        </w:rPr>
        <w:t xml:space="preserve">Do celkové úhrady se započítávají i doplatky za léčivé přípravky, u kterých předepisující lékař vyloučil možnost nahrazení podle § 32 odst. 2 zákona. </w:t>
      </w:r>
      <w:r w:rsidRPr="005C5455">
        <w:rPr>
          <w:rFonts w:ascii="Times New Roman" w:hAnsi="Times New Roman"/>
        </w:rPr>
        <w:t>Zdravotní pojišťovna zohlední případy, kdy zdravotnické zařízení prokáže, že zvýšená celková úhrada za zdravotnickým zařízením předepsané léčivé přípravky a zdravotnické prostředky byla způsobena změnou</w:t>
      </w:r>
      <w:r w:rsidRPr="005C5455">
        <w:rPr>
          <w:rFonts w:ascii="Times New Roman" w:hAnsi="Times New Roman"/>
          <w:color w:val="FF0000"/>
        </w:rPr>
        <w:t xml:space="preserve"> </w:t>
      </w:r>
      <w:r w:rsidRPr="005C5455">
        <w:rPr>
          <w:rFonts w:ascii="Times New Roman" w:hAnsi="Times New Roman"/>
        </w:rPr>
        <w:t xml:space="preserve">výše nebo způsobu jejich úhrady, popřípadě v důsledku změn struktury ošetřených pojištěnců.V případě, </w:t>
      </w:r>
      <w:r w:rsidRPr="005C5455">
        <w:rPr>
          <w:rFonts w:ascii="Times New Roman" w:hAnsi="Times New Roman"/>
        </w:rPr>
        <w:lastRenderedPageBreak/>
        <w:t>že zdravotnické zařízení poskytlo v</w:t>
      </w:r>
      <w:r>
        <w:t xml:space="preserve"> roce </w:t>
      </w:r>
      <w:r w:rsidRPr="005C5455">
        <w:rPr>
          <w:rFonts w:ascii="Times New Roman" w:hAnsi="Times New Roman"/>
        </w:rPr>
        <w:t>201</w:t>
      </w:r>
      <w:r>
        <w:t>2</w:t>
      </w:r>
      <w:r w:rsidRPr="005C5455">
        <w:rPr>
          <w:rFonts w:ascii="Times New Roman" w:hAnsi="Times New Roman"/>
        </w:rPr>
        <w:t xml:space="preserve"> zdravotní péči </w:t>
      </w:r>
      <w:smartTag w:uri="urn:schemas-microsoft-com:office:smarttags" w:element="metricconverter">
        <w:smartTagPr>
          <w:attr w:name="ProductID" w:val="100 a"/>
        </w:smartTagPr>
        <w:r w:rsidRPr="005C5455">
          <w:rPr>
            <w:rFonts w:ascii="Times New Roman" w:hAnsi="Times New Roman"/>
          </w:rPr>
          <w:t>100 a</w:t>
        </w:r>
      </w:smartTag>
      <w:r w:rsidRPr="005C5455">
        <w:rPr>
          <w:rFonts w:ascii="Times New Roman" w:hAnsi="Times New Roman"/>
        </w:rPr>
        <w:t xml:space="preserve"> méně pojištěncům příslušné zdravotní pojišťovny, zdravotní pojišťovna  regulaci uvedenou </w:t>
      </w:r>
      <w:r>
        <w:rPr>
          <w:rFonts w:ascii="Times New Roman" w:hAnsi="Times New Roman"/>
        </w:rPr>
        <w:t xml:space="preserve">výše neuplatní. </w:t>
      </w:r>
    </w:p>
    <w:p w:rsidR="005C5455" w:rsidRPr="005C5455" w:rsidRDefault="005C5455" w:rsidP="005C5455">
      <w:pPr>
        <w:jc w:val="both"/>
        <w:rPr>
          <w:color w:val="000000"/>
        </w:rPr>
      </w:pPr>
    </w:p>
    <w:p w:rsidR="005C5455" w:rsidRPr="005C5455" w:rsidRDefault="005C5455" w:rsidP="005C5455">
      <w:pPr>
        <w:pStyle w:val="Textodstavce"/>
        <w:numPr>
          <w:ilvl w:val="0"/>
          <w:numId w:val="0"/>
        </w:numPr>
        <w:tabs>
          <w:tab w:val="clear" w:pos="851"/>
        </w:tabs>
        <w:rPr>
          <w:rFonts w:ascii="Times New Roman" w:hAnsi="Times New Roman"/>
        </w:rPr>
      </w:pPr>
      <w:r w:rsidRPr="005C5455">
        <w:rPr>
          <w:rFonts w:ascii="Times New Roman" w:hAnsi="Times New Roman"/>
        </w:rPr>
        <w:t xml:space="preserve">Pokud celková úhrada za </w:t>
      </w:r>
      <w:r>
        <w:rPr>
          <w:rFonts w:ascii="Times New Roman" w:hAnsi="Times New Roman"/>
        </w:rPr>
        <w:t xml:space="preserve">vyžádanou péči komplementu a radiodiagnostiky a poskytnutou  </w:t>
      </w:r>
      <w:r w:rsidRPr="005C5455">
        <w:rPr>
          <w:rFonts w:ascii="Times New Roman" w:hAnsi="Times New Roman"/>
        </w:rPr>
        <w:t>pojištěncům zdravotní pojišťovny, u které jsou pojištěni (dále jen „příslušná zdravotní pojišťovna“) v roce 201</w:t>
      </w:r>
      <w:r>
        <w:rPr>
          <w:rFonts w:ascii="Times New Roman" w:hAnsi="Times New Roman"/>
        </w:rPr>
        <w:t>3</w:t>
      </w:r>
      <w:r w:rsidRPr="005C5455">
        <w:rPr>
          <w:rFonts w:ascii="Times New Roman" w:hAnsi="Times New Roman"/>
        </w:rPr>
        <w:t xml:space="preserve"> převýší 105 % úhrady za </w:t>
      </w:r>
      <w:r>
        <w:rPr>
          <w:rFonts w:ascii="Times New Roman" w:hAnsi="Times New Roman"/>
        </w:rPr>
        <w:t xml:space="preserve">vyžádanou péči </w:t>
      </w:r>
      <w:r w:rsidRPr="005C5455">
        <w:rPr>
          <w:rFonts w:ascii="Times New Roman" w:hAnsi="Times New Roman"/>
        </w:rPr>
        <w:t>v roce 20</w:t>
      </w:r>
      <w:r>
        <w:rPr>
          <w:rFonts w:ascii="Times New Roman" w:hAnsi="Times New Roman"/>
        </w:rPr>
        <w:t>12</w:t>
      </w:r>
      <w:r w:rsidRPr="005C5455">
        <w:rPr>
          <w:rFonts w:ascii="Times New Roman" w:hAnsi="Times New Roman"/>
        </w:rPr>
        <w:t>, může zdravotní pojišťovna v rámci celkové úhrady zdravotnickému zařízení snížit úhradu o částku odpovídající nejvýše 40 % tohoto překročení. V případě, že zdravotnické zařízení poskytlo v</w:t>
      </w:r>
      <w:r>
        <w:t xml:space="preserve"> roce </w:t>
      </w:r>
      <w:r w:rsidRPr="005C5455">
        <w:rPr>
          <w:rFonts w:ascii="Times New Roman" w:hAnsi="Times New Roman"/>
        </w:rPr>
        <w:t>201</w:t>
      </w:r>
      <w:r>
        <w:t>2</w:t>
      </w:r>
      <w:r w:rsidRPr="005C5455">
        <w:rPr>
          <w:rFonts w:ascii="Times New Roman" w:hAnsi="Times New Roman"/>
        </w:rPr>
        <w:t xml:space="preserve"> zdravotní péči </w:t>
      </w:r>
      <w:smartTag w:uri="urn:schemas-microsoft-com:office:smarttags" w:element="metricconverter">
        <w:smartTagPr>
          <w:attr w:name="ProductID" w:val="100 a"/>
        </w:smartTagPr>
        <w:r w:rsidRPr="005C5455">
          <w:rPr>
            <w:rFonts w:ascii="Times New Roman" w:hAnsi="Times New Roman"/>
          </w:rPr>
          <w:t>100 a</w:t>
        </w:r>
      </w:smartTag>
      <w:r w:rsidRPr="005C5455">
        <w:rPr>
          <w:rFonts w:ascii="Times New Roman" w:hAnsi="Times New Roman"/>
        </w:rPr>
        <w:t xml:space="preserve"> méně pojištěncům příslušné zdravotní pojišťovny, zdravotní pojišťovna  regulaci uvedenou </w:t>
      </w:r>
      <w:r>
        <w:rPr>
          <w:rFonts w:ascii="Times New Roman" w:hAnsi="Times New Roman"/>
        </w:rPr>
        <w:t xml:space="preserve">výše neuplatní. </w:t>
      </w:r>
    </w:p>
    <w:p w:rsidR="001A76D4" w:rsidRDefault="001A76D4" w:rsidP="005C5455">
      <w:pPr>
        <w:tabs>
          <w:tab w:val="left" w:pos="915"/>
        </w:tabs>
        <w:autoSpaceDE w:val="0"/>
        <w:rPr>
          <w:color w:val="000000"/>
        </w:rPr>
      </w:pPr>
    </w:p>
    <w:p w:rsidR="001A76D4" w:rsidRDefault="005C5455" w:rsidP="00333665">
      <w:pPr>
        <w:rPr>
          <w:i/>
          <w:lang w:eastAsia="cs-CZ"/>
        </w:rPr>
      </w:pPr>
      <w:r w:rsidRPr="005C5455">
        <w:rPr>
          <w:i/>
          <w:lang w:eastAsia="cs-CZ"/>
        </w:rPr>
        <w:t>Variant</w:t>
      </w:r>
      <w:r w:rsidR="005864FA">
        <w:rPr>
          <w:i/>
          <w:lang w:eastAsia="cs-CZ"/>
        </w:rPr>
        <w:t xml:space="preserve">ní text </w:t>
      </w:r>
      <w:r w:rsidRPr="005C5455">
        <w:rPr>
          <w:i/>
          <w:lang w:eastAsia="cs-CZ"/>
        </w:rPr>
        <w:t xml:space="preserve"> </w:t>
      </w:r>
    </w:p>
    <w:p w:rsidR="005C5455" w:rsidRPr="005C5455" w:rsidRDefault="005C5455" w:rsidP="00333665">
      <w:pPr>
        <w:rPr>
          <w:i/>
          <w:lang w:eastAsia="cs-CZ"/>
        </w:rPr>
      </w:pPr>
      <w:r w:rsidRPr="005864FA">
        <w:rPr>
          <w:lang w:eastAsia="cs-CZ"/>
        </w:rPr>
        <w:t xml:space="preserve">Při aplikaci regulačních mechanismů  </w:t>
      </w:r>
      <w:r w:rsidRPr="005864FA">
        <w:t xml:space="preserve">za léčivé přípravky a zdravotnické prostředky a na </w:t>
      </w:r>
      <w:r>
        <w:t xml:space="preserve">vyžádanou péči komplementu a radiodiagnostiky </w:t>
      </w:r>
      <w:r w:rsidR="005864FA">
        <w:t>budou pravidla sjednaná pro ambulantní specialisty  aplikovaná  za všechny odbornosti ambulantní specializované péče, tj. bez rozlišování jednotlivých odborností.</w:t>
      </w:r>
    </w:p>
    <w:sectPr w:rsidR="005C5455" w:rsidRPr="005C5455" w:rsidSect="007D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BE49EC"/>
    <w:multiLevelType w:val="hybridMultilevel"/>
    <w:tmpl w:val="31224674"/>
    <w:lvl w:ilvl="0" w:tplc="ECECBD00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1FD73B30"/>
    <w:multiLevelType w:val="hybridMultilevel"/>
    <w:tmpl w:val="DB909F9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9EE137D"/>
    <w:multiLevelType w:val="multilevel"/>
    <w:tmpl w:val="21841A2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/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71FB7CA4"/>
    <w:multiLevelType w:val="multilevel"/>
    <w:tmpl w:val="07A24F1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CDF4DC7"/>
    <w:multiLevelType w:val="hybridMultilevel"/>
    <w:tmpl w:val="704EFA86"/>
    <w:lvl w:ilvl="0" w:tplc="95DED3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34035D"/>
    <w:multiLevelType w:val="multilevel"/>
    <w:tmpl w:val="820CA43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665"/>
    <w:rsid w:val="000001BB"/>
    <w:rsid w:val="000013BA"/>
    <w:rsid w:val="0001240F"/>
    <w:rsid w:val="000172B9"/>
    <w:rsid w:val="0002575F"/>
    <w:rsid w:val="00026682"/>
    <w:rsid w:val="00031BA4"/>
    <w:rsid w:val="000448D9"/>
    <w:rsid w:val="00044A1E"/>
    <w:rsid w:val="00053B12"/>
    <w:rsid w:val="00055051"/>
    <w:rsid w:val="00061BB5"/>
    <w:rsid w:val="00065BF8"/>
    <w:rsid w:val="000807D4"/>
    <w:rsid w:val="00090E2A"/>
    <w:rsid w:val="000A149C"/>
    <w:rsid w:val="00106919"/>
    <w:rsid w:val="0014386E"/>
    <w:rsid w:val="00143E5D"/>
    <w:rsid w:val="00147D12"/>
    <w:rsid w:val="0015180E"/>
    <w:rsid w:val="001A76D4"/>
    <w:rsid w:val="001B1711"/>
    <w:rsid w:val="001C51E6"/>
    <w:rsid w:val="001E44E0"/>
    <w:rsid w:val="001F3384"/>
    <w:rsid w:val="001F4B5B"/>
    <w:rsid w:val="00212368"/>
    <w:rsid w:val="0022787D"/>
    <w:rsid w:val="00227965"/>
    <w:rsid w:val="00282AF8"/>
    <w:rsid w:val="00283388"/>
    <w:rsid w:val="002B7C61"/>
    <w:rsid w:val="002C1462"/>
    <w:rsid w:val="002D0A7A"/>
    <w:rsid w:val="00301FCB"/>
    <w:rsid w:val="00307484"/>
    <w:rsid w:val="00333665"/>
    <w:rsid w:val="00353B4E"/>
    <w:rsid w:val="00355211"/>
    <w:rsid w:val="003707F0"/>
    <w:rsid w:val="00397D68"/>
    <w:rsid w:val="003A633B"/>
    <w:rsid w:val="003E45F1"/>
    <w:rsid w:val="003E694B"/>
    <w:rsid w:val="003F0814"/>
    <w:rsid w:val="003F3C3C"/>
    <w:rsid w:val="004018C3"/>
    <w:rsid w:val="004061D7"/>
    <w:rsid w:val="004148AD"/>
    <w:rsid w:val="00422986"/>
    <w:rsid w:val="004302C6"/>
    <w:rsid w:val="00444056"/>
    <w:rsid w:val="004551D6"/>
    <w:rsid w:val="004742F9"/>
    <w:rsid w:val="0047744C"/>
    <w:rsid w:val="004D2DED"/>
    <w:rsid w:val="004F495A"/>
    <w:rsid w:val="0050539C"/>
    <w:rsid w:val="00532063"/>
    <w:rsid w:val="005323F9"/>
    <w:rsid w:val="00554049"/>
    <w:rsid w:val="00574062"/>
    <w:rsid w:val="005864FA"/>
    <w:rsid w:val="00596FE6"/>
    <w:rsid w:val="005C5455"/>
    <w:rsid w:val="005E6FC2"/>
    <w:rsid w:val="005F4530"/>
    <w:rsid w:val="00632C13"/>
    <w:rsid w:val="0064491B"/>
    <w:rsid w:val="00660994"/>
    <w:rsid w:val="00662061"/>
    <w:rsid w:val="00671730"/>
    <w:rsid w:val="00680E64"/>
    <w:rsid w:val="00687C9C"/>
    <w:rsid w:val="006A6889"/>
    <w:rsid w:val="006C51C8"/>
    <w:rsid w:val="006C66D0"/>
    <w:rsid w:val="006C7D25"/>
    <w:rsid w:val="006D6816"/>
    <w:rsid w:val="006E5A60"/>
    <w:rsid w:val="006F4EFC"/>
    <w:rsid w:val="0070129C"/>
    <w:rsid w:val="00705D9C"/>
    <w:rsid w:val="00717779"/>
    <w:rsid w:val="00720493"/>
    <w:rsid w:val="00733406"/>
    <w:rsid w:val="00737B3B"/>
    <w:rsid w:val="00745D83"/>
    <w:rsid w:val="007546ED"/>
    <w:rsid w:val="0079790F"/>
    <w:rsid w:val="007D1CAA"/>
    <w:rsid w:val="007D23E6"/>
    <w:rsid w:val="007D6AEA"/>
    <w:rsid w:val="007D7533"/>
    <w:rsid w:val="007E277F"/>
    <w:rsid w:val="00803088"/>
    <w:rsid w:val="00814167"/>
    <w:rsid w:val="00832C76"/>
    <w:rsid w:val="00842119"/>
    <w:rsid w:val="008527D1"/>
    <w:rsid w:val="00895B9B"/>
    <w:rsid w:val="008A2539"/>
    <w:rsid w:val="008C4BAE"/>
    <w:rsid w:val="008D399E"/>
    <w:rsid w:val="00902FEB"/>
    <w:rsid w:val="00906CC2"/>
    <w:rsid w:val="00930B16"/>
    <w:rsid w:val="00947ED0"/>
    <w:rsid w:val="009827E0"/>
    <w:rsid w:val="009B3B80"/>
    <w:rsid w:val="009D61FD"/>
    <w:rsid w:val="009E62B1"/>
    <w:rsid w:val="009F1C56"/>
    <w:rsid w:val="009F58A3"/>
    <w:rsid w:val="009F705D"/>
    <w:rsid w:val="00A14CEA"/>
    <w:rsid w:val="00A160EC"/>
    <w:rsid w:val="00A751BB"/>
    <w:rsid w:val="00AA220A"/>
    <w:rsid w:val="00AB5B7C"/>
    <w:rsid w:val="00AC26D4"/>
    <w:rsid w:val="00AE1AD9"/>
    <w:rsid w:val="00AF2C84"/>
    <w:rsid w:val="00AF2D82"/>
    <w:rsid w:val="00B00D80"/>
    <w:rsid w:val="00B05E81"/>
    <w:rsid w:val="00B066F6"/>
    <w:rsid w:val="00B22739"/>
    <w:rsid w:val="00B50859"/>
    <w:rsid w:val="00B53CA9"/>
    <w:rsid w:val="00B568F6"/>
    <w:rsid w:val="00B95EA5"/>
    <w:rsid w:val="00BC0FA0"/>
    <w:rsid w:val="00C0177B"/>
    <w:rsid w:val="00C0248B"/>
    <w:rsid w:val="00C02A21"/>
    <w:rsid w:val="00C664D7"/>
    <w:rsid w:val="00C70A88"/>
    <w:rsid w:val="00C71AF8"/>
    <w:rsid w:val="00C949E8"/>
    <w:rsid w:val="00CA57F7"/>
    <w:rsid w:val="00CC6581"/>
    <w:rsid w:val="00CD0BFF"/>
    <w:rsid w:val="00CD1DEC"/>
    <w:rsid w:val="00CE630E"/>
    <w:rsid w:val="00CE7938"/>
    <w:rsid w:val="00CF0D07"/>
    <w:rsid w:val="00CF1F46"/>
    <w:rsid w:val="00D00719"/>
    <w:rsid w:val="00D30A7C"/>
    <w:rsid w:val="00D4573D"/>
    <w:rsid w:val="00D478B8"/>
    <w:rsid w:val="00D5277B"/>
    <w:rsid w:val="00D56A8D"/>
    <w:rsid w:val="00D6535A"/>
    <w:rsid w:val="00D659D2"/>
    <w:rsid w:val="00DB7FF1"/>
    <w:rsid w:val="00E44702"/>
    <w:rsid w:val="00E71673"/>
    <w:rsid w:val="00E73B85"/>
    <w:rsid w:val="00EB29C4"/>
    <w:rsid w:val="00EB4504"/>
    <w:rsid w:val="00EB495B"/>
    <w:rsid w:val="00ED399A"/>
    <w:rsid w:val="00ED6FB4"/>
    <w:rsid w:val="00EE1248"/>
    <w:rsid w:val="00EE2464"/>
    <w:rsid w:val="00EE5F9F"/>
    <w:rsid w:val="00EF41EC"/>
    <w:rsid w:val="00EF54C6"/>
    <w:rsid w:val="00F00A99"/>
    <w:rsid w:val="00F23F5E"/>
    <w:rsid w:val="00F24E49"/>
    <w:rsid w:val="00F337D4"/>
    <w:rsid w:val="00F51D3F"/>
    <w:rsid w:val="00F66821"/>
    <w:rsid w:val="00F71276"/>
    <w:rsid w:val="00F73F9C"/>
    <w:rsid w:val="00F844ED"/>
    <w:rsid w:val="00FC22D7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665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33665"/>
    <w:pPr>
      <w:keepNext/>
      <w:numPr>
        <w:numId w:val="4"/>
      </w:numPr>
      <w:suppressAutoHyphens w:val="0"/>
      <w:spacing w:before="120" w:after="120"/>
      <w:outlineLvl w:val="0"/>
    </w:pPr>
    <w:rPr>
      <w:rFonts w:eastAsia="Times New Roman"/>
      <w:b/>
      <w:bCs/>
      <w:kern w:val="32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33665"/>
    <w:pPr>
      <w:keepNext/>
      <w:numPr>
        <w:ilvl w:val="1"/>
        <w:numId w:val="4"/>
      </w:numPr>
      <w:suppressAutoHyphens w:val="0"/>
      <w:spacing w:before="60" w:after="60"/>
      <w:ind w:left="709" w:hanging="709"/>
      <w:jc w:val="both"/>
      <w:outlineLvl w:val="1"/>
    </w:pPr>
    <w:rPr>
      <w:rFonts w:eastAsia="Times New Roman" w:cs="Arial"/>
      <w:b/>
      <w:bCs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333665"/>
    <w:pPr>
      <w:keepNext/>
      <w:numPr>
        <w:ilvl w:val="3"/>
        <w:numId w:val="4"/>
      </w:numPr>
      <w:tabs>
        <w:tab w:val="left" w:pos="993"/>
      </w:tabs>
      <w:suppressAutoHyphens w:val="0"/>
      <w:spacing w:before="120" w:after="120"/>
      <w:jc w:val="both"/>
      <w:outlineLvl w:val="3"/>
    </w:pPr>
    <w:rPr>
      <w:rFonts w:eastAsia="Times New Roman"/>
      <w:b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333665"/>
    <w:pPr>
      <w:numPr>
        <w:ilvl w:val="4"/>
        <w:numId w:val="4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333665"/>
    <w:pPr>
      <w:numPr>
        <w:ilvl w:val="5"/>
        <w:numId w:val="4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333665"/>
    <w:pPr>
      <w:numPr>
        <w:ilvl w:val="6"/>
        <w:numId w:val="4"/>
      </w:numPr>
      <w:suppressAutoHyphens w:val="0"/>
      <w:spacing w:before="240" w:after="60"/>
      <w:outlineLvl w:val="6"/>
    </w:pPr>
    <w:rPr>
      <w:rFonts w:eastAsia="Times New Roman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333665"/>
    <w:pPr>
      <w:numPr>
        <w:ilvl w:val="7"/>
        <w:numId w:val="4"/>
      </w:numPr>
      <w:suppressAutoHyphens w:val="0"/>
      <w:spacing w:before="240" w:after="60"/>
      <w:outlineLvl w:val="7"/>
    </w:pPr>
    <w:rPr>
      <w:rFonts w:eastAsia="Times New Roman"/>
      <w:i/>
      <w:iCs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33665"/>
    <w:pPr>
      <w:numPr>
        <w:ilvl w:val="8"/>
        <w:numId w:val="4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33665"/>
    <w:rPr>
      <w:rFonts w:ascii="Times New Roman" w:hAnsi="Times New Roman" w:cs="Times New Roman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33665"/>
    <w:rPr>
      <w:rFonts w:ascii="Times New Roman" w:hAnsi="Times New Roman" w:cs="Arial"/>
      <w:b/>
      <w:bCs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33665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33665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33665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3366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33665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33665"/>
    <w:rPr>
      <w:rFonts w:ascii="Arial" w:hAnsi="Arial" w:cs="Arial"/>
      <w:lang w:eastAsia="cs-CZ"/>
    </w:rPr>
  </w:style>
  <w:style w:type="character" w:customStyle="1" w:styleId="TextodstavceChar">
    <w:name w:val="Text odstavce Char"/>
    <w:link w:val="Textodstavce"/>
    <w:rsid w:val="00333665"/>
    <w:rPr>
      <w:sz w:val="24"/>
    </w:rPr>
  </w:style>
  <w:style w:type="paragraph" w:styleId="Odstavecseseznamem">
    <w:name w:val="List Paragraph"/>
    <w:basedOn w:val="Normln"/>
    <w:uiPriority w:val="99"/>
    <w:qFormat/>
    <w:rsid w:val="0033366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D75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7AD"/>
    <w:rPr>
      <w:rFonts w:ascii="Times New Roman" w:eastAsia="SimSun" w:hAnsi="Times New Roman"/>
      <w:sz w:val="0"/>
      <w:szCs w:val="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14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1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167"/>
    <w:rPr>
      <w:rFonts w:ascii="Times New Roman" w:eastAsia="SimSun" w:hAnsi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1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167"/>
    <w:rPr>
      <w:rFonts w:ascii="Times New Roman" w:eastAsia="SimSun" w:hAnsi="Times New Roman"/>
      <w:b/>
      <w:bCs/>
      <w:sz w:val="20"/>
      <w:szCs w:val="20"/>
      <w:lang w:eastAsia="ar-SA"/>
    </w:rPr>
  </w:style>
  <w:style w:type="paragraph" w:customStyle="1" w:styleId="Textbodu">
    <w:name w:val="Text bodu"/>
    <w:basedOn w:val="Normln"/>
    <w:rsid w:val="005C5455"/>
    <w:pPr>
      <w:numPr>
        <w:ilvl w:val="2"/>
        <w:numId w:val="8"/>
      </w:numPr>
      <w:suppressAutoHyphens w:val="0"/>
      <w:jc w:val="both"/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5C5455"/>
    <w:pPr>
      <w:numPr>
        <w:ilvl w:val="1"/>
        <w:numId w:val="8"/>
      </w:numPr>
      <w:suppressAutoHyphens w:val="0"/>
      <w:jc w:val="both"/>
      <w:outlineLvl w:val="7"/>
    </w:pPr>
    <w:rPr>
      <w:rFonts w:eastAsia="Times New Roman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5C5455"/>
    <w:pPr>
      <w:numPr>
        <w:numId w:val="8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Calibri" w:eastAsia="Calibri" w:hAnsi="Calibri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665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33665"/>
    <w:pPr>
      <w:keepNext/>
      <w:numPr>
        <w:numId w:val="4"/>
      </w:numPr>
      <w:suppressAutoHyphens w:val="0"/>
      <w:spacing w:before="120" w:after="120"/>
      <w:outlineLvl w:val="0"/>
    </w:pPr>
    <w:rPr>
      <w:rFonts w:eastAsia="Times New Roman"/>
      <w:b/>
      <w:bCs/>
      <w:kern w:val="32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33665"/>
    <w:pPr>
      <w:keepNext/>
      <w:numPr>
        <w:ilvl w:val="1"/>
        <w:numId w:val="4"/>
      </w:numPr>
      <w:suppressAutoHyphens w:val="0"/>
      <w:spacing w:before="60" w:after="60"/>
      <w:ind w:left="709" w:hanging="709"/>
      <w:jc w:val="both"/>
      <w:outlineLvl w:val="1"/>
    </w:pPr>
    <w:rPr>
      <w:rFonts w:eastAsia="Times New Roman" w:cs="Arial"/>
      <w:b/>
      <w:bCs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333665"/>
    <w:pPr>
      <w:keepNext/>
      <w:numPr>
        <w:ilvl w:val="3"/>
        <w:numId w:val="4"/>
      </w:numPr>
      <w:tabs>
        <w:tab w:val="left" w:pos="993"/>
      </w:tabs>
      <w:suppressAutoHyphens w:val="0"/>
      <w:spacing w:before="120" w:after="120"/>
      <w:jc w:val="both"/>
      <w:outlineLvl w:val="3"/>
    </w:pPr>
    <w:rPr>
      <w:rFonts w:eastAsia="Times New Roman"/>
      <w:b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333665"/>
    <w:pPr>
      <w:numPr>
        <w:ilvl w:val="4"/>
        <w:numId w:val="4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333665"/>
    <w:pPr>
      <w:numPr>
        <w:ilvl w:val="5"/>
        <w:numId w:val="4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333665"/>
    <w:pPr>
      <w:numPr>
        <w:ilvl w:val="6"/>
        <w:numId w:val="4"/>
      </w:numPr>
      <w:suppressAutoHyphens w:val="0"/>
      <w:spacing w:before="240" w:after="60"/>
      <w:outlineLvl w:val="6"/>
    </w:pPr>
    <w:rPr>
      <w:rFonts w:eastAsia="Times New Roman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333665"/>
    <w:pPr>
      <w:numPr>
        <w:ilvl w:val="7"/>
        <w:numId w:val="4"/>
      </w:numPr>
      <w:suppressAutoHyphens w:val="0"/>
      <w:spacing w:before="240" w:after="60"/>
      <w:outlineLvl w:val="7"/>
    </w:pPr>
    <w:rPr>
      <w:rFonts w:eastAsia="Times New Roman"/>
      <w:i/>
      <w:iCs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33665"/>
    <w:pPr>
      <w:numPr>
        <w:ilvl w:val="8"/>
        <w:numId w:val="4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33665"/>
    <w:rPr>
      <w:rFonts w:ascii="Times New Roman" w:hAnsi="Times New Roman" w:cs="Times New Roman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33665"/>
    <w:rPr>
      <w:rFonts w:ascii="Times New Roman" w:hAnsi="Times New Roman" w:cs="Arial"/>
      <w:b/>
      <w:bCs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33665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33665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33665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3366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33665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33665"/>
    <w:rPr>
      <w:rFonts w:ascii="Arial" w:hAnsi="Arial" w:cs="Arial"/>
      <w:lang w:eastAsia="cs-CZ"/>
    </w:rPr>
  </w:style>
  <w:style w:type="character" w:customStyle="1" w:styleId="TextodstavceChar">
    <w:name w:val="Text odstavce Char"/>
    <w:link w:val="Textodstavce"/>
    <w:rsid w:val="00333665"/>
    <w:rPr>
      <w:sz w:val="24"/>
    </w:rPr>
  </w:style>
  <w:style w:type="paragraph" w:styleId="Odstavecseseznamem">
    <w:name w:val="List Paragraph"/>
    <w:basedOn w:val="Normln"/>
    <w:uiPriority w:val="99"/>
    <w:qFormat/>
    <w:rsid w:val="0033366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D75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7AD"/>
    <w:rPr>
      <w:rFonts w:ascii="Times New Roman" w:eastAsia="SimSun" w:hAnsi="Times New Roman"/>
      <w:sz w:val="0"/>
      <w:szCs w:val="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14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1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167"/>
    <w:rPr>
      <w:rFonts w:ascii="Times New Roman" w:eastAsia="SimSun" w:hAnsi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1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167"/>
    <w:rPr>
      <w:rFonts w:ascii="Times New Roman" w:eastAsia="SimSun" w:hAnsi="Times New Roman"/>
      <w:b/>
      <w:bCs/>
      <w:sz w:val="20"/>
      <w:szCs w:val="20"/>
      <w:lang w:eastAsia="ar-SA"/>
    </w:rPr>
  </w:style>
  <w:style w:type="paragraph" w:customStyle="1" w:styleId="Textbodu">
    <w:name w:val="Text bodu"/>
    <w:basedOn w:val="Normln"/>
    <w:rsid w:val="005C5455"/>
    <w:pPr>
      <w:numPr>
        <w:ilvl w:val="2"/>
        <w:numId w:val="8"/>
      </w:numPr>
      <w:suppressAutoHyphens w:val="0"/>
      <w:jc w:val="both"/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5C5455"/>
    <w:pPr>
      <w:numPr>
        <w:ilvl w:val="1"/>
        <w:numId w:val="8"/>
      </w:numPr>
      <w:suppressAutoHyphens w:val="0"/>
      <w:jc w:val="both"/>
      <w:outlineLvl w:val="7"/>
    </w:pPr>
    <w:rPr>
      <w:rFonts w:eastAsia="Times New Roman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5C5455"/>
    <w:pPr>
      <w:numPr>
        <w:numId w:val="8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Calibri" w:eastAsia="Calibri" w:hAnsi="Calibri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SSN na úhradu zdravotní péče poskytované ve zdravotnických zařízeních ústavní péče, s výjimkou zdravotní péče poskytované v odborných léčebných ústavech, léčebnách dlouhodobě nemocných, ve zdravotnických zařízeních vykazujících ošetřovací den č</vt:lpstr>
    </vt:vector>
  </TitlesOfParts>
  <Company>HP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SSN na úhradu zdravotní péče poskytované ve zdravotnických zařízeních ústavní péče, s výjimkou zdravotní péče poskytované v odborných léčebných ústavech, léčebnách dlouhodobě nemocných, ve zdravotnických zařízeních vykazujících ošetřovací den č</dc:title>
  <dc:creator>Ambrožová  Marcela</dc:creator>
  <cp:lastModifiedBy>Martina</cp:lastModifiedBy>
  <cp:revision>2</cp:revision>
  <cp:lastPrinted>2012-07-23T14:42:00Z</cp:lastPrinted>
  <dcterms:created xsi:type="dcterms:W3CDTF">2012-07-24T11:01:00Z</dcterms:created>
  <dcterms:modified xsi:type="dcterms:W3CDTF">2012-07-24T11:01:00Z</dcterms:modified>
</cp:coreProperties>
</file>