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A02" w:rsidRPr="000A5A02" w:rsidRDefault="000A5A02" w:rsidP="000A5A02">
      <w:pPr>
        <w:jc w:val="both"/>
        <w:rPr>
          <w:rFonts w:ascii="Arial" w:hAnsi="Arial" w:cs="Arial"/>
          <w:b/>
          <w:bCs/>
          <w:sz w:val="28"/>
          <w:szCs w:val="28"/>
        </w:rPr>
      </w:pPr>
      <w:r w:rsidRPr="000A5A02">
        <w:rPr>
          <w:rFonts w:ascii="Arial" w:hAnsi="Arial" w:cs="Arial"/>
          <w:b/>
          <w:bCs/>
          <w:sz w:val="28"/>
          <w:szCs w:val="28"/>
        </w:rPr>
        <w:t>Tajný přehled nemocnic v přízni. Je to i ta vaše?</w:t>
      </w:r>
    </w:p>
    <w:p w:rsidR="000A5A02" w:rsidRPr="000A5A02" w:rsidRDefault="000A5A02" w:rsidP="000A5A02">
      <w:pPr>
        <w:jc w:val="both"/>
        <w:rPr>
          <w:rFonts w:ascii="Arial" w:hAnsi="Arial" w:cs="Arial"/>
          <w:bCs/>
          <w:sz w:val="24"/>
          <w:szCs w:val="24"/>
        </w:rPr>
      </w:pPr>
      <w:hyperlink r:id="rId5" w:tooltip="Zobrazit profil autora" w:history="1">
        <w:r w:rsidRPr="000A5A02">
          <w:rPr>
            <w:rStyle w:val="Hypertextovodkaz"/>
            <w:rFonts w:ascii="Arial" w:hAnsi="Arial" w:cs="Arial"/>
            <w:bCs/>
            <w:color w:val="auto"/>
            <w:sz w:val="24"/>
            <w:szCs w:val="24"/>
            <w:u w:val="none"/>
          </w:rPr>
          <w:t>Petr Holub</w:t>
        </w:r>
      </w:hyperlink>
      <w:r>
        <w:rPr>
          <w:rFonts w:ascii="Arial" w:hAnsi="Arial" w:cs="Arial"/>
          <w:sz w:val="24"/>
          <w:szCs w:val="24"/>
        </w:rPr>
        <w:t xml:space="preserve">, </w:t>
      </w:r>
      <w:proofErr w:type="gramStart"/>
      <w:r>
        <w:rPr>
          <w:rFonts w:ascii="Arial" w:hAnsi="Arial" w:cs="Arial"/>
          <w:sz w:val="24"/>
          <w:szCs w:val="24"/>
        </w:rPr>
        <w:t>4.7. 2012</w:t>
      </w:r>
      <w:proofErr w:type="gramEnd"/>
    </w:p>
    <w:p w:rsidR="000A5A02" w:rsidRDefault="000A5A02" w:rsidP="000A5A02">
      <w:pPr>
        <w:jc w:val="both"/>
        <w:rPr>
          <w:rFonts w:ascii="Arial" w:hAnsi="Arial" w:cs="Arial"/>
          <w:sz w:val="24"/>
          <w:szCs w:val="24"/>
        </w:rPr>
      </w:pPr>
    </w:p>
    <w:p w:rsidR="000A5A02" w:rsidRPr="000A5A02" w:rsidRDefault="000A5A02" w:rsidP="000A5A02">
      <w:pPr>
        <w:jc w:val="both"/>
        <w:rPr>
          <w:rFonts w:ascii="Arial" w:hAnsi="Arial" w:cs="Arial"/>
          <w:sz w:val="24"/>
          <w:szCs w:val="24"/>
        </w:rPr>
      </w:pPr>
      <w:r w:rsidRPr="000A5A02">
        <w:rPr>
          <w:rFonts w:ascii="Arial" w:hAnsi="Arial" w:cs="Arial"/>
          <w:sz w:val="24"/>
          <w:szCs w:val="24"/>
        </w:rPr>
        <w:t>Zdravotní pojišťovny začaly omezovat služby malých nemocnic, ale drahá lůžka velkých státních a krajských zařízení platí raději. </w:t>
      </w:r>
    </w:p>
    <w:p w:rsidR="000A5A02" w:rsidRPr="000A5A02" w:rsidRDefault="000A5A02" w:rsidP="000A5A02">
      <w:pPr>
        <w:jc w:val="both"/>
        <w:rPr>
          <w:rFonts w:ascii="Arial" w:hAnsi="Arial" w:cs="Arial"/>
          <w:sz w:val="24"/>
          <w:szCs w:val="24"/>
        </w:rPr>
      </w:pPr>
      <w:r w:rsidRPr="000A5A02">
        <w:rPr>
          <w:rFonts w:ascii="Arial" w:hAnsi="Arial" w:cs="Arial"/>
          <w:sz w:val="24"/>
          <w:szCs w:val="24"/>
        </w:rPr>
        <w:t>Dokládá to tajný dokument, jak rozdělila v roce 2010 mezi nemocnice 73 miliard od poplatníků největší zdejší pojišťovna VZP.</w:t>
      </w:r>
    </w:p>
    <w:p w:rsidR="000A5A02" w:rsidRPr="000A5A02" w:rsidRDefault="000A5A02" w:rsidP="000A5A02">
      <w:pPr>
        <w:jc w:val="both"/>
        <w:rPr>
          <w:rFonts w:ascii="Arial" w:hAnsi="Arial" w:cs="Arial"/>
          <w:sz w:val="24"/>
          <w:szCs w:val="24"/>
        </w:rPr>
      </w:pPr>
      <w:r w:rsidRPr="000A5A02">
        <w:rPr>
          <w:rFonts w:ascii="Arial" w:hAnsi="Arial" w:cs="Arial"/>
          <w:sz w:val="24"/>
          <w:szCs w:val="24"/>
        </w:rPr>
        <w:t>Aktuálně.</w:t>
      </w:r>
      <w:proofErr w:type="spellStart"/>
      <w:r w:rsidRPr="000A5A02">
        <w:rPr>
          <w:rFonts w:ascii="Arial" w:hAnsi="Arial" w:cs="Arial"/>
          <w:sz w:val="24"/>
          <w:szCs w:val="24"/>
        </w:rPr>
        <w:t>cz</w:t>
      </w:r>
      <w:proofErr w:type="spellEnd"/>
      <w:r w:rsidRPr="000A5A02">
        <w:rPr>
          <w:rFonts w:ascii="Arial" w:hAnsi="Arial" w:cs="Arial"/>
          <w:sz w:val="24"/>
          <w:szCs w:val="24"/>
        </w:rPr>
        <w:t> má veřejně nedostupný přehled k dispozici a rozhodlo se jej publikovat, protože na oficiální žádost VZP odmítla tato data sdělit. </w:t>
      </w:r>
    </w:p>
    <w:p w:rsidR="000A5A02" w:rsidRPr="000A5A02" w:rsidRDefault="000A5A02" w:rsidP="000A5A02">
      <w:pPr>
        <w:jc w:val="both"/>
        <w:rPr>
          <w:rFonts w:ascii="Arial" w:hAnsi="Arial" w:cs="Arial"/>
          <w:sz w:val="24"/>
          <w:szCs w:val="24"/>
        </w:rPr>
      </w:pPr>
      <w:r w:rsidRPr="000A5A02">
        <w:rPr>
          <w:rFonts w:ascii="Arial" w:hAnsi="Arial" w:cs="Arial"/>
          <w:sz w:val="24"/>
          <w:szCs w:val="24"/>
        </w:rPr>
        <w:t> </w:t>
      </w:r>
    </w:p>
    <w:p w:rsidR="000A5A02" w:rsidRPr="000A5A02" w:rsidRDefault="000A5A02" w:rsidP="000A5A02">
      <w:pPr>
        <w:jc w:val="both"/>
        <w:rPr>
          <w:rFonts w:ascii="Arial" w:hAnsi="Arial" w:cs="Arial"/>
          <w:b/>
          <w:bCs/>
          <w:sz w:val="24"/>
          <w:szCs w:val="24"/>
        </w:rPr>
      </w:pPr>
      <w:r w:rsidRPr="000A5A02">
        <w:rPr>
          <w:rFonts w:ascii="Arial" w:hAnsi="Arial" w:cs="Arial"/>
          <w:b/>
          <w:bCs/>
          <w:sz w:val="24"/>
          <w:szCs w:val="24"/>
        </w:rPr>
        <w:t>Kde je ruka otevřena</w:t>
      </w:r>
    </w:p>
    <w:p w:rsidR="000A5A02" w:rsidRPr="000A5A02" w:rsidRDefault="000A5A02" w:rsidP="000A5A02">
      <w:pPr>
        <w:jc w:val="both"/>
        <w:rPr>
          <w:rFonts w:ascii="Arial" w:hAnsi="Arial" w:cs="Arial"/>
          <w:sz w:val="24"/>
          <w:szCs w:val="24"/>
        </w:rPr>
      </w:pPr>
      <w:r w:rsidRPr="000A5A02">
        <w:rPr>
          <w:rFonts w:ascii="Arial" w:hAnsi="Arial" w:cs="Arial"/>
          <w:sz w:val="24"/>
          <w:szCs w:val="24"/>
        </w:rPr>
        <w:t xml:space="preserve">Dokument ukazuje, že v době,  kdy VZP zahájila tvrdý úsporný kurs a kdy většině nemocnic snížila reálné platby, vyrovnala třem z jedenácti velkých fakultních nemocnic aspoň </w:t>
      </w:r>
      <w:proofErr w:type="spellStart"/>
      <w:r w:rsidRPr="000A5A02">
        <w:rPr>
          <w:rFonts w:ascii="Arial" w:hAnsi="Arial" w:cs="Arial"/>
          <w:sz w:val="24"/>
          <w:szCs w:val="24"/>
        </w:rPr>
        <w:t>jedenapůlprocentní</w:t>
      </w:r>
      <w:proofErr w:type="spellEnd"/>
      <w:r w:rsidRPr="000A5A02">
        <w:rPr>
          <w:rFonts w:ascii="Arial" w:hAnsi="Arial" w:cs="Arial"/>
          <w:sz w:val="24"/>
          <w:szCs w:val="24"/>
        </w:rPr>
        <w:t xml:space="preserve"> inflaci a dalším třem reálnou platbu dokonce zvýšila.</w:t>
      </w:r>
    </w:p>
    <w:p w:rsidR="000A5A02" w:rsidRPr="000A5A02" w:rsidRDefault="000A5A02" w:rsidP="000A5A02">
      <w:pPr>
        <w:jc w:val="both"/>
        <w:rPr>
          <w:rFonts w:ascii="Arial" w:hAnsi="Arial" w:cs="Arial"/>
          <w:sz w:val="24"/>
          <w:szCs w:val="24"/>
        </w:rPr>
      </w:pPr>
      <w:r w:rsidRPr="000A5A02">
        <w:rPr>
          <w:rFonts w:ascii="Arial" w:hAnsi="Arial" w:cs="Arial"/>
          <w:sz w:val="24"/>
          <w:szCs w:val="24"/>
        </w:rPr>
        <w:t>Rozdíl vynikne už ve srovnání s krajskými nemocnicemi. Ze třinácti krajů dostaly vyšší dotaci pouze jižní Čechy a Ústecko, na jižní Moravě, Olomoucku a na Vysočině srovnala VZP inflaci.</w:t>
      </w:r>
    </w:p>
    <w:p w:rsidR="000A5A02" w:rsidRPr="000A5A02" w:rsidRDefault="000A5A02" w:rsidP="000A5A02">
      <w:pPr>
        <w:jc w:val="both"/>
        <w:rPr>
          <w:rFonts w:ascii="Arial" w:hAnsi="Arial" w:cs="Arial"/>
          <w:sz w:val="24"/>
          <w:szCs w:val="24"/>
        </w:rPr>
      </w:pPr>
      <w:r w:rsidRPr="000A5A02">
        <w:rPr>
          <w:rFonts w:ascii="Arial" w:hAnsi="Arial" w:cs="Arial"/>
          <w:sz w:val="24"/>
          <w:szCs w:val="24"/>
        </w:rPr>
        <w:t>Právě v Českých Budějovicích, v Jihlavě a v Ústí nad Labem se budují mohutná onkologická, kardiologická a traumatologická centra, která mohou konkurovat fakultním ústavům v Praze nebo v Brně.</w:t>
      </w:r>
    </w:p>
    <w:p w:rsidR="000A5A02" w:rsidRPr="000A5A02" w:rsidRDefault="000A5A02" w:rsidP="000A5A02">
      <w:pPr>
        <w:jc w:val="both"/>
        <w:rPr>
          <w:rFonts w:ascii="Arial" w:hAnsi="Arial" w:cs="Arial"/>
          <w:sz w:val="24"/>
          <w:szCs w:val="24"/>
        </w:rPr>
      </w:pPr>
      <w:r w:rsidRPr="000A5A02">
        <w:rPr>
          <w:rFonts w:ascii="Arial" w:hAnsi="Arial" w:cs="Arial"/>
          <w:sz w:val="24"/>
          <w:szCs w:val="24"/>
        </w:rPr>
        <w:t>Přidáno tedy dostávají nemocnice, které inkasují za stejné výkony dvojnásobné honoráře oproti ostatním. Ostatní musí šetřit.</w:t>
      </w:r>
    </w:p>
    <w:p w:rsidR="000A5A02" w:rsidRPr="000A5A02" w:rsidRDefault="000A5A02" w:rsidP="000A5A02">
      <w:pPr>
        <w:jc w:val="both"/>
        <w:rPr>
          <w:rFonts w:ascii="Arial" w:hAnsi="Arial" w:cs="Arial"/>
          <w:sz w:val="24"/>
          <w:szCs w:val="24"/>
        </w:rPr>
      </w:pPr>
      <w:r w:rsidRPr="000A5A02">
        <w:rPr>
          <w:rFonts w:ascii="Arial" w:hAnsi="Arial" w:cs="Arial"/>
          <w:sz w:val="24"/>
          <w:szCs w:val="24"/>
        </w:rPr>
        <w:t> </w:t>
      </w:r>
    </w:p>
    <w:p w:rsidR="000A5A02" w:rsidRPr="000A5A02" w:rsidRDefault="000A5A02" w:rsidP="000A5A02">
      <w:pPr>
        <w:jc w:val="both"/>
        <w:rPr>
          <w:rFonts w:ascii="Arial" w:hAnsi="Arial" w:cs="Arial"/>
          <w:b/>
          <w:bCs/>
          <w:sz w:val="24"/>
          <w:szCs w:val="24"/>
        </w:rPr>
      </w:pPr>
      <w:r w:rsidRPr="000A5A02">
        <w:rPr>
          <w:rFonts w:ascii="Arial" w:hAnsi="Arial" w:cs="Arial"/>
          <w:b/>
          <w:bCs/>
          <w:sz w:val="24"/>
          <w:szCs w:val="24"/>
        </w:rPr>
        <w:t>Skandály a roboti</w:t>
      </w:r>
    </w:p>
    <w:p w:rsidR="000A5A02" w:rsidRPr="000A5A02" w:rsidRDefault="000A5A02" w:rsidP="000A5A02">
      <w:pPr>
        <w:jc w:val="both"/>
        <w:rPr>
          <w:rFonts w:ascii="Arial" w:hAnsi="Arial" w:cs="Arial"/>
          <w:sz w:val="24"/>
          <w:szCs w:val="24"/>
        </w:rPr>
      </w:pPr>
      <w:r w:rsidRPr="000A5A02">
        <w:rPr>
          <w:rFonts w:ascii="Arial" w:hAnsi="Arial" w:cs="Arial"/>
          <w:sz w:val="24"/>
          <w:szCs w:val="24"/>
        </w:rPr>
        <w:t>VZP dává shodou okolností přednost nemocnicím, které stíhají finanční skandály. Ze státních nemocnic totiž vyrostly v roce 2010 nejvíc platby olomoucké fakultní nemocnici. V nominálním vyjádření dostala největší nemocnice v oblasti 83 milionů navíc, v procentech skoro o pět procent.</w:t>
      </w:r>
    </w:p>
    <w:p w:rsidR="000A5A02" w:rsidRPr="000A5A02" w:rsidRDefault="000A5A02" w:rsidP="000A5A02">
      <w:pPr>
        <w:jc w:val="both"/>
        <w:rPr>
          <w:rFonts w:ascii="Arial" w:hAnsi="Arial" w:cs="Arial"/>
          <w:sz w:val="24"/>
          <w:szCs w:val="24"/>
        </w:rPr>
      </w:pPr>
      <w:r w:rsidRPr="000A5A02">
        <w:rPr>
          <w:rFonts w:ascii="Arial" w:hAnsi="Arial" w:cs="Arial"/>
          <w:sz w:val="24"/>
          <w:szCs w:val="24"/>
        </w:rPr>
        <w:t xml:space="preserve">Právě jejího ředitele Radomíra </w:t>
      </w:r>
      <w:proofErr w:type="spellStart"/>
      <w:r w:rsidRPr="000A5A02">
        <w:rPr>
          <w:rFonts w:ascii="Arial" w:hAnsi="Arial" w:cs="Arial"/>
          <w:sz w:val="24"/>
          <w:szCs w:val="24"/>
        </w:rPr>
        <w:t>Maráčka</w:t>
      </w:r>
      <w:proofErr w:type="spellEnd"/>
      <w:r w:rsidRPr="000A5A02">
        <w:rPr>
          <w:rFonts w:ascii="Arial" w:hAnsi="Arial" w:cs="Arial"/>
          <w:sz w:val="24"/>
          <w:szCs w:val="24"/>
        </w:rPr>
        <w:t xml:space="preserve"> v únoru 2011 policie obvinila z podvodů při veřejných zakázkách.</w:t>
      </w:r>
    </w:p>
    <w:p w:rsidR="000A5A02" w:rsidRPr="000A5A02" w:rsidRDefault="000A5A02" w:rsidP="000A5A02">
      <w:pPr>
        <w:jc w:val="both"/>
        <w:rPr>
          <w:rFonts w:ascii="Arial" w:hAnsi="Arial" w:cs="Arial"/>
          <w:sz w:val="24"/>
          <w:szCs w:val="24"/>
        </w:rPr>
      </w:pPr>
      <w:r w:rsidRPr="000A5A02">
        <w:rPr>
          <w:rFonts w:ascii="Arial" w:hAnsi="Arial" w:cs="Arial"/>
          <w:sz w:val="24"/>
          <w:szCs w:val="24"/>
        </w:rPr>
        <w:t xml:space="preserve">Ještě vyšší částku ve výši 147 milionů dostala navíc Masarykova nemocnice v Ústí a její příjmy se tak zvýšily o 11 procent. Bylo to v době, kdy policie už rok vyšetřovala podvody při veřejné zakázce v krajském nemocničním holdingu. Zároveň </w:t>
      </w:r>
      <w:r w:rsidRPr="000A5A02">
        <w:rPr>
          <w:rFonts w:ascii="Arial" w:hAnsi="Arial" w:cs="Arial"/>
          <w:sz w:val="24"/>
          <w:szCs w:val="24"/>
        </w:rPr>
        <w:lastRenderedPageBreak/>
        <w:t>ministerstvo financí odmítlo proplatit předražené přístroje, které ústecké nemocnice nakoupily za 420 milionů z Bruselu.</w:t>
      </w:r>
    </w:p>
    <w:p w:rsidR="000A5A02" w:rsidRPr="000A5A02" w:rsidRDefault="000A5A02" w:rsidP="000A5A02">
      <w:pPr>
        <w:jc w:val="both"/>
        <w:rPr>
          <w:rFonts w:ascii="Arial" w:hAnsi="Arial" w:cs="Arial"/>
          <w:sz w:val="24"/>
          <w:szCs w:val="24"/>
        </w:rPr>
      </w:pPr>
      <w:r w:rsidRPr="000A5A02">
        <w:rPr>
          <w:rFonts w:ascii="Arial" w:hAnsi="Arial" w:cs="Arial"/>
          <w:sz w:val="24"/>
          <w:szCs w:val="24"/>
        </w:rPr>
        <w:t>Relativně nejvíc dostala v roce 2010 přidáno </w:t>
      </w:r>
      <w:hyperlink r:id="rId6" w:history="1">
        <w:r w:rsidRPr="000A5A02">
          <w:rPr>
            <w:rStyle w:val="Hypertextovodkaz"/>
            <w:rFonts w:ascii="Arial" w:hAnsi="Arial" w:cs="Arial"/>
            <w:color w:val="auto"/>
            <w:sz w:val="24"/>
            <w:szCs w:val="24"/>
            <w:u w:val="none"/>
          </w:rPr>
          <w:t>Nemocnice sv. Zdislavy u Velkého Meziříčí</w:t>
        </w:r>
      </w:hyperlink>
      <w:r w:rsidRPr="000A5A02">
        <w:rPr>
          <w:rFonts w:ascii="Arial" w:hAnsi="Arial" w:cs="Arial"/>
          <w:sz w:val="24"/>
          <w:szCs w:val="24"/>
        </w:rPr>
        <w:t>, které se platby zvýšily o dvacet procent a dosáhly devadesáti milionů. Peníze šly podle zjištění Aktuálně.</w:t>
      </w:r>
      <w:proofErr w:type="spellStart"/>
      <w:r w:rsidRPr="000A5A02">
        <w:rPr>
          <w:rFonts w:ascii="Arial" w:hAnsi="Arial" w:cs="Arial"/>
          <w:sz w:val="24"/>
          <w:szCs w:val="24"/>
        </w:rPr>
        <w:t>cz</w:t>
      </w:r>
      <w:proofErr w:type="spellEnd"/>
      <w:r w:rsidRPr="000A5A02">
        <w:rPr>
          <w:rFonts w:ascii="Arial" w:hAnsi="Arial" w:cs="Arial"/>
          <w:sz w:val="24"/>
          <w:szCs w:val="24"/>
        </w:rPr>
        <w:t xml:space="preserve"> na rozjezd chirurgického robota, který za běžnou operaci účtuje 140 tisíc, pětkrát víc než běžný chirurg. VZP nikdy nevysvětlila, proč vybrala za hlavní centrum výnosné robotické chirurgie odlehlou nemocnici na Vysočině, nemocnice zase nikdy nedoložila, od koho robota koupila.</w:t>
      </w:r>
    </w:p>
    <w:p w:rsidR="000A5A02" w:rsidRPr="000A5A02" w:rsidRDefault="000A5A02" w:rsidP="000A5A02">
      <w:pPr>
        <w:jc w:val="both"/>
        <w:rPr>
          <w:rFonts w:ascii="Arial" w:hAnsi="Arial" w:cs="Arial"/>
          <w:sz w:val="24"/>
          <w:szCs w:val="24"/>
        </w:rPr>
      </w:pPr>
      <w:r w:rsidRPr="000A5A02">
        <w:rPr>
          <w:rFonts w:ascii="Arial" w:hAnsi="Arial" w:cs="Arial"/>
          <w:sz w:val="24"/>
          <w:szCs w:val="24"/>
        </w:rPr>
        <w:t>Zbytečně drahé operace na robotech v té době kritizoval ministr Leoš Heger, VZP zároveň přidávala nejvíc nemocnicím, které si robota pořídily. To se týká i Olomouce a Ústí. </w:t>
      </w:r>
    </w:p>
    <w:p w:rsidR="000A5A02" w:rsidRDefault="000A5A02" w:rsidP="000A5A02">
      <w:pPr>
        <w:jc w:val="both"/>
        <w:rPr>
          <w:rFonts w:ascii="Arial" w:hAnsi="Arial" w:cs="Arial"/>
          <w:b/>
          <w:bCs/>
          <w:sz w:val="24"/>
          <w:szCs w:val="24"/>
        </w:rPr>
      </w:pPr>
    </w:p>
    <w:p w:rsidR="000A5A02" w:rsidRPr="000A5A02" w:rsidRDefault="000A5A02" w:rsidP="000A5A02">
      <w:pPr>
        <w:jc w:val="both"/>
        <w:rPr>
          <w:rFonts w:ascii="Arial" w:hAnsi="Arial" w:cs="Arial"/>
          <w:b/>
          <w:bCs/>
          <w:sz w:val="24"/>
          <w:szCs w:val="24"/>
        </w:rPr>
      </w:pPr>
      <w:r w:rsidRPr="000A5A02">
        <w:rPr>
          <w:rFonts w:ascii="Arial" w:hAnsi="Arial" w:cs="Arial"/>
          <w:b/>
          <w:bCs/>
          <w:sz w:val="24"/>
          <w:szCs w:val="24"/>
        </w:rPr>
        <w:t>Přednost pro anonymy</w:t>
      </w:r>
    </w:p>
    <w:p w:rsidR="000A5A02" w:rsidRPr="000A5A02" w:rsidRDefault="000A5A02" w:rsidP="000A5A02">
      <w:pPr>
        <w:jc w:val="both"/>
        <w:rPr>
          <w:rFonts w:ascii="Arial" w:hAnsi="Arial" w:cs="Arial"/>
          <w:sz w:val="24"/>
          <w:szCs w:val="24"/>
        </w:rPr>
      </w:pPr>
      <w:r w:rsidRPr="000A5A02">
        <w:rPr>
          <w:rFonts w:ascii="Arial" w:hAnsi="Arial" w:cs="Arial"/>
          <w:sz w:val="24"/>
          <w:szCs w:val="24"/>
        </w:rPr>
        <w:t>O tom, že VZP podporovala i v krizovém roce další vybrané podnikatelské projekty, svědčí vysoké platby pro menší nemocnice v Hořovicích, v Rakovníku či v Ostrově, které vesměs vlastnily společnosti s akciemi na doručitele.</w:t>
      </w:r>
    </w:p>
    <w:p w:rsidR="000A5A02" w:rsidRPr="000A5A02" w:rsidRDefault="000A5A02" w:rsidP="000A5A02">
      <w:pPr>
        <w:jc w:val="both"/>
        <w:rPr>
          <w:rFonts w:ascii="Arial" w:hAnsi="Arial" w:cs="Arial"/>
          <w:sz w:val="24"/>
          <w:szCs w:val="24"/>
        </w:rPr>
      </w:pPr>
      <w:r w:rsidRPr="000A5A02">
        <w:rPr>
          <w:rFonts w:ascii="Arial" w:hAnsi="Arial" w:cs="Arial"/>
          <w:sz w:val="24"/>
          <w:szCs w:val="24"/>
        </w:rPr>
        <w:t xml:space="preserve">Naopak malé nemocnice, například v Neratovicích, </w:t>
      </w:r>
      <w:proofErr w:type="spellStart"/>
      <w:r w:rsidRPr="000A5A02">
        <w:rPr>
          <w:rFonts w:ascii="Arial" w:hAnsi="Arial" w:cs="Arial"/>
          <w:sz w:val="24"/>
          <w:szCs w:val="24"/>
        </w:rPr>
        <w:t>Semilech</w:t>
      </w:r>
      <w:proofErr w:type="spellEnd"/>
      <w:r w:rsidRPr="000A5A02">
        <w:rPr>
          <w:rFonts w:ascii="Arial" w:hAnsi="Arial" w:cs="Arial"/>
          <w:sz w:val="24"/>
          <w:szCs w:val="24"/>
        </w:rPr>
        <w:t xml:space="preserve">, </w:t>
      </w:r>
      <w:proofErr w:type="spellStart"/>
      <w:r w:rsidRPr="000A5A02">
        <w:rPr>
          <w:rFonts w:ascii="Arial" w:hAnsi="Arial" w:cs="Arial"/>
          <w:sz w:val="24"/>
          <w:szCs w:val="24"/>
        </w:rPr>
        <w:t>Tanvaldě</w:t>
      </w:r>
      <w:proofErr w:type="spellEnd"/>
      <w:r w:rsidRPr="000A5A02">
        <w:rPr>
          <w:rFonts w:ascii="Arial" w:hAnsi="Arial" w:cs="Arial"/>
          <w:sz w:val="24"/>
          <w:szCs w:val="24"/>
        </w:rPr>
        <w:t xml:space="preserve">, Českém Brodě, Brandýse a </w:t>
      </w:r>
      <w:proofErr w:type="spellStart"/>
      <w:r w:rsidRPr="000A5A02">
        <w:rPr>
          <w:rFonts w:ascii="Arial" w:hAnsi="Arial" w:cs="Arial"/>
          <w:sz w:val="24"/>
          <w:szCs w:val="24"/>
        </w:rPr>
        <w:t>Duchcově</w:t>
      </w:r>
      <w:proofErr w:type="spellEnd"/>
      <w:r w:rsidRPr="000A5A02">
        <w:rPr>
          <w:rFonts w:ascii="Arial" w:hAnsi="Arial" w:cs="Arial"/>
          <w:sz w:val="24"/>
          <w:szCs w:val="24"/>
        </w:rPr>
        <w:t>, přitom předloni patřily k hlavním poraženým v souboji o platby VZP a ztrácely až deset procent dosavadních dotací.</w:t>
      </w:r>
    </w:p>
    <w:p w:rsidR="000A5A02" w:rsidRPr="000A5A02" w:rsidRDefault="000A5A02" w:rsidP="000A5A02">
      <w:pPr>
        <w:jc w:val="both"/>
        <w:rPr>
          <w:rFonts w:ascii="Arial" w:hAnsi="Arial" w:cs="Arial"/>
          <w:sz w:val="24"/>
          <w:szCs w:val="24"/>
        </w:rPr>
      </w:pPr>
      <w:r w:rsidRPr="000A5A02">
        <w:rPr>
          <w:rFonts w:ascii="Arial" w:hAnsi="Arial" w:cs="Arial"/>
          <w:sz w:val="24"/>
          <w:szCs w:val="24"/>
        </w:rPr>
        <w:t>Vůbec nejhorší bilanci měla </w:t>
      </w:r>
      <w:hyperlink r:id="rId7" w:history="1">
        <w:r w:rsidRPr="000A5A02">
          <w:rPr>
            <w:rStyle w:val="Hypertextovodkaz"/>
            <w:rFonts w:ascii="Arial" w:hAnsi="Arial" w:cs="Arial"/>
            <w:color w:val="auto"/>
            <w:sz w:val="24"/>
            <w:szCs w:val="24"/>
            <w:u w:val="none"/>
          </w:rPr>
          <w:t>brněnská nemocnice Delta</w:t>
        </w:r>
      </w:hyperlink>
      <w:r w:rsidRPr="000A5A02">
        <w:rPr>
          <w:rFonts w:ascii="Arial" w:hAnsi="Arial" w:cs="Arial"/>
          <w:sz w:val="24"/>
          <w:szCs w:val="24"/>
        </w:rPr>
        <w:t xml:space="preserve">, které VZP ubrala třetinu a nechala jí pouze 31 milionů. To se změnilo o rok později, kdy se rozhodla Deltu přestavět na luxusní chirurgickou kliniku firma s akciemi na doručitele </w:t>
      </w:r>
      <w:proofErr w:type="spellStart"/>
      <w:r w:rsidRPr="000A5A02">
        <w:rPr>
          <w:rFonts w:ascii="Arial" w:hAnsi="Arial" w:cs="Arial"/>
          <w:sz w:val="24"/>
          <w:szCs w:val="24"/>
        </w:rPr>
        <w:t>Guantos</w:t>
      </w:r>
      <w:proofErr w:type="spellEnd"/>
      <w:r w:rsidRPr="000A5A02">
        <w:rPr>
          <w:rFonts w:ascii="Arial" w:hAnsi="Arial" w:cs="Arial"/>
          <w:sz w:val="24"/>
          <w:szCs w:val="24"/>
        </w:rPr>
        <w:t xml:space="preserve">. Manažerem projektu se stal náměstek brněnské fakultní nemocnice Petr </w:t>
      </w:r>
      <w:proofErr w:type="spellStart"/>
      <w:r w:rsidRPr="000A5A02">
        <w:rPr>
          <w:rFonts w:ascii="Arial" w:hAnsi="Arial" w:cs="Arial"/>
          <w:sz w:val="24"/>
          <w:szCs w:val="24"/>
        </w:rPr>
        <w:t>Gál</w:t>
      </w:r>
      <w:proofErr w:type="spellEnd"/>
      <w:r w:rsidRPr="000A5A02">
        <w:rPr>
          <w:rFonts w:ascii="Arial" w:hAnsi="Arial" w:cs="Arial"/>
          <w:sz w:val="24"/>
          <w:szCs w:val="24"/>
        </w:rPr>
        <w:t>.</w:t>
      </w:r>
    </w:p>
    <w:p w:rsidR="000A5A02" w:rsidRPr="000A5A02" w:rsidRDefault="000A5A02" w:rsidP="000A5A02">
      <w:pPr>
        <w:jc w:val="both"/>
        <w:rPr>
          <w:rFonts w:ascii="Arial" w:hAnsi="Arial" w:cs="Arial"/>
          <w:sz w:val="24"/>
          <w:szCs w:val="24"/>
        </w:rPr>
      </w:pPr>
      <w:r w:rsidRPr="000A5A02">
        <w:rPr>
          <w:rFonts w:ascii="Arial" w:hAnsi="Arial" w:cs="Arial"/>
          <w:sz w:val="24"/>
          <w:szCs w:val="24"/>
        </w:rPr>
        <w:t>VZP nechce prozradit, kolik teď na novou kliniku přispívá, pouze provoz nové magnetické rezonance však přijde na 40 milionů ročně.</w:t>
      </w:r>
    </w:p>
    <w:p w:rsidR="000A5A02" w:rsidRPr="000A5A02" w:rsidRDefault="000A5A02" w:rsidP="000A5A02">
      <w:pPr>
        <w:jc w:val="both"/>
        <w:rPr>
          <w:rFonts w:ascii="Arial" w:hAnsi="Arial" w:cs="Arial"/>
          <w:sz w:val="24"/>
          <w:szCs w:val="24"/>
        </w:rPr>
      </w:pPr>
      <w:r w:rsidRPr="000A5A02">
        <w:rPr>
          <w:rFonts w:ascii="Arial" w:hAnsi="Arial" w:cs="Arial"/>
          <w:sz w:val="24"/>
          <w:szCs w:val="24"/>
        </w:rPr>
        <w:t xml:space="preserve">Vedle malých městských nemocnic dopadla úsporná politika na některé kraje včetně </w:t>
      </w:r>
      <w:proofErr w:type="spellStart"/>
      <w:r w:rsidRPr="000A5A02">
        <w:rPr>
          <w:rFonts w:ascii="Arial" w:hAnsi="Arial" w:cs="Arial"/>
          <w:sz w:val="24"/>
          <w:szCs w:val="24"/>
        </w:rPr>
        <w:t>Rathových</w:t>
      </w:r>
      <w:proofErr w:type="spellEnd"/>
      <w:r w:rsidRPr="000A5A02">
        <w:rPr>
          <w:rFonts w:ascii="Arial" w:hAnsi="Arial" w:cs="Arial"/>
          <w:sz w:val="24"/>
          <w:szCs w:val="24"/>
        </w:rPr>
        <w:t xml:space="preserve"> středních Čech. Víc utrpěly už jen Ostravsko a Karlovarsko. Ve středních Čechách a na Karlovarsku přitom VZP podporovala zvýšenými sazbami konkurenční soukromý sektor.</w:t>
      </w:r>
    </w:p>
    <w:sectPr w:rsidR="000A5A02" w:rsidRPr="000A5A02" w:rsidSect="00EC39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A6F3A"/>
    <w:multiLevelType w:val="multilevel"/>
    <w:tmpl w:val="8534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D54420"/>
    <w:multiLevelType w:val="multilevel"/>
    <w:tmpl w:val="756A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5A02"/>
    <w:rsid w:val="000A5A02"/>
    <w:rsid w:val="00EC398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3989"/>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A5A02"/>
    <w:rPr>
      <w:color w:val="0000FF" w:themeColor="hyperlink"/>
      <w:u w:val="single"/>
    </w:rPr>
  </w:style>
  <w:style w:type="paragraph" w:styleId="Textbubliny">
    <w:name w:val="Balloon Text"/>
    <w:basedOn w:val="Normln"/>
    <w:link w:val="TextbublinyChar"/>
    <w:uiPriority w:val="99"/>
    <w:semiHidden/>
    <w:unhideWhenUsed/>
    <w:rsid w:val="000A5A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5A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4617831">
      <w:bodyDiv w:val="1"/>
      <w:marLeft w:val="0"/>
      <w:marRight w:val="0"/>
      <w:marTop w:val="0"/>
      <w:marBottom w:val="0"/>
      <w:divBdr>
        <w:top w:val="none" w:sz="0" w:space="0" w:color="auto"/>
        <w:left w:val="none" w:sz="0" w:space="0" w:color="auto"/>
        <w:bottom w:val="none" w:sz="0" w:space="0" w:color="auto"/>
        <w:right w:val="none" w:sz="0" w:space="0" w:color="auto"/>
      </w:divBdr>
      <w:divsChild>
        <w:div w:id="485240482">
          <w:marLeft w:val="0"/>
          <w:marRight w:val="0"/>
          <w:marTop w:val="150"/>
          <w:marBottom w:val="150"/>
          <w:divBdr>
            <w:top w:val="none" w:sz="0" w:space="0" w:color="auto"/>
            <w:left w:val="none" w:sz="0" w:space="0" w:color="auto"/>
            <w:bottom w:val="none" w:sz="0" w:space="0" w:color="auto"/>
            <w:right w:val="none" w:sz="0" w:space="0" w:color="auto"/>
          </w:divBdr>
          <w:divsChild>
            <w:div w:id="1439593931">
              <w:marLeft w:val="0"/>
              <w:marRight w:val="0"/>
              <w:marTop w:val="0"/>
              <w:marBottom w:val="0"/>
              <w:divBdr>
                <w:top w:val="none" w:sz="0" w:space="0" w:color="auto"/>
                <w:left w:val="none" w:sz="0" w:space="0" w:color="auto"/>
                <w:bottom w:val="none" w:sz="0" w:space="0" w:color="auto"/>
                <w:right w:val="none" w:sz="0" w:space="0" w:color="auto"/>
              </w:divBdr>
            </w:div>
          </w:divsChild>
        </w:div>
        <w:div w:id="312296381">
          <w:marLeft w:val="0"/>
          <w:marRight w:val="0"/>
          <w:marTop w:val="0"/>
          <w:marBottom w:val="300"/>
          <w:divBdr>
            <w:top w:val="single" w:sz="2" w:space="8" w:color="E4E4E4"/>
            <w:left w:val="single" w:sz="2" w:space="8" w:color="E4E4E4"/>
            <w:bottom w:val="single" w:sz="6" w:space="0" w:color="E4E4E4"/>
            <w:right w:val="single" w:sz="2" w:space="8" w:color="E4E4E4"/>
          </w:divBdr>
        </w:div>
        <w:div w:id="1556047053">
          <w:marLeft w:val="375"/>
          <w:marRight w:val="0"/>
          <w:marTop w:val="0"/>
          <w:marBottom w:val="30"/>
          <w:divBdr>
            <w:top w:val="none" w:sz="0" w:space="0" w:color="auto"/>
            <w:left w:val="none" w:sz="0" w:space="0" w:color="auto"/>
            <w:bottom w:val="none" w:sz="0" w:space="0" w:color="auto"/>
            <w:right w:val="none" w:sz="0" w:space="0" w:color="auto"/>
          </w:divBdr>
          <w:divsChild>
            <w:div w:id="1263030507">
              <w:marLeft w:val="0"/>
              <w:marRight w:val="0"/>
              <w:marTop w:val="0"/>
              <w:marBottom w:val="0"/>
              <w:divBdr>
                <w:top w:val="none" w:sz="0" w:space="0" w:color="auto"/>
                <w:left w:val="none" w:sz="0" w:space="0" w:color="auto"/>
                <w:bottom w:val="none" w:sz="0" w:space="0" w:color="auto"/>
                <w:right w:val="none" w:sz="0" w:space="0" w:color="auto"/>
              </w:divBdr>
            </w:div>
          </w:divsChild>
        </w:div>
        <w:div w:id="731344119">
          <w:marLeft w:val="0"/>
          <w:marRight w:val="0"/>
          <w:marTop w:val="0"/>
          <w:marBottom w:val="150"/>
          <w:divBdr>
            <w:top w:val="dashed" w:sz="6" w:space="8" w:color="C8C8C7"/>
            <w:left w:val="none" w:sz="0" w:space="0" w:color="auto"/>
            <w:bottom w:val="dashed" w:sz="6" w:space="8" w:color="C8C8C7"/>
            <w:right w:val="none" w:sz="0" w:space="0" w:color="auto"/>
          </w:divBdr>
          <w:divsChild>
            <w:div w:id="1902713689">
              <w:marLeft w:val="0"/>
              <w:marRight w:val="0"/>
              <w:marTop w:val="0"/>
              <w:marBottom w:val="0"/>
              <w:divBdr>
                <w:top w:val="none" w:sz="0" w:space="0" w:color="auto"/>
                <w:left w:val="none" w:sz="0" w:space="0" w:color="auto"/>
                <w:bottom w:val="none" w:sz="0" w:space="0" w:color="auto"/>
                <w:right w:val="none" w:sz="0" w:space="0" w:color="auto"/>
              </w:divBdr>
            </w:div>
          </w:divsChild>
        </w:div>
        <w:div w:id="887451697">
          <w:marLeft w:val="0"/>
          <w:marRight w:val="0"/>
          <w:marTop w:val="0"/>
          <w:marBottom w:val="150"/>
          <w:divBdr>
            <w:top w:val="none" w:sz="0" w:space="0" w:color="auto"/>
            <w:left w:val="none" w:sz="0" w:space="0" w:color="auto"/>
            <w:bottom w:val="none" w:sz="0" w:space="0" w:color="auto"/>
            <w:right w:val="none" w:sz="0" w:space="0" w:color="auto"/>
          </w:divBdr>
          <w:divsChild>
            <w:div w:id="715354928">
              <w:marLeft w:val="0"/>
              <w:marRight w:val="0"/>
              <w:marTop w:val="0"/>
              <w:marBottom w:val="0"/>
              <w:divBdr>
                <w:top w:val="none" w:sz="0" w:space="0" w:color="auto"/>
                <w:left w:val="none" w:sz="0" w:space="0" w:color="auto"/>
                <w:bottom w:val="none" w:sz="0" w:space="0" w:color="auto"/>
                <w:right w:val="none" w:sz="0" w:space="0" w:color="auto"/>
              </w:divBdr>
              <w:divsChild>
                <w:div w:id="921454338">
                  <w:marLeft w:val="0"/>
                  <w:marRight w:val="0"/>
                  <w:marTop w:val="0"/>
                  <w:marBottom w:val="0"/>
                  <w:divBdr>
                    <w:top w:val="none" w:sz="0" w:space="0" w:color="auto"/>
                    <w:left w:val="none" w:sz="0" w:space="0" w:color="auto"/>
                    <w:bottom w:val="none" w:sz="0" w:space="0" w:color="auto"/>
                    <w:right w:val="none" w:sz="0" w:space="0" w:color="auto"/>
                  </w:divBdr>
                  <w:divsChild>
                    <w:div w:id="1538086657">
                      <w:marLeft w:val="0"/>
                      <w:marRight w:val="0"/>
                      <w:marTop w:val="0"/>
                      <w:marBottom w:val="0"/>
                      <w:divBdr>
                        <w:top w:val="none" w:sz="0" w:space="0" w:color="auto"/>
                        <w:left w:val="none" w:sz="0" w:space="0" w:color="auto"/>
                        <w:bottom w:val="none" w:sz="0" w:space="0" w:color="auto"/>
                        <w:right w:val="none" w:sz="0" w:space="0" w:color="auto"/>
                      </w:divBdr>
                    </w:div>
                    <w:div w:id="153500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9483">
          <w:marLeft w:val="0"/>
          <w:marRight w:val="0"/>
          <w:marTop w:val="0"/>
          <w:marBottom w:val="150"/>
          <w:divBdr>
            <w:top w:val="dashed" w:sz="6" w:space="8" w:color="C8C8C7"/>
            <w:left w:val="none" w:sz="0" w:space="0" w:color="auto"/>
            <w:bottom w:val="dashed" w:sz="6" w:space="8" w:color="C8C8C7"/>
            <w:right w:val="none" w:sz="0" w:space="0" w:color="auto"/>
          </w:divBdr>
          <w:divsChild>
            <w:div w:id="286277688">
              <w:marLeft w:val="0"/>
              <w:marRight w:val="0"/>
              <w:marTop w:val="0"/>
              <w:marBottom w:val="0"/>
              <w:divBdr>
                <w:top w:val="none" w:sz="0" w:space="0" w:color="auto"/>
                <w:left w:val="none" w:sz="0" w:space="0" w:color="auto"/>
                <w:bottom w:val="none" w:sz="0" w:space="0" w:color="auto"/>
                <w:right w:val="none" w:sz="0" w:space="0" w:color="auto"/>
              </w:divBdr>
            </w:div>
          </w:divsChild>
        </w:div>
        <w:div w:id="488836753">
          <w:marLeft w:val="375"/>
          <w:marRight w:val="0"/>
          <w:marTop w:val="0"/>
          <w:marBottom w:val="30"/>
          <w:divBdr>
            <w:top w:val="none" w:sz="0" w:space="0" w:color="auto"/>
            <w:left w:val="none" w:sz="0" w:space="0" w:color="auto"/>
            <w:bottom w:val="none" w:sz="0" w:space="0" w:color="auto"/>
            <w:right w:val="none" w:sz="0" w:space="0" w:color="auto"/>
          </w:divBdr>
        </w:div>
      </w:divsChild>
    </w:div>
    <w:div w:id="1994290974">
      <w:bodyDiv w:val="1"/>
      <w:marLeft w:val="0"/>
      <w:marRight w:val="0"/>
      <w:marTop w:val="0"/>
      <w:marBottom w:val="0"/>
      <w:divBdr>
        <w:top w:val="none" w:sz="0" w:space="0" w:color="auto"/>
        <w:left w:val="none" w:sz="0" w:space="0" w:color="auto"/>
        <w:bottom w:val="none" w:sz="0" w:space="0" w:color="auto"/>
        <w:right w:val="none" w:sz="0" w:space="0" w:color="auto"/>
      </w:divBdr>
      <w:divsChild>
        <w:div w:id="225535775">
          <w:marLeft w:val="0"/>
          <w:marRight w:val="0"/>
          <w:marTop w:val="150"/>
          <w:marBottom w:val="150"/>
          <w:divBdr>
            <w:top w:val="none" w:sz="0" w:space="0" w:color="auto"/>
            <w:left w:val="none" w:sz="0" w:space="0" w:color="auto"/>
            <w:bottom w:val="none" w:sz="0" w:space="0" w:color="auto"/>
            <w:right w:val="none" w:sz="0" w:space="0" w:color="auto"/>
          </w:divBdr>
          <w:divsChild>
            <w:div w:id="2089694739">
              <w:marLeft w:val="0"/>
              <w:marRight w:val="0"/>
              <w:marTop w:val="0"/>
              <w:marBottom w:val="0"/>
              <w:divBdr>
                <w:top w:val="none" w:sz="0" w:space="0" w:color="auto"/>
                <w:left w:val="none" w:sz="0" w:space="0" w:color="auto"/>
                <w:bottom w:val="none" w:sz="0" w:space="0" w:color="auto"/>
                <w:right w:val="none" w:sz="0" w:space="0" w:color="auto"/>
              </w:divBdr>
            </w:div>
          </w:divsChild>
        </w:div>
        <w:div w:id="1059283185">
          <w:marLeft w:val="0"/>
          <w:marRight w:val="0"/>
          <w:marTop w:val="0"/>
          <w:marBottom w:val="300"/>
          <w:divBdr>
            <w:top w:val="single" w:sz="2" w:space="8" w:color="E4E4E4"/>
            <w:left w:val="single" w:sz="2" w:space="8" w:color="E4E4E4"/>
            <w:bottom w:val="single" w:sz="6" w:space="0" w:color="E4E4E4"/>
            <w:right w:val="single" w:sz="2" w:space="8" w:color="E4E4E4"/>
          </w:divBdr>
        </w:div>
        <w:div w:id="1518274517">
          <w:marLeft w:val="375"/>
          <w:marRight w:val="0"/>
          <w:marTop w:val="0"/>
          <w:marBottom w:val="30"/>
          <w:divBdr>
            <w:top w:val="none" w:sz="0" w:space="0" w:color="auto"/>
            <w:left w:val="none" w:sz="0" w:space="0" w:color="auto"/>
            <w:bottom w:val="none" w:sz="0" w:space="0" w:color="auto"/>
            <w:right w:val="none" w:sz="0" w:space="0" w:color="auto"/>
          </w:divBdr>
          <w:divsChild>
            <w:div w:id="611596291">
              <w:marLeft w:val="0"/>
              <w:marRight w:val="0"/>
              <w:marTop w:val="0"/>
              <w:marBottom w:val="0"/>
              <w:divBdr>
                <w:top w:val="none" w:sz="0" w:space="0" w:color="auto"/>
                <w:left w:val="none" w:sz="0" w:space="0" w:color="auto"/>
                <w:bottom w:val="none" w:sz="0" w:space="0" w:color="auto"/>
                <w:right w:val="none" w:sz="0" w:space="0" w:color="auto"/>
              </w:divBdr>
            </w:div>
          </w:divsChild>
        </w:div>
        <w:div w:id="1712149447">
          <w:marLeft w:val="0"/>
          <w:marRight w:val="0"/>
          <w:marTop w:val="0"/>
          <w:marBottom w:val="150"/>
          <w:divBdr>
            <w:top w:val="dashed" w:sz="6" w:space="8" w:color="C8C8C7"/>
            <w:left w:val="none" w:sz="0" w:space="0" w:color="auto"/>
            <w:bottom w:val="dashed" w:sz="6" w:space="8" w:color="C8C8C7"/>
            <w:right w:val="none" w:sz="0" w:space="0" w:color="auto"/>
          </w:divBdr>
          <w:divsChild>
            <w:div w:id="985400973">
              <w:marLeft w:val="0"/>
              <w:marRight w:val="0"/>
              <w:marTop w:val="0"/>
              <w:marBottom w:val="0"/>
              <w:divBdr>
                <w:top w:val="none" w:sz="0" w:space="0" w:color="auto"/>
                <w:left w:val="none" w:sz="0" w:space="0" w:color="auto"/>
                <w:bottom w:val="none" w:sz="0" w:space="0" w:color="auto"/>
                <w:right w:val="none" w:sz="0" w:space="0" w:color="auto"/>
              </w:divBdr>
            </w:div>
          </w:divsChild>
        </w:div>
        <w:div w:id="1363047093">
          <w:marLeft w:val="0"/>
          <w:marRight w:val="0"/>
          <w:marTop w:val="0"/>
          <w:marBottom w:val="150"/>
          <w:divBdr>
            <w:top w:val="none" w:sz="0" w:space="0" w:color="auto"/>
            <w:left w:val="none" w:sz="0" w:space="0" w:color="auto"/>
            <w:bottom w:val="none" w:sz="0" w:space="0" w:color="auto"/>
            <w:right w:val="none" w:sz="0" w:space="0" w:color="auto"/>
          </w:divBdr>
          <w:divsChild>
            <w:div w:id="159390707">
              <w:marLeft w:val="0"/>
              <w:marRight w:val="0"/>
              <w:marTop w:val="0"/>
              <w:marBottom w:val="0"/>
              <w:divBdr>
                <w:top w:val="none" w:sz="0" w:space="0" w:color="auto"/>
                <w:left w:val="none" w:sz="0" w:space="0" w:color="auto"/>
                <w:bottom w:val="none" w:sz="0" w:space="0" w:color="auto"/>
                <w:right w:val="none" w:sz="0" w:space="0" w:color="auto"/>
              </w:divBdr>
              <w:divsChild>
                <w:div w:id="1749494484">
                  <w:marLeft w:val="0"/>
                  <w:marRight w:val="0"/>
                  <w:marTop w:val="0"/>
                  <w:marBottom w:val="0"/>
                  <w:divBdr>
                    <w:top w:val="none" w:sz="0" w:space="0" w:color="auto"/>
                    <w:left w:val="none" w:sz="0" w:space="0" w:color="auto"/>
                    <w:bottom w:val="none" w:sz="0" w:space="0" w:color="auto"/>
                    <w:right w:val="none" w:sz="0" w:space="0" w:color="auto"/>
                  </w:divBdr>
                  <w:divsChild>
                    <w:div w:id="273175778">
                      <w:marLeft w:val="0"/>
                      <w:marRight w:val="0"/>
                      <w:marTop w:val="0"/>
                      <w:marBottom w:val="0"/>
                      <w:divBdr>
                        <w:top w:val="none" w:sz="0" w:space="0" w:color="auto"/>
                        <w:left w:val="none" w:sz="0" w:space="0" w:color="auto"/>
                        <w:bottom w:val="none" w:sz="0" w:space="0" w:color="auto"/>
                        <w:right w:val="none" w:sz="0" w:space="0" w:color="auto"/>
                      </w:divBdr>
                    </w:div>
                    <w:div w:id="20821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952">
          <w:marLeft w:val="0"/>
          <w:marRight w:val="0"/>
          <w:marTop w:val="0"/>
          <w:marBottom w:val="150"/>
          <w:divBdr>
            <w:top w:val="dashed" w:sz="6" w:space="8" w:color="C8C8C7"/>
            <w:left w:val="none" w:sz="0" w:space="0" w:color="auto"/>
            <w:bottom w:val="dashed" w:sz="6" w:space="8" w:color="C8C8C7"/>
            <w:right w:val="none" w:sz="0" w:space="0" w:color="auto"/>
          </w:divBdr>
          <w:divsChild>
            <w:div w:id="1045908768">
              <w:marLeft w:val="0"/>
              <w:marRight w:val="0"/>
              <w:marTop w:val="0"/>
              <w:marBottom w:val="0"/>
              <w:divBdr>
                <w:top w:val="none" w:sz="0" w:space="0" w:color="auto"/>
                <w:left w:val="none" w:sz="0" w:space="0" w:color="auto"/>
                <w:bottom w:val="none" w:sz="0" w:space="0" w:color="auto"/>
                <w:right w:val="none" w:sz="0" w:space="0" w:color="auto"/>
              </w:divBdr>
            </w:div>
          </w:divsChild>
        </w:div>
        <w:div w:id="1893691273">
          <w:marLeft w:val="375"/>
          <w:marRight w:val="0"/>
          <w:marTop w:val="0"/>
          <w:marBottom w:val="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ktualne.centrum.cz/domaci/zivot-v-cesku/clanek.phtml?id=7211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ktualne.centrum.cz/domaci/kauzy/clanek.phtml?id=681992" TargetMode="External"/><Relationship Id="rId5" Type="http://schemas.openxmlformats.org/officeDocument/2006/relationships/hyperlink" Target="http://aktualne.centrum.cz/autori/profil.phtml?slug=petr-holu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594</Words>
  <Characters>3510</Characters>
  <Application>Microsoft Office Word</Application>
  <DocSecurity>0</DocSecurity>
  <Lines>29</Lines>
  <Paragraphs>8</Paragraphs>
  <ScaleCrop>false</ScaleCrop>
  <Company>AČMN</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Popovičová</dc:creator>
  <cp:keywords/>
  <dc:description/>
  <cp:lastModifiedBy>Popovičová</cp:lastModifiedBy>
  <cp:revision>1</cp:revision>
  <dcterms:created xsi:type="dcterms:W3CDTF">2012-07-04T15:09:00Z</dcterms:created>
  <dcterms:modified xsi:type="dcterms:W3CDTF">2012-07-04T15:13:00Z</dcterms:modified>
</cp:coreProperties>
</file>